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media/image1.jpg" ContentType="image/jpg"/>
  <Override PartName="/word/media/image10.jpg" ContentType="image/jpg"/>
  <Override PartName="/word/media/image100.jpg" ContentType="image/jpg"/>
  <Override PartName="/word/media/image101.jpg" ContentType="image/jpg"/>
  <Override PartName="/word/media/image102.jpg" ContentType="image/jpg"/>
  <Override PartName="/word/media/image103.jpg" ContentType="image/jpg"/>
  <Override PartName="/word/media/image104.jpg" ContentType="image/jpg"/>
  <Override PartName="/word/media/image105.jpg" ContentType="image/jpg"/>
  <Override PartName="/word/media/image106.jpg" ContentType="image/jpg"/>
  <Override PartName="/word/media/image107.jpg" ContentType="image/jpg"/>
  <Override PartName="/word/media/image108.jpg" ContentType="image/jpg"/>
  <Override PartName="/word/media/image109.jpg" ContentType="image/jpg"/>
  <Override PartName="/word/media/image11.jpg" ContentType="image/jpg"/>
  <Override PartName="/word/media/image110.jpg" ContentType="image/jpg"/>
  <Override PartName="/word/media/image111.jpg" ContentType="image/jpg"/>
  <Override PartName="/word/media/image112.jpg" ContentType="image/jpg"/>
  <Override PartName="/word/media/image113.jpg" ContentType="image/jpg"/>
  <Override PartName="/word/media/image114.jpg" ContentType="image/jpg"/>
  <Override PartName="/word/media/image115.jpg" ContentType="image/jpg"/>
  <Override PartName="/word/media/image116.jpg" ContentType="image/jpg"/>
  <Override PartName="/word/media/image117.jpg" ContentType="image/jpg"/>
  <Override PartName="/word/media/image118.jpg" ContentType="image/jpg"/>
  <Override PartName="/word/media/image119.jpg" ContentType="image/jpg"/>
  <Override PartName="/word/media/image12.jpg" ContentType="image/jpg"/>
  <Override PartName="/word/media/image120.jpg" ContentType="image/jpg"/>
  <Override PartName="/word/media/image121.jpg" ContentType="image/jpg"/>
  <Override PartName="/word/media/image122.jpg" ContentType="image/jpg"/>
  <Override PartName="/word/media/image123.jpg" ContentType="image/jpg"/>
  <Override PartName="/word/media/image124.jpg" ContentType="image/jpg"/>
  <Override PartName="/word/media/image125.jpg" ContentType="image/jpg"/>
  <Override PartName="/word/media/image126.jpg" ContentType="image/jpg"/>
  <Override PartName="/word/media/image127.jpg" ContentType="image/jpg"/>
  <Override PartName="/word/media/image128.jpg" ContentType="image/jpg"/>
  <Override PartName="/word/media/image129.jpg" ContentType="image/jpg"/>
  <Override PartName="/word/media/image13.jpg" ContentType="image/jpg"/>
  <Override PartName="/word/media/image130.jpg" ContentType="image/jpg"/>
  <Override PartName="/word/media/image131.jpg" ContentType="image/jpg"/>
  <Override PartName="/word/media/image132.jpg" ContentType="image/jpg"/>
  <Override PartName="/word/media/image133.jpg" ContentType="image/jpg"/>
  <Override PartName="/word/media/image134.jpg" ContentType="image/jpg"/>
  <Override PartName="/word/media/image135.jpg" ContentType="image/jpg"/>
  <Override PartName="/word/media/image136.jpg" ContentType="image/jpg"/>
  <Override PartName="/word/media/image137.jpg" ContentType="image/jpg"/>
  <Override PartName="/word/media/image138.jpg" ContentType="image/jpg"/>
  <Override PartName="/word/media/image139.jpg" ContentType="image/jpg"/>
  <Override PartName="/word/media/image14.jpg" ContentType="image/jpg"/>
  <Override PartName="/word/media/image140.jpg" ContentType="image/jpg"/>
  <Override PartName="/word/media/image141.jpg" ContentType="image/jpg"/>
  <Override PartName="/word/media/image142.jpg" ContentType="image/jpg"/>
  <Override PartName="/word/media/image143.jpg" ContentType="image/jpg"/>
  <Override PartName="/word/media/image144.jpg" ContentType="image/jpg"/>
  <Override PartName="/word/media/image145.jpg" ContentType="image/jpg"/>
  <Override PartName="/word/media/image146.jpg" ContentType="image/jpg"/>
  <Override PartName="/word/media/image147.jpg" ContentType="image/jpg"/>
  <Override PartName="/word/media/image148.jpg" ContentType="image/jpg"/>
  <Override PartName="/word/media/image149.jpg" ContentType="image/jpg"/>
  <Override PartName="/word/media/image15.jpg" ContentType="image/jpg"/>
  <Override PartName="/word/media/image150.jpg" ContentType="image/jpg"/>
  <Override PartName="/word/media/image151.jpg" ContentType="image/jpg"/>
  <Override PartName="/word/media/image152.jpg" ContentType="image/jpg"/>
  <Override PartName="/word/media/image153.jpg" ContentType="image/jpg"/>
  <Override PartName="/word/media/image154.jpg" ContentType="image/jpg"/>
  <Override PartName="/word/media/image155.jpg" ContentType="image/jpg"/>
  <Override PartName="/word/media/image156.jpg" ContentType="image/jpg"/>
  <Override PartName="/word/media/image157.jpg" ContentType="image/jpg"/>
  <Override PartName="/word/media/image158.jpg" ContentType="image/jpg"/>
  <Override PartName="/word/media/image159.jpg" ContentType="image/jpg"/>
  <Override PartName="/word/media/image16.jpg" ContentType="image/jpg"/>
  <Override PartName="/word/media/image160.jpg" ContentType="image/jpg"/>
  <Override PartName="/word/media/image161.jpg" ContentType="image/jpg"/>
  <Override PartName="/word/media/image162.jpg" ContentType="image/jpg"/>
  <Override PartName="/word/media/image163.jpg" ContentType="image/jpg"/>
  <Override PartName="/word/media/image164.jpg" ContentType="image/jpg"/>
  <Override PartName="/word/media/image165.jpg" ContentType="image/jpg"/>
  <Override PartName="/word/media/image166.jpg" ContentType="image/jpg"/>
  <Override PartName="/word/media/image167.jpg" ContentType="image/jpg"/>
  <Override PartName="/word/media/image168.jpg" ContentType="image/jpg"/>
  <Override PartName="/word/media/image169.jpg" ContentType="image/jpg"/>
  <Override PartName="/word/media/image17.jpg" ContentType="image/jpg"/>
  <Override PartName="/word/media/image170.jpg" ContentType="image/jpg"/>
  <Override PartName="/word/media/image171.jpg" ContentType="image/jpg"/>
  <Override PartName="/word/media/image172.jpg" ContentType="image/jpg"/>
  <Override PartName="/word/media/image173.jpg" ContentType="image/jpg"/>
  <Override PartName="/word/media/image174.jpg" ContentType="image/jpg"/>
  <Override PartName="/word/media/image175.jpg" ContentType="image/jpg"/>
  <Override PartName="/word/media/image176.jpg" ContentType="image/jpg"/>
  <Override PartName="/word/media/image177.jpg" ContentType="image/jpg"/>
  <Override PartName="/word/media/image178.jpg" ContentType="image/jpg"/>
  <Override PartName="/word/media/image179.jpg" ContentType="image/jpg"/>
  <Override PartName="/word/media/image18.png" ContentType="image/png"/>
  <Override PartName="/word/media/image180.jpg" ContentType="image/jpg"/>
  <Override PartName="/word/media/image181.jpg" ContentType="image/jpg"/>
  <Override PartName="/word/media/image182.jpg" ContentType="image/jpg"/>
  <Override PartName="/word/media/image183.jpg" ContentType="image/jpg"/>
  <Override PartName="/word/media/image184.jpg" ContentType="image/jpg"/>
  <Override PartName="/word/media/image185.jpg" ContentType="image/jpg"/>
  <Override PartName="/word/media/image186.jpg" ContentType="image/jpg"/>
  <Override PartName="/word/media/image187.jpg" ContentType="image/jpg"/>
  <Override PartName="/word/media/image188.jpg" ContentType="image/jpg"/>
  <Override PartName="/word/media/image189.jpg" ContentType="image/jpg"/>
  <Override PartName="/word/media/image19.png" ContentType="image/png"/>
  <Override PartName="/word/media/image190.jpg" ContentType="image/jpg"/>
  <Override PartName="/word/media/image191.jpg" ContentType="image/jpg"/>
  <Override PartName="/word/media/image192.jpg" ContentType="image/jpg"/>
  <Override PartName="/word/media/image193.jpg" ContentType="image/jpg"/>
  <Override PartName="/word/media/image194.jpg" ContentType="image/jpg"/>
  <Override PartName="/word/media/image195.jpg" ContentType="image/jpg"/>
  <Override PartName="/word/media/image2.jpg" ContentType="image/jp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png" ContentType="image/png"/>
  <Override PartName="/word/media/image30.png" ContentType="image/png"/>
  <Override PartName="/word/media/image31.jpg" ContentType="image/jpg"/>
  <Override PartName="/word/media/image32.jpg" ContentType="image/jpg"/>
  <Override PartName="/word/media/image33.jpg" ContentType="image/jpg"/>
  <Override PartName="/word/media/image34.jpg" ContentType="image/jpg"/>
  <Override PartName="/word/media/image35.jpg" ContentType="image/jpg"/>
  <Override PartName="/word/media/image36.jpg" ContentType="image/jpg"/>
  <Override PartName="/word/media/image37.jpg" ContentType="image/jpg"/>
  <Override PartName="/word/media/image38.jpg" ContentType="image/jpg"/>
  <Override PartName="/word/media/image39.jpg" ContentType="image/jpg"/>
  <Override PartName="/word/media/image4.jpg" ContentType="image/jpg"/>
  <Override PartName="/word/media/image40.jpg" ContentType="image/jpg"/>
  <Override PartName="/word/media/image41.jpg" ContentType="image/jpg"/>
  <Override PartName="/word/media/image42.jpg" ContentType="image/jpg"/>
  <Override PartName="/word/media/image43.jpg" ContentType="image/jpg"/>
  <Override PartName="/word/media/image44.jpg" ContentType="image/jpg"/>
  <Override PartName="/word/media/image45.jpg" ContentType="image/jpg"/>
  <Override PartName="/word/media/image46.jpg" ContentType="image/jpg"/>
  <Override PartName="/word/media/image47.jpg" ContentType="image/jpg"/>
  <Override PartName="/word/media/image48.jpg" ContentType="image/jpg"/>
  <Override PartName="/word/media/image49.jpg" ContentType="image/jpg"/>
  <Override PartName="/word/media/image5.jpg" ContentType="image/jp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jpg" ContentType="image/jpg"/>
  <Override PartName="/word/media/image56.jpg" ContentType="image/jpg"/>
  <Override PartName="/word/media/image57.jpg" ContentType="image/jpg"/>
  <Override PartName="/word/media/image58.jpg" ContentType="image/jpg"/>
  <Override PartName="/word/media/image59.png" ContentType="image/png"/>
  <Override PartName="/word/media/image6.jpg" ContentType="image/jp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jpg" ContentType="image/jpg"/>
  <Override PartName="/word/media/image67.jpg" ContentType="image/jpg"/>
  <Override PartName="/word/media/image68.jpg" ContentType="image/jpg"/>
  <Override PartName="/word/media/image69.png" ContentType="image/png"/>
  <Override PartName="/word/media/image7.png" ContentType="image/png"/>
  <Override PartName="/word/media/image70.png" ContentType="image/png"/>
  <Override PartName="/word/media/image71.png" ContentType="image/png"/>
  <Override PartName="/word/media/image72.jpg" ContentType="image/jpg"/>
  <Override PartName="/word/media/image73.jpg" ContentType="image/jpg"/>
  <Override PartName="/word/media/image74.jpg" ContentType="image/jpg"/>
  <Override PartName="/word/media/image75.jpg" ContentType="image/jpg"/>
  <Override PartName="/word/media/image76.png" ContentType="image/png"/>
  <Override PartName="/word/media/image77.png" ContentType="image/png"/>
  <Override PartName="/word/media/image78.png" ContentType="image/png"/>
  <Override PartName="/word/media/image79.png" ContentType="image/png"/>
  <Override PartName="/word/media/image8.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jpg" ContentType="image/jpg"/>
  <Override PartName="/word/media/image87.jpg" ContentType="image/jpg"/>
  <Override PartName="/word/media/image88.jpg" ContentType="image/jpg"/>
  <Override PartName="/word/media/image89.jpg" ContentType="image/jpg"/>
  <Override PartName="/word/media/image9.jpg" ContentType="image/jpg"/>
  <Override PartName="/word/media/image90.jpg" ContentType="image/jpg"/>
  <Override PartName="/word/media/image91.jpg" ContentType="image/jpg"/>
  <Override PartName="/word/media/image92.jpg" ContentType="image/jpg"/>
  <Override PartName="/word/media/image93.jpg" ContentType="image/jpg"/>
  <Override PartName="/word/media/image94.jpg" ContentType="image/jpg"/>
  <Override PartName="/word/media/image95.jpg" ContentType="image/jpg"/>
  <Override PartName="/word/media/image96.jpg" ContentType="image/jpg"/>
  <Override PartName="/word/media/image97.jpg" ContentType="image/jpg"/>
  <Override PartName="/word/media/image98.jpg" ContentType="image/jpg"/>
  <Override PartName="/word/media/image9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tbl>
      <w:tblPr>
        <w:jc w:val="left"/>
        <w:tblLayout w:type="fixed"/>
        <w:tblCellMar>
          <w:left w:w="0" w:type="dxa"/>
          <w:right w:w="0" w:type="dxa"/>
        </w:tblCellMar>
      </w:tblPr>
      <w:tblGrid>
        <w:gridCol w:w="12240"/>
      </w:tblGrid>
      <w:tr>
        <w:trPr>
          <w:trHeight w:val="8323" w:hRule="exact"/>
        </w:trPr>
        <w:tc>
          <w:tcPr>
            <w:tcW w:w="12240" w:type="dxa"/>
            <w:tcBorders>
              <w:top w:val="none"/>
              <w:left w:val="none"/>
              <w:bottom w:val="none"/>
              <w:right w:val="none"/>
            </w:tcBorders>
            <w:shd w:val="clear" w:color="145F82" w:fill="145F82"/>
            <w:textDirection w:val="lrTb"/>
            <w:vAlign w:val="top"/>
          </w:tcPr>
          <w:p>
            <w:pPr>
              <w:spacing w:before="1606" w:after="0" w:line="732" w:lineRule="exact"/>
              <w:ind w:right="0" w:left="144" w:firstLine="0"/>
              <w:jc w:val="left"/>
              <w:textAlignment w:val="baseline"/>
              <w:rPr>
                <w:rFonts w:ascii="Calibri" w:hAnsi="Calibri" w:eastAsia="Calibri"/>
                <w:b w:val="true"/>
                <w:color w:val="FFFFFF"/>
                <w:spacing w:val="15"/>
                <w:w w:val="95"/>
                <w:sz w:val="72"/>
                <w:vertAlign w:val="baseline"/>
                <w:lang w:val="en-US"/>
              </w:rPr>
            </w:pPr>
            <w:r>
              <w:rPr>
                <w:rFonts w:ascii="Calibri" w:hAnsi="Calibri" w:eastAsia="Calibri"/>
                <w:b w:val="true"/>
                <w:color w:val="FFFFFF"/>
                <w:spacing w:val="15"/>
                <w:w w:val="95"/>
                <w:sz w:val="72"/>
                <w:vertAlign w:val="baseline"/>
                <w:lang w:val="en-US"/>
              </w:rPr>
              <w:t xml:space="preserve">Comprehensive Regional Community</w:t>
            </w:r>
          </w:p>
          <w:p>
            <w:pPr>
              <w:spacing w:before="214" w:after="0" w:line="732" w:lineRule="exact"/>
              <w:ind w:right="0" w:left="144" w:firstLine="0"/>
              <w:jc w:val="left"/>
              <w:textAlignment w:val="baseline"/>
              <w:rPr>
                <w:rFonts w:ascii="Calibri" w:hAnsi="Calibri" w:eastAsia="Calibri"/>
                <w:b w:val="true"/>
                <w:color w:val="FFFFFF"/>
                <w:spacing w:val="11"/>
                <w:w w:val="95"/>
                <w:sz w:val="72"/>
                <w:vertAlign w:val="baseline"/>
                <w:lang w:val="en-US"/>
              </w:rPr>
            </w:pPr>
            <w:r>
              <w:rPr>
                <w:rFonts w:ascii="Calibri" w:hAnsi="Calibri" w:eastAsia="Calibri"/>
                <w:b w:val="true"/>
                <w:color w:val="FFFFFF"/>
                <w:spacing w:val="11"/>
                <w:w w:val="95"/>
                <w:sz w:val="72"/>
                <w:vertAlign w:val="baseline"/>
                <w:lang w:val="en-US"/>
              </w:rPr>
              <w:t xml:space="preserve">Health Assessment</w:t>
            </w:r>
          </w:p>
          <w:p>
            <w:pPr>
              <w:spacing w:before="767" w:after="4031" w:line="226" w:lineRule="exact"/>
              <w:ind w:right="0" w:left="144"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PREPARED FOR</w:t>
            </w:r>
            <w:r>
              <w:rPr>
                <w:rFonts w:ascii="Calibri" w:hAnsi="Calibri" w:eastAsia="Calibri"/>
                <w:color w:val="FFFFFF"/>
                <w:spacing w:val="0"/>
                <w:w w:val="100"/>
                <w:sz w:val="22"/>
                <w:vertAlign w:val="baseline"/>
                <w:lang w:val="en-US"/>
              </w:rPr>
              <w:t xml:space="preserve">: Chemung, Livingston, Ontario, Schuyler, Seneca, Steuben, Wayne, and Yates Counties</w:t>
            </w:r>
          </w:p>
        </w:tc>
      </w:tr>
    </w:tbl>
    <w:p>
      <w:pPr>
        <w:spacing w:before="0" w:after="49" w:line="240" w:lineRule="auto"/>
        <w:ind w:right="10" w:left="0"/>
        <w:jc w:val="left"/>
        <w:textAlignment w:val="baseline"/>
      </w:pPr>
      <w:r>
        <w:drawing>
          <wp:inline>
            <wp:extent cx="7766050" cy="246316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766050" cy="2463165"/>
                    </a:xfrm>
                    <a:prstGeom prst="rect"/>
                  </pic:spPr>
                </pic:pic>
              </a:graphicData>
            </a:graphic>
          </wp:inline>
        </w:drawing>
      </w:r>
    </w:p>
    <w:p>
      <w:pPr>
        <w:spacing w:before="20" w:after="77" w:line="180" w:lineRule="exact"/>
        <w:ind w:right="0" w:left="360" w:firstLine="0"/>
        <w:jc w:val="left"/>
        <w:textAlignment w:val="baseline"/>
        <w:rPr>
          <w:rFonts w:ascii="Calibri" w:hAnsi="Calibri" w:eastAsia="Calibri"/>
          <w:i w:val="true"/>
          <w:color w:val="0F2840"/>
          <w:spacing w:val="0"/>
          <w:w w:val="100"/>
          <w:sz w:val="18"/>
          <w:vertAlign w:val="baseline"/>
          <w:lang w:val="en-US"/>
        </w:rPr>
      </w:pPr>
      <w:r>
        <w:rPr>
          <w:rFonts w:ascii="Calibri" w:hAnsi="Calibri" w:eastAsia="Calibri"/>
          <w:i w:val="true"/>
          <w:color w:val="0F2840"/>
          <w:spacing w:val="0"/>
          <w:w w:val="100"/>
          <w:sz w:val="18"/>
          <w:vertAlign w:val="baseline"/>
          <w:lang w:val="en-US"/>
        </w:rPr>
        <w:t xml:space="preserve">Courtesy of Finger Lakes Tourism Alliance: Joe Carroll</w:t>
      </w:r>
    </w:p>
    <w:tbl>
      <w:tblPr>
        <w:jc w:val="left"/>
        <w:tblLayout w:type="fixed"/>
        <w:tblCellMar>
          <w:left w:w="0" w:type="dxa"/>
          <w:right w:w="0" w:type="dxa"/>
        </w:tblCellMar>
      </w:tblPr>
      <w:tblGrid>
        <w:gridCol w:w="12240"/>
      </w:tblGrid>
      <w:tr>
        <w:trPr>
          <w:trHeight w:val="533" w:hRule="exact"/>
        </w:trPr>
        <w:tc>
          <w:tcPr>
            <w:tcW w:w="12240" w:type="dxa"/>
            <w:tcBorders>
              <w:top w:val="none"/>
              <w:left w:val="none"/>
              <w:bottom w:val="none"/>
              <w:right w:val="none"/>
            </w:tcBorders>
            <w:shd w:val="clear" w:color="145F82" w:fill="145F82"/>
            <w:textDirection w:val="lrTb"/>
            <w:vAlign w:val="top"/>
          </w:tcPr>
          <w:p>
            <w:pPr>
              <w:spacing w:before="125" w:after="167" w:line="226" w:lineRule="exact"/>
              <w:ind w:right="0" w:left="864"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PREPARED BY: Pivital Public Health Partnership | December 2025</w:t>
            </w:r>
          </w:p>
        </w:tc>
      </w:tr>
    </w:tbl>
    <w:p>
      <w:pPr>
        <w:spacing w:before="0" w:after="119" w:line="20" w:lineRule="exact"/>
      </w:pPr>
    </w:p>
    <w:p>
      <w:pPr>
        <w:spacing w:before="0" w:after="0" w:line="240" w:lineRule="auto"/>
        <w:ind w:right="134" w:left="8050"/>
        <w:jc w:val="left"/>
        <w:textAlignment w:val="baseline"/>
      </w:pPr>
      <w:r>
        <w:drawing>
          <wp:inline>
            <wp:extent cx="2575560" cy="74422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2575560" cy="744220"/>
                    </a:xfrm>
                    <a:prstGeom prst="rect"/>
                  </pic:spPr>
                </pic:pic>
              </a:graphicData>
            </a:graphic>
          </wp:inline>
        </w:drawing>
      </w:r>
    </w:p>
    <w:p>
      <w:pPr>
        <w:sectPr>
          <w:type w:val="nextPage"/>
          <w:pgSz w:w="12240" w:h="15840" w:orient="portrait"/>
          <w:pgMar w:bottom="1044" w:top="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line strokeweight="1.7pt" strokecolor="#145F82" from="0pt,62.9pt" to="611.55pt,62.9pt" style="position:absolute;mso-position-horizontal-relative:page;mso-position-vertical-relative:page;">
            <v:stroke dashstyle="solid"/>
          </v:line>
        </w:pict>
      </w:r>
      <w:r>
        <w:rPr>
          <w:rFonts w:ascii="Calibri" w:hAnsi="Calibri" w:eastAsia="Calibri"/>
          <w:b w:val="true"/>
          <w:color w:val="145F82"/>
          <w:spacing w:val="0"/>
          <w:w w:val="100"/>
          <w:sz w:val="28"/>
          <w:vertAlign w:val="baseline"/>
          <w:lang w:val="en-US"/>
        </w:rPr>
        <w:t xml:space="preserve">Comprehensive Regional Community Health Assessment</w:t>
      </w:r>
    </w:p>
    <w:p>
      <w:pPr>
        <w:shd w:val="solid" w:color="C1E3F5" w:fill="C1E3F5"/>
        <w:tabs>
          <w:tab w:val="right" w:leader="none" w:pos="9288"/>
        </w:tabs>
        <w:spacing w:before="0" w:after="0" w:line="228" w:lineRule="exact"/>
        <w:ind w:right="1450" w:left="1512" w:firstLine="0"/>
        <w:jc w:val="left"/>
        <w:textAlignment w:val="baseline"/>
        <w:rPr>
          <w:rFonts w:ascii="Calibri" w:hAnsi="Calibri" w:eastAsia="Calibri"/>
          <w:b w:val="true"/>
          <w:color w:val="000000"/>
          <w:spacing w:val="0"/>
          <w:w w:val="100"/>
          <w:sz w:val="23"/>
          <w:vertAlign w:val="baseline"/>
          <w:lang w:val="en-US"/>
        </w:rPr>
      </w:pPr>
      <w:r>
        <w:pict>
          <v:shapetype id="_x0000_t1" coordsize="21600,21600" o:spt="202" path="m,l,21600r21600,l21600,xe">
            <v:stroke joinstyle="miter"/>
            <v:path gradientshapeok="t" o:connecttype="rect"/>
          </v:shapetype>
          <v:shape id="_x0000_s0" type="#_x0000_t1" filled="f" stroked="f" style="position:absolute;width:610.3pt;height:34.55pt;z-index:-1;margin-left:0pt;margin-top:71.75pt;mso-wrap-distance-top:9.75pt;mso-wrap-distance-bottom:26.4pt;mso-wrap-distance-left:0pt;mso-wrap-distance-right:1.7pt;mso-position-horizontal-relative:page;mso-position-vertical-relative:page">
            <w10:wrap type="square"/>
            <v:fill opacity="1" o:opacity2="1" recolor="f" rotate="f" type="solid"/>
            <v:textbox inset="0pt, 0pt, 0pt, 0pt">
              <w:txbxContent/>
            </v:textbox>
          </v:shape>
        </w:pict>
      </w:r>
      <w:r>
        <w:pict>
          <v:shapetype id="_x0000_t2" coordsize="21600,21600" o:spt="202" path="m,l,21600r21600,l21600,xe">
            <v:stroke joinstyle="miter"/>
            <v:path gradientshapeok="t" o:connecttype="rect"/>
          </v:shapetype>
          <v:shape id="_x0000_s1" type="#_x0000_t2" filled="f" stroked="f" style="position:absolute;width:610.3pt;height:34.55pt;z-index:-1;margin-left:0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50810" cy="438785"/>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7750810" cy="438785"/>
                                </a:xfrm>
                                <a:prstGeom prst="rect"/>
                              </pic:spPr>
                            </pic:pic>
                          </a:graphicData>
                        </a:graphic>
                      </wp:inline>
                    </w:drawing>
                  </w:r>
                </w:p>
              </w:txbxContent>
            </v:textbox>
          </v:shape>
        </w:pict>
      </w:r>
      <w:r>
        <w:pict>
          <v:shapetype id="_x0000_t3" coordsize="21600,21600" o:spt="202" path="m,l,21600r21600,l21600,xe">
            <v:stroke joinstyle="miter"/>
            <v:path gradientshapeok="t" o:connecttype="rect"/>
          </v:shapetype>
          <v:shape id="_x0000_s2" type="#_x0000_t3" filled="f" stroked="f" style="position:absolute;width:100.55pt;height:16pt;z-index:-1;margin-left:254.9pt;margin-top:76.4pt;mso-wrap-distance-left:0pt;mso-wrap-distance-right:0pt;mso-position-horizontal-relative:page;mso-position-vertical-relative:page">
            <w10:wrap type="square" side="both"/>
            <v:fill opacity="1" o:opacity2="1" recolor="f" rotate="f" type="solid"/>
            <v:textbox inset="0pt, 0pt, 0pt, 0pt">
              <w:txbxContent>
                <w:p>
                  <w:pPr>
                    <w:spacing w:before="33" w:after="0" w:line="282" w:lineRule="exact"/>
                    <w:ind w:right="0" w:left="0" w:firstLine="0"/>
                    <w:jc w:val="center"/>
                    <w:textAlignment w:val="baseline"/>
                    <w:rPr>
                      <w:rFonts w:ascii="Calibri" w:hAnsi="Calibri" w:eastAsia="Calibri"/>
                      <w:b w:val="true"/>
                      <w:color w:val="FFFFFF"/>
                      <w:spacing w:val="-8"/>
                      <w:w w:val="100"/>
                      <w:sz w:val="28"/>
                      <w:vertAlign w:val="baseline"/>
                      <w:lang w:val="en-US"/>
                    </w:rPr>
                  </w:pPr>
                  <w:r>
                    <w:rPr>
                      <w:rFonts w:ascii="Calibri" w:hAnsi="Calibri" w:eastAsia="Calibri"/>
                      <w:b w:val="true"/>
                      <w:color w:val="FFFFFF"/>
                      <w:spacing w:val="-8"/>
                      <w:w w:val="100"/>
                      <w:sz w:val="28"/>
                      <w:vertAlign w:val="baseline"/>
                      <w:lang w:val="en-US"/>
                    </w:rPr>
                    <w:t xml:space="preserve">Table of Contents</w:t>
                  </w:r>
                </w:p>
              </w:txbxContent>
            </v:textbox>
          </v:shape>
        </w:pict>
      </w:r>
      <w:r>
        <w:rPr>
          <w:rFonts w:ascii="Calibri" w:hAnsi="Calibri" w:eastAsia="Calibri"/>
          <w:b w:val="true"/>
          <w:color w:val="000000"/>
          <w:spacing w:val="0"/>
          <w:w w:val="100"/>
          <w:sz w:val="23"/>
          <w:vertAlign w:val="baseline"/>
          <w:lang w:val="en-US"/>
        </w:rPr>
        <w:t xml:space="preserve">Executive Summary	</w:t>
      </w:r>
      <w:r>
        <w:rPr>
          <w:rFonts w:ascii="Calibri" w:hAnsi="Calibri" w:eastAsia="Calibri"/>
          <w:color w:val="000000"/>
          <w:spacing w:val="0"/>
          <w:w w:val="100"/>
          <w:sz w:val="22"/>
          <w:vertAlign w:val="baseline"/>
          <w:lang w:val="en-US"/>
        </w:rPr>
        <w:t xml:space="preserve">4</w:t>
      </w:r>
    </w:p>
    <w:p>
      <w:pPr>
        <w:tabs>
          <w:tab w:val="left" w:leader="none" w:pos="10440"/>
        </w:tabs>
        <w:spacing w:before="25" w:after="4" w:line="230" w:lineRule="exact"/>
        <w:ind w:right="0" w:left="1512" w:firstLine="0"/>
        <w:jc w:val="left"/>
        <w:textAlignment w:val="baseline"/>
        <w:rPr>
          <w:rFonts w:ascii="Calibri" w:hAnsi="Calibri" w:eastAsia="Calibri"/>
          <w:b w:val="true"/>
          <w:color w:val="000000"/>
          <w:spacing w:val="-1"/>
          <w:w w:val="100"/>
          <w:sz w:val="23"/>
          <w:vertAlign w:val="baseline"/>
          <w:lang w:val="en-US"/>
        </w:rPr>
      </w:pPr>
      <w:r>
        <w:rPr>
          <w:rFonts w:ascii="Calibri" w:hAnsi="Calibri" w:eastAsia="Calibri"/>
          <w:b w:val="true"/>
          <w:color w:val="000000"/>
          <w:spacing w:val="-1"/>
          <w:w w:val="100"/>
          <w:sz w:val="23"/>
          <w:vertAlign w:val="baseline"/>
          <w:lang w:val="en-US"/>
        </w:rPr>
        <w:t xml:space="preserve">County Specific Priority Areas	</w:t>
      </w:r>
      <w:r>
        <w:rPr>
          <w:rFonts w:ascii="Calibri" w:hAnsi="Calibri" w:eastAsia="Calibri"/>
          <w:color w:val="000000"/>
          <w:spacing w:val="-1"/>
          <w:w w:val="100"/>
          <w:sz w:val="22"/>
          <w:vertAlign w:val="baseline"/>
          <w:lang w:val="en-US"/>
        </w:rPr>
        <w:t xml:space="preserve">10</w:t>
      </w:r>
    </w:p>
    <w:p>
      <w:pPr>
        <w:shd w:val="solid" w:color="C1E3F5" w:fill="C1E3F5"/>
        <w:tabs>
          <w:tab w:val="right" w:leader="none" w:pos="9288"/>
        </w:tabs>
        <w:spacing w:before="0" w:after="14" w:line="230" w:lineRule="exact"/>
        <w:ind w:right="145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Steering Committee	</w:t>
      </w:r>
      <w:r>
        <w:rPr>
          <w:rFonts w:ascii="Calibri" w:hAnsi="Calibri" w:eastAsia="Calibri"/>
          <w:color w:val="000000"/>
          <w:spacing w:val="0"/>
          <w:w w:val="100"/>
          <w:sz w:val="22"/>
          <w:vertAlign w:val="baseline"/>
          <w:lang w:val="en-US"/>
        </w:rPr>
        <w:t xml:space="preserve">11</w:t>
      </w:r>
    </w:p>
    <w:p>
      <w:pPr>
        <w:tabs>
          <w:tab w:val="left" w:leader="none" w:pos="10440"/>
        </w:tabs>
        <w:spacing w:before="25" w:after="14" w:line="229" w:lineRule="exact"/>
        <w:ind w:right="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New York State 2025-2030 Prevention Agenda	</w:t>
      </w:r>
      <w:r>
        <w:rPr>
          <w:rFonts w:ascii="Calibri" w:hAnsi="Calibri" w:eastAsia="Calibri"/>
          <w:color w:val="000000"/>
          <w:spacing w:val="0"/>
          <w:w w:val="100"/>
          <w:sz w:val="22"/>
          <w:vertAlign w:val="baseline"/>
          <w:lang w:val="en-US"/>
        </w:rPr>
        <w:t xml:space="preserve">12</w:t>
      </w:r>
    </w:p>
    <w:p>
      <w:pPr>
        <w:shd w:val="solid" w:color="C1E3F5" w:fill="C1E3F5"/>
        <w:tabs>
          <w:tab w:val="right" w:leader="none" w:pos="9288"/>
        </w:tabs>
        <w:spacing w:before="0" w:after="4" w:line="229" w:lineRule="exact"/>
        <w:ind w:right="145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Data Method and Processes (Methodology)	</w:t>
      </w:r>
      <w:r>
        <w:rPr>
          <w:rFonts w:ascii="Calibri" w:hAnsi="Calibri" w:eastAsia="Calibri"/>
          <w:color w:val="000000"/>
          <w:spacing w:val="0"/>
          <w:w w:val="100"/>
          <w:sz w:val="22"/>
          <w:vertAlign w:val="baseline"/>
          <w:lang w:val="en-US"/>
        </w:rPr>
        <w:t xml:space="preserve">14</w:t>
      </w:r>
    </w:p>
    <w:p>
      <w:pPr>
        <w:tabs>
          <w:tab w:val="left" w:leader="none" w:pos="10440"/>
        </w:tabs>
        <w:spacing w:before="16" w:after="0" w:line="229" w:lineRule="exact"/>
        <w:ind w:right="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Comprehensive Regional Community Health Assessment	</w:t>
      </w:r>
      <w:r>
        <w:rPr>
          <w:rFonts w:ascii="Calibri" w:hAnsi="Calibri" w:eastAsia="Calibri"/>
          <w:color w:val="000000"/>
          <w:spacing w:val="0"/>
          <w:w w:val="100"/>
          <w:sz w:val="22"/>
          <w:vertAlign w:val="baseline"/>
          <w:lang w:val="en-US"/>
        </w:rPr>
        <w:t xml:space="preserve">21</w:t>
      </w:r>
    </w:p>
    <w:p>
      <w:pPr>
        <w:shd w:val="solid" w:color="C1E3F5" w:fill="C1E3F5"/>
        <w:tabs>
          <w:tab w:val="right" w:leader="none" w:pos="9288"/>
        </w:tabs>
        <w:spacing w:before="0" w:after="19" w:line="229" w:lineRule="exact"/>
        <w:ind w:right="145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Demographics	</w:t>
      </w:r>
      <w:r>
        <w:rPr>
          <w:rFonts w:ascii="Calibri" w:hAnsi="Calibri" w:eastAsia="Calibri"/>
          <w:color w:val="000000"/>
          <w:spacing w:val="0"/>
          <w:w w:val="100"/>
          <w:sz w:val="22"/>
          <w:vertAlign w:val="baseline"/>
          <w:lang w:val="en-US"/>
        </w:rPr>
        <w:t xml:space="preserve">21</w:t>
      </w:r>
    </w:p>
    <w:p>
      <w:pPr>
        <w:tabs>
          <w:tab w:val="left" w:leader="none" w:pos="10440"/>
        </w:tabs>
        <w:spacing w:before="20" w:after="9" w:line="230" w:lineRule="exact"/>
        <w:ind w:right="0" w:left="1512"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New York State 2025-2030 Prevention Agenda Domains and Priorities	</w:t>
      </w:r>
      <w:r>
        <w:rPr>
          <w:rFonts w:ascii="Calibri" w:hAnsi="Calibri" w:eastAsia="Calibri"/>
          <w:color w:val="000000"/>
          <w:spacing w:val="0"/>
          <w:w w:val="100"/>
          <w:sz w:val="22"/>
          <w:vertAlign w:val="baseline"/>
          <w:lang w:val="en-US"/>
        </w:rPr>
        <w:t xml:space="preserve">37</w:t>
      </w:r>
    </w:p>
    <w:p>
      <w:pPr>
        <w:shd w:val="solid" w:color="145F82" w:fill="145F82"/>
        <w:spacing w:before="0" w:after="14" w:line="229" w:lineRule="exact"/>
        <w:ind w:right="1450" w:left="1512" w:firstLine="0"/>
        <w:jc w:val="left"/>
        <w:textAlignment w:val="baseline"/>
        <w:rPr>
          <w:rFonts w:ascii="Calibri" w:hAnsi="Calibri" w:eastAsia="Calibri"/>
          <w:b w:val="true"/>
          <w:color w:val="FFFFFF"/>
          <w:spacing w:val="-5"/>
          <w:w w:val="100"/>
          <w:sz w:val="23"/>
          <w:vertAlign w:val="baseline"/>
          <w:lang w:val="en-US"/>
        </w:rPr>
      </w:pPr>
      <w:r>
        <w:rPr>
          <w:rFonts w:ascii="Calibri" w:hAnsi="Calibri" w:eastAsia="Calibri"/>
          <w:b w:val="true"/>
          <w:color w:val="FFFFFF"/>
          <w:spacing w:val="-5"/>
          <w:w w:val="100"/>
          <w:sz w:val="23"/>
          <w:vertAlign w:val="baseline"/>
          <w:lang w:val="en-US"/>
        </w:rPr>
        <w:t xml:space="preserve">List of Tables:</w:t>
      </w:r>
    </w:p>
    <w:tbl>
      <w:tblPr>
        <w:jc w:val="left"/>
        <w:tblInd w:w="1440" w:type="dxa"/>
        <w:tblLayout w:type="fixed"/>
        <w:tblCellMar>
          <w:left w:w="0" w:type="dxa"/>
          <w:right w:w="0" w:type="dxa"/>
        </w:tblCellMar>
      </w:tblPr>
      <w:tblGrid>
        <w:gridCol w:w="9350"/>
      </w:tblGrid>
      <w:tr>
        <w:trPr>
          <w:trHeight w:val="273"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0"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 County-Specific Priority Areas	</w:t>
            </w:r>
            <w:r>
              <w:rPr>
                <w:rFonts w:ascii="Calibri" w:hAnsi="Calibri" w:eastAsia="Calibri"/>
                <w:color w:val="000000"/>
                <w:spacing w:val="0"/>
                <w:w w:val="100"/>
                <w:sz w:val="22"/>
                <w:vertAlign w:val="baseline"/>
                <w:lang w:val="en-US"/>
              </w:rPr>
              <w:t xml:space="preserve">10</w:t>
            </w:r>
          </w:p>
        </w:tc>
      </w:tr>
    </w:tbl>
    <w:p>
      <w:pPr>
        <w:tabs>
          <w:tab w:val="left" w:leader="none" w:pos="10440"/>
        </w:tabs>
        <w:spacing w:before="24" w:after="1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2: NYSDOH Prevention Agenda Domains, Priorities and Targets	</w:t>
      </w:r>
      <w:r>
        <w:rPr>
          <w:rFonts w:ascii="Calibri" w:hAnsi="Calibri" w:eastAsia="Calibri"/>
          <w:color w:val="000000"/>
          <w:spacing w:val="0"/>
          <w:w w:val="100"/>
          <w:sz w:val="22"/>
          <w:vertAlign w:val="baseline"/>
          <w:lang w:val="en-US"/>
        </w:rPr>
        <w:t xml:space="preserve">13</w:t>
      </w:r>
    </w:p>
    <w:tbl>
      <w:tblPr>
        <w:jc w:val="left"/>
        <w:tblInd w:w="1440" w:type="dxa"/>
        <w:tblLayout w:type="fixed"/>
        <w:tblCellMar>
          <w:left w:w="0" w:type="dxa"/>
          <w:right w:w="0" w:type="dxa"/>
        </w:tblCellMar>
      </w:tblPr>
      <w:tblGrid>
        <w:gridCol w:w="9350"/>
      </w:tblGrid>
      <w:tr>
        <w:trPr>
          <w:trHeight w:val="274"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3: Farms and Farm Workers in the Finger Lakes Region	</w:t>
            </w:r>
            <w:r>
              <w:rPr>
                <w:rFonts w:ascii="Calibri" w:hAnsi="Calibri" w:eastAsia="Calibri"/>
                <w:color w:val="000000"/>
                <w:spacing w:val="0"/>
                <w:w w:val="100"/>
                <w:sz w:val="22"/>
                <w:vertAlign w:val="baseline"/>
                <w:lang w:val="en-US"/>
              </w:rPr>
              <w:t xml:space="preserve">24</w:t>
            </w:r>
          </w:p>
        </w:tc>
      </w:tr>
    </w:tbl>
    <w:p>
      <w:pPr>
        <w:tabs>
          <w:tab w:val="left" w:leader="none" w:pos="10440"/>
        </w:tabs>
        <w:spacing w:before="23" w:after="9"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4: Foreign Born and Citizenship	</w:t>
      </w:r>
      <w:r>
        <w:rPr>
          <w:rFonts w:ascii="Calibri" w:hAnsi="Calibri" w:eastAsia="Calibri"/>
          <w:color w:val="000000"/>
          <w:spacing w:val="0"/>
          <w:w w:val="100"/>
          <w:sz w:val="22"/>
          <w:vertAlign w:val="baseline"/>
          <w:lang w:val="en-US"/>
        </w:rPr>
        <w:t xml:space="preserve">26</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4"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5: Life Expectancy	</w:t>
            </w:r>
            <w:r>
              <w:rPr>
                <w:rFonts w:ascii="Calibri" w:hAnsi="Calibri" w:eastAsia="Calibri"/>
                <w:color w:val="000000"/>
                <w:spacing w:val="0"/>
                <w:w w:val="100"/>
                <w:sz w:val="22"/>
                <w:vertAlign w:val="baseline"/>
                <w:lang w:val="en-US"/>
              </w:rPr>
              <w:t xml:space="preserve">32</w:t>
            </w:r>
          </w:p>
        </w:tc>
      </w:tr>
    </w:tbl>
    <w:p>
      <w:pPr>
        <w:tabs>
          <w:tab w:val="left" w:leader="none" w:pos="10440"/>
        </w:tabs>
        <w:spacing w:before="28" w:after="1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6: Leading Causes of Death 2022	</w:t>
      </w:r>
      <w:r>
        <w:rPr>
          <w:rFonts w:ascii="Calibri" w:hAnsi="Calibri" w:eastAsia="Calibri"/>
          <w:color w:val="000000"/>
          <w:spacing w:val="0"/>
          <w:w w:val="100"/>
          <w:sz w:val="22"/>
          <w:vertAlign w:val="baseline"/>
          <w:lang w:val="en-US"/>
        </w:rPr>
        <w:t xml:space="preserve">33</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3"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7: Leading Causes of Premature Death	</w:t>
            </w:r>
            <w:r>
              <w:rPr>
                <w:rFonts w:ascii="Calibri" w:hAnsi="Calibri" w:eastAsia="Calibri"/>
                <w:color w:val="000000"/>
                <w:spacing w:val="0"/>
                <w:w w:val="100"/>
                <w:sz w:val="22"/>
                <w:vertAlign w:val="baseline"/>
                <w:lang w:val="en-US"/>
              </w:rPr>
              <w:t xml:space="preserve">35</w:t>
            </w:r>
          </w:p>
        </w:tc>
      </w:tr>
    </w:tbl>
    <w:p>
      <w:pPr>
        <w:tabs>
          <w:tab w:val="left" w:leader="none" w:pos="10440"/>
        </w:tabs>
        <w:spacing w:before="29" w:after="1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8: County Health Rankings	</w:t>
      </w:r>
      <w:r>
        <w:rPr>
          <w:rFonts w:ascii="Calibri" w:hAnsi="Calibri" w:eastAsia="Calibri"/>
          <w:color w:val="000000"/>
          <w:spacing w:val="0"/>
          <w:w w:val="100"/>
          <w:sz w:val="22"/>
          <w:vertAlign w:val="baseline"/>
          <w:lang w:val="en-US"/>
        </w:rPr>
        <w:t xml:space="preserve">36</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4" w:after="2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9: Poverty Rates in the Finger Lakes Region	</w:t>
            </w:r>
            <w:r>
              <w:rPr>
                <w:rFonts w:ascii="Calibri" w:hAnsi="Calibri" w:eastAsia="Calibri"/>
                <w:color w:val="000000"/>
                <w:spacing w:val="0"/>
                <w:w w:val="100"/>
                <w:sz w:val="22"/>
                <w:vertAlign w:val="baseline"/>
                <w:lang w:val="en-US"/>
              </w:rPr>
              <w:t xml:space="preserve">39</w:t>
            </w:r>
          </w:p>
        </w:tc>
      </w:tr>
    </w:tbl>
    <w:p>
      <w:pPr>
        <w:tabs>
          <w:tab w:val="left" w:leader="none" w:pos="10440"/>
        </w:tabs>
        <w:spacing w:before="23" w:after="14"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10: Food Environment Index in the Finger Lakes Region	</w:t>
      </w:r>
      <w:r>
        <w:rPr>
          <w:rFonts w:ascii="Calibri" w:hAnsi="Calibri" w:eastAsia="Calibri"/>
          <w:color w:val="000000"/>
          <w:spacing w:val="0"/>
          <w:w w:val="100"/>
          <w:sz w:val="22"/>
          <w:vertAlign w:val="baseline"/>
          <w:lang w:val="en-US"/>
        </w:rPr>
        <w:t xml:space="preserve">41</w:t>
      </w:r>
    </w:p>
    <w:tbl>
      <w:tblPr>
        <w:jc w:val="left"/>
        <w:tblInd w:w="1440" w:type="dxa"/>
        <w:tblLayout w:type="fixed"/>
        <w:tblCellMar>
          <w:left w:w="0" w:type="dxa"/>
          <w:right w:w="0" w:type="dxa"/>
        </w:tblCellMar>
      </w:tblPr>
      <w:tblGrid>
        <w:gridCol w:w="9350"/>
      </w:tblGrid>
      <w:tr>
        <w:trPr>
          <w:trHeight w:val="537" w:hRule="exact"/>
        </w:trPr>
        <w:tc>
          <w:tcPr>
            <w:tcW w:w="9350" w:type="dxa"/>
            <w:tcBorders>
              <w:top w:val="none"/>
              <w:left w:val="none"/>
              <w:bottom w:val="none"/>
              <w:right w:val="none"/>
            </w:tcBorders>
            <w:shd w:val="clear" w:color="C1E3F5" w:fill="C1E3F5"/>
            <w:textDirection w:val="lrTb"/>
            <w:vAlign w:val="top"/>
          </w:tcPr>
          <w:p>
            <w:pPr>
              <w:tabs>
                <w:tab w:val="right" w:leader="none" w:pos="9360"/>
              </w:tabs>
              <w:spacing w:before="26" w:after="0" w:line="223"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11: Housing Cost Burden and Area Deprivation Index in the Finger Lakes	</w:t>
            </w:r>
            <w:r>
              <w:rPr>
                <w:rFonts w:ascii="Calibri" w:hAnsi="Calibri" w:eastAsia="Calibri"/>
                <w:color w:val="000000"/>
                <w:spacing w:val="0"/>
                <w:w w:val="100"/>
                <w:sz w:val="22"/>
                <w:vertAlign w:val="baseline"/>
                <w:lang w:val="en-US"/>
              </w:rPr>
              <w:t xml:space="preserve">42</w:t>
            </w:r>
          </w:p>
          <w:p>
            <w:pPr>
              <w:spacing w:before="48" w:after="5" w:line="221" w:lineRule="exact"/>
              <w:ind w:right="0" w:left="792" w:firstLine="0"/>
              <w:jc w:val="left"/>
              <w:textAlignment w:val="baseline"/>
              <w:rPr>
                <w:rFonts w:ascii="Calibri" w:hAnsi="Calibri" w:eastAsia="Calibri"/>
                <w:color w:val="000000"/>
                <w:spacing w:val="-4"/>
                <w:w w:val="100"/>
                <w:sz w:val="22"/>
                <w:vertAlign w:val="baseline"/>
                <w:lang w:val="en-US"/>
              </w:rPr>
            </w:pPr>
            <w:r>
              <w:rPr>
                <w:rFonts w:ascii="Calibri" w:hAnsi="Calibri" w:eastAsia="Calibri"/>
                <w:color w:val="000000"/>
                <w:spacing w:val="-4"/>
                <w:w w:val="100"/>
                <w:sz w:val="22"/>
                <w:vertAlign w:val="baseline"/>
                <w:lang w:val="en-US"/>
              </w:rPr>
              <w:t xml:space="preserve">Region</w:t>
            </w:r>
          </w:p>
        </w:tc>
      </w:tr>
    </w:tbl>
    <w:p>
      <w:pPr>
        <w:tabs>
          <w:tab w:val="left" w:leader="none" w:pos="10440"/>
        </w:tabs>
        <w:spacing w:before="0" w:after="14" w:line="259" w:lineRule="exact"/>
        <w:ind w:right="1512" w:left="2520" w:hanging="288"/>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12: Rate of Depressive Disorders and Percentage of Adults Reporting	</w:t>
      </w:r>
      <w:r>
        <w:rPr>
          <w:rFonts w:ascii="Calibri" w:hAnsi="Calibri" w:eastAsia="Calibri"/>
          <w:color w:val="000000"/>
          <w:spacing w:val="0"/>
          <w:w w:val="100"/>
          <w:sz w:val="22"/>
          <w:vertAlign w:val="baseline"/>
          <w:lang w:val="en-US"/>
        </w:rPr>
        <w:t xml:space="preserve">44 14 or more days of Poor Mental Health in a Month</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13: Overdose Deaths	</w:t>
            </w:r>
            <w:r>
              <w:rPr>
                <w:rFonts w:ascii="Calibri" w:hAnsi="Calibri" w:eastAsia="Calibri"/>
                <w:color w:val="000000"/>
                <w:spacing w:val="0"/>
                <w:w w:val="100"/>
                <w:sz w:val="22"/>
                <w:vertAlign w:val="baseline"/>
                <w:lang w:val="en-US"/>
              </w:rPr>
              <w:t xml:space="preserve">45</w:t>
            </w:r>
          </w:p>
        </w:tc>
      </w:tr>
    </w:tbl>
    <w:p>
      <w:pPr>
        <w:tabs>
          <w:tab w:val="left" w:leader="none" w:pos="10440"/>
        </w:tabs>
        <w:spacing w:before="28" w:after="10"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14: Healthy Eating	</w:t>
      </w:r>
      <w:r>
        <w:rPr>
          <w:rFonts w:ascii="Calibri" w:hAnsi="Calibri" w:eastAsia="Calibri"/>
          <w:color w:val="000000"/>
          <w:spacing w:val="0"/>
          <w:w w:val="100"/>
          <w:sz w:val="22"/>
          <w:vertAlign w:val="baseline"/>
          <w:lang w:val="en-US"/>
        </w:rPr>
        <w:t xml:space="preserve">47</w:t>
      </w:r>
    </w:p>
    <w:tbl>
      <w:tblPr>
        <w:jc w:val="left"/>
        <w:tblInd w:w="1440" w:type="dxa"/>
        <w:tblLayout w:type="fixed"/>
        <w:tblCellMar>
          <w:left w:w="0" w:type="dxa"/>
          <w:right w:w="0" w:type="dxa"/>
        </w:tblCellMar>
      </w:tblPr>
      <w:tblGrid>
        <w:gridCol w:w="9350"/>
      </w:tblGrid>
      <w:tr>
        <w:trPr>
          <w:trHeight w:val="264"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3"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15: Injuries and Violence	</w:t>
            </w:r>
            <w:r>
              <w:rPr>
                <w:rFonts w:ascii="Calibri" w:hAnsi="Calibri" w:eastAsia="Calibri"/>
                <w:color w:val="000000"/>
                <w:spacing w:val="0"/>
                <w:w w:val="100"/>
                <w:sz w:val="22"/>
                <w:vertAlign w:val="baseline"/>
                <w:lang w:val="en-US"/>
              </w:rPr>
              <w:t xml:space="preserve">51</w:t>
            </w:r>
          </w:p>
        </w:tc>
      </w:tr>
    </w:tbl>
    <w:p>
      <w:pPr>
        <w:tabs>
          <w:tab w:val="left" w:leader="none" w:pos="10440"/>
        </w:tabs>
        <w:spacing w:before="28" w:after="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16: Provider Access in the Finger Lakes Region	</w:t>
      </w:r>
      <w:r>
        <w:rPr>
          <w:rFonts w:ascii="Calibri" w:hAnsi="Calibri" w:eastAsia="Calibri"/>
          <w:color w:val="000000"/>
          <w:spacing w:val="0"/>
          <w:w w:val="100"/>
          <w:sz w:val="22"/>
          <w:vertAlign w:val="baseline"/>
          <w:lang w:val="en-US"/>
        </w:rPr>
        <w:t xml:space="preserve">58</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17: Preventive Services	</w:t>
            </w:r>
            <w:r>
              <w:rPr>
                <w:rFonts w:ascii="Calibri" w:hAnsi="Calibri" w:eastAsia="Calibri"/>
                <w:color w:val="000000"/>
                <w:spacing w:val="0"/>
                <w:w w:val="100"/>
                <w:sz w:val="22"/>
                <w:vertAlign w:val="baseline"/>
                <w:lang w:val="en-US"/>
              </w:rPr>
              <w:t xml:space="preserve">59</w:t>
            </w:r>
          </w:p>
        </w:tc>
      </w:tr>
    </w:tbl>
    <w:p>
      <w:pPr>
        <w:tabs>
          <w:tab w:val="left" w:leader="none" w:pos="10440"/>
        </w:tabs>
        <w:spacing w:before="28" w:after="20" w:line="221"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Table 18: Oral Care	</w:t>
      </w:r>
      <w:r>
        <w:rPr>
          <w:rFonts w:ascii="Calibri" w:hAnsi="Calibri" w:eastAsia="Calibri"/>
          <w:color w:val="000000"/>
          <w:spacing w:val="-1"/>
          <w:w w:val="100"/>
          <w:sz w:val="22"/>
          <w:vertAlign w:val="baseline"/>
          <w:lang w:val="en-US"/>
        </w:rPr>
        <w:t xml:space="preserve">60</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19: Emergency Department Visits and Preventable Hospitalizations	</w:t>
            </w:r>
            <w:r>
              <w:rPr>
                <w:rFonts w:ascii="Calibri" w:hAnsi="Calibri" w:eastAsia="Calibri"/>
                <w:color w:val="000000"/>
                <w:spacing w:val="0"/>
                <w:w w:val="100"/>
                <w:sz w:val="22"/>
                <w:vertAlign w:val="baseline"/>
                <w:lang w:val="en-US"/>
              </w:rPr>
              <w:t xml:space="preserve">61</w:t>
            </w:r>
          </w:p>
        </w:tc>
      </w:tr>
    </w:tbl>
    <w:p>
      <w:pPr>
        <w:tabs>
          <w:tab w:val="left" w:leader="none" w:pos="10440"/>
        </w:tabs>
        <w:spacing w:before="28" w:after="1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20: Education-related Socio-economic Factors	</w:t>
      </w:r>
      <w:r>
        <w:rPr>
          <w:rFonts w:ascii="Calibri" w:hAnsi="Calibri" w:eastAsia="Calibri"/>
          <w:color w:val="000000"/>
          <w:spacing w:val="0"/>
          <w:w w:val="100"/>
          <w:sz w:val="22"/>
          <w:vertAlign w:val="baseline"/>
          <w:lang w:val="en-US"/>
        </w:rPr>
        <w:t xml:space="preserve">65</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5"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21: Education Indicators	</w:t>
            </w:r>
            <w:r>
              <w:rPr>
                <w:rFonts w:ascii="Calibri" w:hAnsi="Calibri" w:eastAsia="Calibri"/>
                <w:color w:val="000000"/>
                <w:spacing w:val="0"/>
                <w:w w:val="100"/>
                <w:sz w:val="22"/>
                <w:vertAlign w:val="baseline"/>
                <w:lang w:val="en-US"/>
              </w:rPr>
              <w:t xml:space="preserve">65</w:t>
            </w:r>
          </w:p>
        </w:tc>
      </w:tr>
    </w:tbl>
    <w:p>
      <w:pPr>
        <w:shd w:val="solid" w:color="145F82" w:fill="145F82"/>
        <w:spacing w:before="0" w:after="19" w:line="229" w:lineRule="exact"/>
        <w:ind w:right="1450" w:left="1512" w:firstLine="0"/>
        <w:jc w:val="left"/>
        <w:textAlignment w:val="baseline"/>
        <w:rPr>
          <w:rFonts w:ascii="Calibri" w:hAnsi="Calibri" w:eastAsia="Calibri"/>
          <w:b w:val="true"/>
          <w:color w:val="FFFFFF"/>
          <w:spacing w:val="-5"/>
          <w:w w:val="100"/>
          <w:sz w:val="23"/>
          <w:vertAlign w:val="baseline"/>
          <w:lang w:val="en-US"/>
        </w:rPr>
      </w:pPr>
      <w:r>
        <w:rPr>
          <w:rFonts w:ascii="Calibri" w:hAnsi="Calibri" w:eastAsia="Calibri"/>
          <w:b w:val="true"/>
          <w:color w:val="FFFFFF"/>
          <w:spacing w:val="-5"/>
          <w:w w:val="100"/>
          <w:sz w:val="23"/>
          <w:vertAlign w:val="baseline"/>
          <w:lang w:val="en-US"/>
        </w:rPr>
        <w:t xml:space="preserve">List of Maps:</w:t>
      </w:r>
    </w:p>
    <w:p>
      <w:pPr>
        <w:tabs>
          <w:tab w:val="left" w:leader="none" w:pos="10440"/>
        </w:tabs>
        <w:spacing w:before="23" w:after="14"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 The Finger Lakes Region of New York State	</w:t>
      </w:r>
      <w:r>
        <w:rPr>
          <w:rFonts w:ascii="Calibri" w:hAnsi="Calibri" w:eastAsia="Calibri"/>
          <w:color w:val="000000"/>
          <w:spacing w:val="0"/>
          <w:w w:val="100"/>
          <w:sz w:val="22"/>
          <w:vertAlign w:val="baseline"/>
          <w:lang w:val="en-US"/>
        </w:rPr>
        <w:t xml:space="preserve">21</w:t>
      </w:r>
    </w:p>
    <w:tbl>
      <w:tblPr>
        <w:jc w:val="left"/>
        <w:tblInd w:w="1440" w:type="dxa"/>
        <w:tblLayout w:type="fixed"/>
        <w:tblCellMar>
          <w:left w:w="0" w:type="dxa"/>
          <w:right w:w="0" w:type="dxa"/>
        </w:tblCellMar>
      </w:tblPr>
      <w:tblGrid>
        <w:gridCol w:w="9350"/>
      </w:tblGrid>
      <w:tr>
        <w:trPr>
          <w:trHeight w:val="274"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8"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2: Households without a Vehicle by Zip Code	</w:t>
            </w:r>
            <w:r>
              <w:rPr>
                <w:rFonts w:ascii="Calibri" w:hAnsi="Calibri" w:eastAsia="Calibri"/>
                <w:color w:val="000000"/>
                <w:spacing w:val="0"/>
                <w:w w:val="100"/>
                <w:sz w:val="22"/>
                <w:vertAlign w:val="baseline"/>
                <w:lang w:val="en-US"/>
              </w:rPr>
              <w:t xml:space="preserve">31</w:t>
            </w:r>
          </w:p>
        </w:tc>
      </w:tr>
    </w:tbl>
    <w:p>
      <w:pPr>
        <w:tabs>
          <w:tab w:val="left" w:leader="none" w:pos="10440"/>
        </w:tabs>
        <w:spacing w:before="23" w:after="10"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3: Life Expectancy by Zip Code, Finger Lakes Region	</w:t>
      </w:r>
      <w:r>
        <w:rPr>
          <w:rFonts w:ascii="Calibri" w:hAnsi="Calibri" w:eastAsia="Calibri"/>
          <w:color w:val="000000"/>
          <w:spacing w:val="0"/>
          <w:w w:val="100"/>
          <w:sz w:val="22"/>
          <w:vertAlign w:val="baseline"/>
          <w:lang w:val="en-US"/>
        </w:rPr>
        <w:t xml:space="preserve">32</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4: Age-Adjusted Death Rate for Heart Disease Rate per 100,000	</w:t>
            </w:r>
            <w:r>
              <w:rPr>
                <w:rFonts w:ascii="Calibri" w:hAnsi="Calibri" w:eastAsia="Calibri"/>
                <w:color w:val="000000"/>
                <w:spacing w:val="0"/>
                <w:w w:val="100"/>
                <w:sz w:val="22"/>
                <w:vertAlign w:val="baseline"/>
                <w:lang w:val="en-US"/>
              </w:rPr>
              <w:t xml:space="preserve">34</w:t>
            </w:r>
          </w:p>
        </w:tc>
      </w:tr>
    </w:tbl>
    <w:p>
      <w:pPr>
        <w:tabs>
          <w:tab w:val="left" w:leader="none" w:pos="10440"/>
        </w:tabs>
        <w:spacing w:before="29" w:after="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5: Age-adjusted Death Rate for Cancer Rate per 100,000	</w:t>
      </w:r>
      <w:r>
        <w:rPr>
          <w:rFonts w:ascii="Calibri" w:hAnsi="Calibri" w:eastAsia="Calibri"/>
          <w:color w:val="000000"/>
          <w:spacing w:val="0"/>
          <w:w w:val="100"/>
          <w:sz w:val="22"/>
          <w:vertAlign w:val="baseline"/>
          <w:lang w:val="en-US"/>
        </w:rPr>
        <w:t xml:space="preserve">34</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6: Overall Poverty in the Finger Lakes Region	</w:t>
            </w:r>
            <w:r>
              <w:rPr>
                <w:rFonts w:ascii="Calibri" w:hAnsi="Calibri" w:eastAsia="Calibri"/>
                <w:color w:val="000000"/>
                <w:spacing w:val="0"/>
                <w:w w:val="100"/>
                <w:sz w:val="22"/>
                <w:vertAlign w:val="baseline"/>
                <w:lang w:val="en-US"/>
              </w:rPr>
              <w:t xml:space="preserve">37</w:t>
            </w:r>
          </w:p>
        </w:tc>
      </w:tr>
    </w:tbl>
    <w:p>
      <w:pPr>
        <w:tabs>
          <w:tab w:val="left" w:leader="none" w:pos="10440"/>
        </w:tabs>
        <w:spacing w:before="23" w:after="19"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7: Poverty rates by Zip Code for those Over 65 Years of Age	</w:t>
      </w:r>
      <w:r>
        <w:rPr>
          <w:rFonts w:ascii="Calibri" w:hAnsi="Calibri" w:eastAsia="Calibri"/>
          <w:color w:val="000000"/>
          <w:spacing w:val="0"/>
          <w:w w:val="100"/>
          <w:sz w:val="22"/>
          <w:vertAlign w:val="baseline"/>
          <w:lang w:val="en-US"/>
        </w:rPr>
        <w:t xml:space="preserve">38</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8: Poverty Rate by Zip Code for those Under 18 Years of Age	</w:t>
            </w:r>
            <w:r>
              <w:rPr>
                <w:rFonts w:ascii="Calibri" w:hAnsi="Calibri" w:eastAsia="Calibri"/>
                <w:color w:val="000000"/>
                <w:spacing w:val="0"/>
                <w:w w:val="100"/>
                <w:sz w:val="22"/>
                <w:vertAlign w:val="baseline"/>
                <w:lang w:val="en-US"/>
              </w:rPr>
              <w:t xml:space="preserve">38</w:t>
            </w:r>
          </w:p>
        </w:tc>
      </w:tr>
    </w:tbl>
    <w:p>
      <w:pPr>
        <w:tabs>
          <w:tab w:val="left" w:leader="none" w:pos="10440"/>
        </w:tabs>
        <w:spacing w:before="28" w:after="9" w:line="221"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Map 9: Food Insecurity Rate by Zip Code	</w:t>
      </w:r>
      <w:r>
        <w:rPr>
          <w:rFonts w:ascii="Calibri" w:hAnsi="Calibri" w:eastAsia="Calibri"/>
          <w:color w:val="000000"/>
          <w:spacing w:val="-1"/>
          <w:w w:val="100"/>
          <w:sz w:val="22"/>
          <w:vertAlign w:val="baseline"/>
          <w:lang w:val="en-US"/>
        </w:rPr>
        <w:t xml:space="preserve">40</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10: Area Deprivation Index by Area	</w:t>
            </w:r>
            <w:r>
              <w:rPr>
                <w:rFonts w:ascii="Calibri" w:hAnsi="Calibri" w:eastAsia="Calibri"/>
                <w:color w:val="000000"/>
                <w:spacing w:val="0"/>
                <w:w w:val="100"/>
                <w:sz w:val="22"/>
                <w:vertAlign w:val="baseline"/>
                <w:lang w:val="en-US"/>
              </w:rPr>
              <w:t xml:space="preserve">42</w:t>
            </w:r>
          </w:p>
        </w:tc>
      </w:tr>
    </w:tbl>
    <w:p>
      <w:pPr>
        <w:spacing w:before="0" w:after="114" w:line="20" w:lineRule="exact"/>
      </w:pP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2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tabs>
          <w:tab w:val="left" w:leader="none" w:pos="10440"/>
        </w:tabs>
        <w:spacing w:before="15" w:after="14" w:line="268" w:lineRule="exact"/>
        <w:ind w:right="1512" w:left="2520" w:hanging="288"/>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Map 11: Frequent Mental Distress Among Adults (Mental Health Not Good	</w:t>
      </w:r>
      <w:r>
        <w:rPr>
          <w:rFonts w:ascii="Calibri" w:hAnsi="Calibri" w:eastAsia="Calibri"/>
          <w:color w:val="000000"/>
          <w:spacing w:val="0"/>
          <w:w w:val="100"/>
          <w:sz w:val="22"/>
          <w:vertAlign w:val="baseline"/>
          <w:lang w:val="en-US"/>
        </w:rPr>
        <w:t xml:space="preserve">43 for 14+ of past 30 days)</w:t>
      </w:r>
    </w:p>
    <w:tbl>
      <w:tblPr>
        <w:jc w:val="left"/>
        <w:tblInd w:w="1440" w:type="dxa"/>
        <w:tblLayout w:type="fixed"/>
        <w:tblCellMar>
          <w:left w:w="0" w:type="dxa"/>
          <w:right w:w="0" w:type="dxa"/>
        </w:tblCellMar>
      </w:tblPr>
      <w:tblGrid>
        <w:gridCol w:w="9350"/>
      </w:tblGrid>
      <w:tr>
        <w:trPr>
          <w:trHeight w:val="542" w:hRule="exact"/>
        </w:trPr>
        <w:tc>
          <w:tcPr>
            <w:tcW w:w="9350" w:type="dxa"/>
            <w:tcBorders>
              <w:top w:val="none"/>
              <w:left w:val="none"/>
              <w:bottom w:val="none"/>
              <w:right w:val="none"/>
            </w:tcBorders>
            <w:shd w:val="clear" w:color="C1E3F5" w:fill="C1E3F5"/>
            <w:textDirection w:val="lrTb"/>
            <w:vAlign w:val="top"/>
          </w:tcPr>
          <w:p>
            <w:pPr>
              <w:tabs>
                <w:tab w:val="right" w:leader="none" w:pos="9360"/>
              </w:tabs>
              <w:spacing w:before="26" w:after="0" w:line="223"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12: Percentage of the population of those 65 years and older living	</w:t>
            </w:r>
            <w:r>
              <w:rPr>
                <w:rFonts w:ascii="Calibri" w:hAnsi="Calibri" w:eastAsia="Calibri"/>
                <w:color w:val="000000"/>
                <w:spacing w:val="0"/>
                <w:w w:val="100"/>
                <w:sz w:val="22"/>
                <w:vertAlign w:val="baseline"/>
                <w:lang w:val="en-US"/>
              </w:rPr>
              <w:t xml:space="preserve">50</w:t>
            </w:r>
          </w:p>
          <w:p>
            <w:pPr>
              <w:spacing w:before="48" w:after="24" w:line="221" w:lineRule="exact"/>
              <w:ind w:right="0" w:left="108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alone by zip code</w:t>
            </w:r>
          </w:p>
        </w:tc>
      </w:tr>
    </w:tbl>
    <w:p>
      <w:pPr>
        <w:tabs>
          <w:tab w:val="left" w:leader="none" w:pos="10440"/>
        </w:tabs>
        <w:spacing w:before="16" w:after="4" w:line="224"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13: Percentage of births with late (3</w:t>
      </w:r>
      <w:r>
        <w:rPr>
          <w:rFonts w:ascii="Calibri" w:hAnsi="Calibri" w:eastAsia="Calibri"/>
          <w:color w:val="000000"/>
          <w:spacing w:val="0"/>
          <w:w w:val="100"/>
          <w:sz w:val="22"/>
          <w:vertAlign w:val="superscript"/>
          <w:lang w:val="en-US"/>
        </w:rPr>
        <w:t xml:space="preserve">rd</w:t>
      </w:r>
      <w:r>
        <w:rPr>
          <w:rFonts w:ascii="Calibri" w:hAnsi="Calibri" w:eastAsia="Calibri"/>
          <w:color w:val="000000"/>
          <w:spacing w:val="0"/>
          <w:w w:val="100"/>
          <w:sz w:val="22"/>
          <w:vertAlign w:val="baseline"/>
          <w:lang w:val="en-US"/>
        </w:rPr>
        <w:t xml:space="preserve"> trimester) or no prenatal care	</w:t>
      </w:r>
      <w:r>
        <w:rPr>
          <w:rFonts w:ascii="Calibri" w:hAnsi="Calibri" w:eastAsia="Calibri"/>
          <w:color w:val="000000"/>
          <w:spacing w:val="0"/>
          <w:w w:val="100"/>
          <w:sz w:val="22"/>
          <w:vertAlign w:val="baseline"/>
          <w:lang w:val="en-US"/>
        </w:rPr>
        <w:t xml:space="preserve">52</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14: Premature birth rates by Zip Code	</w:t>
            </w:r>
            <w:r>
              <w:rPr>
                <w:rFonts w:ascii="Calibri" w:hAnsi="Calibri" w:eastAsia="Calibri"/>
                <w:color w:val="000000"/>
                <w:spacing w:val="0"/>
                <w:w w:val="100"/>
                <w:sz w:val="22"/>
                <w:vertAlign w:val="baseline"/>
                <w:lang w:val="en-US"/>
              </w:rPr>
              <w:t xml:space="preserve">55</w:t>
            </w:r>
          </w:p>
        </w:tc>
      </w:tr>
    </w:tbl>
    <w:p>
      <w:pPr>
        <w:tabs>
          <w:tab w:val="left" w:leader="none" w:pos="10440"/>
        </w:tabs>
        <w:spacing w:before="28" w:after="14"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15: Percentage of Premature Births with 32 - &lt; 37 Weeks Gestation	</w:t>
      </w:r>
      <w:r>
        <w:rPr>
          <w:rFonts w:ascii="Calibri" w:hAnsi="Calibri" w:eastAsia="Calibri"/>
          <w:color w:val="000000"/>
          <w:spacing w:val="0"/>
          <w:w w:val="100"/>
          <w:sz w:val="22"/>
          <w:vertAlign w:val="baseline"/>
          <w:lang w:val="en-US"/>
        </w:rPr>
        <w:t xml:space="preserve">55</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16: Percentage Low Birth Weight (&lt;2.5 kg) Singleton Births	</w:t>
            </w:r>
            <w:r>
              <w:rPr>
                <w:rFonts w:ascii="Calibri" w:hAnsi="Calibri" w:eastAsia="Calibri"/>
                <w:color w:val="000000"/>
                <w:spacing w:val="0"/>
                <w:w w:val="100"/>
                <w:sz w:val="22"/>
                <w:vertAlign w:val="baseline"/>
                <w:lang w:val="en-US"/>
              </w:rPr>
              <w:t xml:space="preserve">55</w:t>
            </w:r>
          </w:p>
        </w:tc>
      </w:tr>
    </w:tbl>
    <w:p>
      <w:pPr>
        <w:tabs>
          <w:tab w:val="left" w:leader="none" w:pos="10440"/>
        </w:tabs>
        <w:spacing w:before="28" w:after="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17: Potentially Preventable Hospitalizations	</w:t>
      </w:r>
      <w:r>
        <w:rPr>
          <w:rFonts w:ascii="Calibri" w:hAnsi="Calibri" w:eastAsia="Calibri"/>
          <w:color w:val="000000"/>
          <w:spacing w:val="0"/>
          <w:w w:val="100"/>
          <w:sz w:val="22"/>
          <w:vertAlign w:val="baseline"/>
          <w:lang w:val="en-US"/>
        </w:rPr>
        <w:t xml:space="preserve">61</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18: ED Visits for Cancer by Zip Code	</w:t>
            </w:r>
            <w:r>
              <w:rPr>
                <w:rFonts w:ascii="Calibri" w:hAnsi="Calibri" w:eastAsia="Calibri"/>
                <w:color w:val="000000"/>
                <w:spacing w:val="0"/>
                <w:w w:val="100"/>
                <w:sz w:val="22"/>
                <w:vertAlign w:val="baseline"/>
                <w:lang w:val="en-US"/>
              </w:rPr>
              <w:t xml:space="preserve">61</w:t>
            </w:r>
          </w:p>
        </w:tc>
      </w:tr>
    </w:tbl>
    <w:p>
      <w:pPr>
        <w:tabs>
          <w:tab w:val="left" w:leader="none" w:pos="10440"/>
        </w:tabs>
        <w:spacing w:before="28" w:after="19"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19: ED Visits Related to Heart Disease by Zip Code	</w:t>
      </w:r>
      <w:r>
        <w:rPr>
          <w:rFonts w:ascii="Calibri" w:hAnsi="Calibri" w:eastAsia="Calibri"/>
          <w:color w:val="000000"/>
          <w:spacing w:val="0"/>
          <w:w w:val="100"/>
          <w:sz w:val="22"/>
          <w:vertAlign w:val="baseline"/>
          <w:lang w:val="en-US"/>
        </w:rPr>
        <w:t xml:space="preserve">62</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20: ED Visits for Hypertension by Zip Code	</w:t>
            </w:r>
            <w:r>
              <w:rPr>
                <w:rFonts w:ascii="Calibri" w:hAnsi="Calibri" w:eastAsia="Calibri"/>
                <w:color w:val="000000"/>
                <w:spacing w:val="0"/>
                <w:w w:val="100"/>
                <w:sz w:val="22"/>
                <w:vertAlign w:val="baseline"/>
                <w:lang w:val="en-US"/>
              </w:rPr>
              <w:t xml:space="preserve">62</w:t>
            </w:r>
          </w:p>
        </w:tc>
      </w:tr>
    </w:tbl>
    <w:p>
      <w:pPr>
        <w:tabs>
          <w:tab w:val="left" w:leader="none" w:pos="10440"/>
        </w:tabs>
        <w:spacing w:before="28" w:after="1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21: ED Visits for Depressive Disorders by Zip Code	</w:t>
      </w:r>
      <w:r>
        <w:rPr>
          <w:rFonts w:ascii="Calibri" w:hAnsi="Calibri" w:eastAsia="Calibri"/>
          <w:color w:val="000000"/>
          <w:spacing w:val="0"/>
          <w:w w:val="100"/>
          <w:sz w:val="22"/>
          <w:vertAlign w:val="baseline"/>
          <w:lang w:val="en-US"/>
        </w:rPr>
        <w:t xml:space="preserve">62</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5"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22: ED Visits for Anxiety and Panic Disorders by Zip Code	</w:t>
            </w:r>
            <w:r>
              <w:rPr>
                <w:rFonts w:ascii="Calibri" w:hAnsi="Calibri" w:eastAsia="Calibri"/>
                <w:color w:val="000000"/>
                <w:spacing w:val="0"/>
                <w:w w:val="100"/>
                <w:sz w:val="22"/>
                <w:vertAlign w:val="baseline"/>
                <w:lang w:val="en-US"/>
              </w:rPr>
              <w:t xml:space="preserve">62</w:t>
            </w:r>
          </w:p>
        </w:tc>
      </w:tr>
    </w:tbl>
    <w:p>
      <w:pPr>
        <w:shd w:val="solid" w:color="145F82" w:fill="145F82"/>
        <w:spacing w:before="0" w:after="9" w:line="226" w:lineRule="exact"/>
        <w:ind w:right="1440" w:left="1512" w:firstLine="0"/>
        <w:jc w:val="left"/>
        <w:textAlignment w:val="baseline"/>
        <w:rPr>
          <w:rFonts w:ascii="Calibri" w:hAnsi="Calibri" w:eastAsia="Calibri"/>
          <w:b w:val="true"/>
          <w:color w:val="FFFFFF"/>
          <w:spacing w:val="-1"/>
          <w:w w:val="100"/>
          <w:sz w:val="22"/>
          <w:vertAlign w:val="baseline"/>
          <w:lang w:val="en-US"/>
        </w:rPr>
      </w:pPr>
      <w:r>
        <w:rPr>
          <w:rFonts w:ascii="Calibri" w:hAnsi="Calibri" w:eastAsia="Calibri"/>
          <w:b w:val="true"/>
          <w:color w:val="FFFFFF"/>
          <w:spacing w:val="-1"/>
          <w:w w:val="100"/>
          <w:sz w:val="22"/>
          <w:vertAlign w:val="baseline"/>
          <w:lang w:val="en-US"/>
        </w:rPr>
        <w:t xml:space="preserve">List of Figures:</w:t>
      </w:r>
    </w:p>
    <w:p>
      <w:pPr>
        <w:tabs>
          <w:tab w:val="left" w:leader="none" w:pos="10440"/>
        </w:tabs>
        <w:spacing w:before="28" w:after="14" w:line="222"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1: Social Determinants of Health	</w:t>
      </w:r>
      <w:r>
        <w:rPr>
          <w:rFonts w:ascii="Calibri" w:hAnsi="Calibri" w:eastAsia="Calibri"/>
          <w:color w:val="000000"/>
          <w:spacing w:val="-1"/>
          <w:w w:val="100"/>
          <w:sz w:val="22"/>
          <w:vertAlign w:val="baseline"/>
          <w:lang w:val="en-US"/>
        </w:rPr>
        <w:t xml:space="preserve">12</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3" w:after="23"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 MAPP 2.0 Roadmap to Health Equity	</w:t>
            </w:r>
            <w:r>
              <w:rPr>
                <w:rFonts w:ascii="Calibri" w:hAnsi="Calibri" w:eastAsia="Calibri"/>
                <w:color w:val="000000"/>
                <w:spacing w:val="0"/>
                <w:w w:val="100"/>
                <w:sz w:val="22"/>
                <w:vertAlign w:val="baseline"/>
                <w:lang w:val="en-US"/>
              </w:rPr>
              <w:t xml:space="preserve">14</w:t>
            </w:r>
          </w:p>
        </w:tc>
      </w:tr>
    </w:tbl>
    <w:p>
      <w:pPr>
        <w:tabs>
          <w:tab w:val="left" w:leader="none" w:pos="10440"/>
        </w:tabs>
        <w:spacing w:before="23" w:after="14" w:line="222"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3: MAPP 2.0 Phases	</w:t>
      </w:r>
      <w:r>
        <w:rPr>
          <w:rFonts w:ascii="Calibri" w:hAnsi="Calibri" w:eastAsia="Calibri"/>
          <w:color w:val="000000"/>
          <w:spacing w:val="-1"/>
          <w:w w:val="100"/>
          <w:sz w:val="22"/>
          <w:vertAlign w:val="baseline"/>
          <w:lang w:val="en-US"/>
        </w:rPr>
        <w:t xml:space="preserve">15</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4: Data Triangulation Process	</w:t>
            </w:r>
            <w:r>
              <w:rPr>
                <w:rFonts w:ascii="Calibri" w:hAnsi="Calibri" w:eastAsia="Calibri"/>
                <w:color w:val="000000"/>
                <w:spacing w:val="0"/>
                <w:w w:val="100"/>
                <w:sz w:val="22"/>
                <w:vertAlign w:val="baseline"/>
                <w:lang w:val="en-US"/>
              </w:rPr>
              <w:t xml:space="preserve">18</w:t>
            </w:r>
          </w:p>
        </w:tc>
      </w:tr>
    </w:tbl>
    <w:p>
      <w:pPr>
        <w:tabs>
          <w:tab w:val="left" w:leader="none" w:pos="10440"/>
        </w:tabs>
        <w:spacing w:before="24" w:after="9" w:line="221"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5: Fishbone Diagram	</w:t>
      </w:r>
      <w:r>
        <w:rPr>
          <w:rFonts w:ascii="Calibri" w:hAnsi="Calibri" w:eastAsia="Calibri"/>
          <w:color w:val="000000"/>
          <w:spacing w:val="-1"/>
          <w:w w:val="100"/>
          <w:sz w:val="22"/>
          <w:vertAlign w:val="baseline"/>
          <w:lang w:val="en-US"/>
        </w:rPr>
        <w:t xml:space="preserve">18</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6: Percent Change in Population from 2020- 2040	</w:t>
            </w:r>
            <w:r>
              <w:rPr>
                <w:rFonts w:ascii="Calibri" w:hAnsi="Calibri" w:eastAsia="Calibri"/>
                <w:color w:val="000000"/>
                <w:spacing w:val="0"/>
                <w:w w:val="100"/>
                <w:sz w:val="22"/>
                <w:vertAlign w:val="baseline"/>
                <w:lang w:val="en-US"/>
              </w:rPr>
              <w:t xml:space="preserve">22</w:t>
            </w:r>
          </w:p>
        </w:tc>
      </w:tr>
    </w:tbl>
    <w:p>
      <w:pPr>
        <w:tabs>
          <w:tab w:val="left" w:leader="none" w:pos="10440"/>
        </w:tabs>
        <w:spacing w:before="28" w:after="14"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7: Population Projections by Age Group, Finger Lakes Region	</w:t>
      </w:r>
      <w:r>
        <w:rPr>
          <w:rFonts w:ascii="Calibri" w:hAnsi="Calibri" w:eastAsia="Calibri"/>
          <w:color w:val="000000"/>
          <w:spacing w:val="0"/>
          <w:w w:val="100"/>
          <w:sz w:val="22"/>
          <w:vertAlign w:val="baseline"/>
          <w:lang w:val="en-US"/>
        </w:rPr>
        <w:t xml:space="preserve">23</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8: Race/Ethnicity Finger Lakes Region	</w:t>
            </w:r>
            <w:r>
              <w:rPr>
                <w:rFonts w:ascii="Calibri" w:hAnsi="Calibri" w:eastAsia="Calibri"/>
                <w:color w:val="000000"/>
                <w:spacing w:val="0"/>
                <w:w w:val="100"/>
                <w:sz w:val="22"/>
                <w:vertAlign w:val="baseline"/>
                <w:lang w:val="en-US"/>
              </w:rPr>
              <w:t xml:space="preserve">23</w:t>
            </w:r>
          </w:p>
        </w:tc>
      </w:tr>
    </w:tbl>
    <w:p>
      <w:pPr>
        <w:tabs>
          <w:tab w:val="left" w:leader="none" w:pos="10440"/>
        </w:tabs>
        <w:spacing w:before="28" w:after="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9: Percent of Households Speaking a Language Other than English	</w:t>
      </w:r>
      <w:r>
        <w:rPr>
          <w:rFonts w:ascii="Calibri" w:hAnsi="Calibri" w:eastAsia="Calibri"/>
          <w:color w:val="000000"/>
          <w:spacing w:val="0"/>
          <w:w w:val="100"/>
          <w:sz w:val="22"/>
          <w:vertAlign w:val="baseline"/>
          <w:lang w:val="en-US"/>
        </w:rPr>
        <w:t xml:space="preserve">27</w:t>
      </w:r>
    </w:p>
    <w:tbl>
      <w:tblPr>
        <w:jc w:val="left"/>
        <w:tblInd w:w="1440" w:type="dxa"/>
        <w:tblLayout w:type="fixed"/>
        <w:tblCellMar>
          <w:left w:w="0" w:type="dxa"/>
          <w:right w:w="0" w:type="dxa"/>
        </w:tblCellMar>
      </w:tblPr>
      <w:tblGrid>
        <w:gridCol w:w="9350"/>
      </w:tblGrid>
      <w:tr>
        <w:trPr>
          <w:trHeight w:val="264"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4" w:after="5"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10: Disability Rate by County	</w:t>
            </w:r>
            <w:r>
              <w:rPr>
                <w:rFonts w:ascii="Calibri" w:hAnsi="Calibri" w:eastAsia="Calibri"/>
                <w:color w:val="000000"/>
                <w:spacing w:val="0"/>
                <w:w w:val="100"/>
                <w:sz w:val="22"/>
                <w:vertAlign w:val="baseline"/>
                <w:lang w:val="en-US"/>
              </w:rPr>
              <w:t xml:space="preserve">28</w:t>
            </w:r>
          </w:p>
        </w:tc>
      </w:tr>
    </w:tbl>
    <w:p>
      <w:pPr>
        <w:tabs>
          <w:tab w:val="left" w:leader="none" w:pos="10440"/>
        </w:tabs>
        <w:spacing w:before="29" w:after="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11: Veteran Population by Percent of Total Population	</w:t>
      </w:r>
      <w:r>
        <w:rPr>
          <w:rFonts w:ascii="Calibri" w:hAnsi="Calibri" w:eastAsia="Calibri"/>
          <w:color w:val="000000"/>
          <w:spacing w:val="0"/>
          <w:w w:val="100"/>
          <w:sz w:val="22"/>
          <w:vertAlign w:val="baseline"/>
          <w:lang w:val="en-US"/>
        </w:rPr>
        <w:t xml:space="preserve">28</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4"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12: Percentage of Population Uninsured 2020	</w:t>
            </w:r>
            <w:r>
              <w:rPr>
                <w:rFonts w:ascii="Calibri" w:hAnsi="Calibri" w:eastAsia="Calibri"/>
                <w:color w:val="000000"/>
                <w:spacing w:val="0"/>
                <w:w w:val="100"/>
                <w:sz w:val="22"/>
                <w:vertAlign w:val="baseline"/>
                <w:lang w:val="en-US"/>
              </w:rPr>
              <w:t xml:space="preserve">29</w:t>
            </w:r>
          </w:p>
        </w:tc>
      </w:tr>
    </w:tbl>
    <w:p>
      <w:pPr>
        <w:tabs>
          <w:tab w:val="left" w:leader="none" w:pos="10440"/>
        </w:tabs>
        <w:spacing w:before="28" w:after="18"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13: Residents with Medicaid Coverage	</w:t>
      </w:r>
      <w:r>
        <w:rPr>
          <w:rFonts w:ascii="Calibri" w:hAnsi="Calibri" w:eastAsia="Calibri"/>
          <w:color w:val="000000"/>
          <w:spacing w:val="0"/>
          <w:w w:val="100"/>
          <w:sz w:val="22"/>
          <w:vertAlign w:val="baseline"/>
          <w:lang w:val="en-US"/>
        </w:rPr>
        <w:t xml:space="preserve">30</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0"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14: Broadband Connection vs Broadband Access in each County	</w:t>
            </w:r>
            <w:r>
              <w:rPr>
                <w:rFonts w:ascii="Calibri" w:hAnsi="Calibri" w:eastAsia="Calibri"/>
                <w:color w:val="000000"/>
                <w:spacing w:val="0"/>
                <w:w w:val="100"/>
                <w:sz w:val="22"/>
                <w:vertAlign w:val="baseline"/>
                <w:lang w:val="en-US"/>
              </w:rPr>
              <w:t xml:space="preserve">30</w:t>
            </w:r>
          </w:p>
        </w:tc>
      </w:tr>
    </w:tbl>
    <w:p>
      <w:pPr>
        <w:tabs>
          <w:tab w:val="left" w:leader="none" w:pos="10440"/>
        </w:tabs>
        <w:spacing w:before="28" w:after="14"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15: Percent of Households with No Vehicle Access	</w:t>
      </w:r>
      <w:r>
        <w:rPr>
          <w:rFonts w:ascii="Calibri" w:hAnsi="Calibri" w:eastAsia="Calibri"/>
          <w:color w:val="000000"/>
          <w:spacing w:val="0"/>
          <w:w w:val="100"/>
          <w:sz w:val="22"/>
          <w:vertAlign w:val="baseline"/>
          <w:lang w:val="en-US"/>
        </w:rPr>
        <w:t xml:space="preserve">31</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4"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16: Suicide Rates	</w:t>
            </w:r>
            <w:r>
              <w:rPr>
                <w:rFonts w:ascii="Calibri" w:hAnsi="Calibri" w:eastAsia="Calibri"/>
                <w:color w:val="000000"/>
                <w:spacing w:val="0"/>
                <w:w w:val="100"/>
                <w:sz w:val="22"/>
                <w:vertAlign w:val="baseline"/>
                <w:lang w:val="en-US"/>
              </w:rPr>
              <w:t xml:space="preserve">44</w:t>
            </w:r>
          </w:p>
        </w:tc>
      </w:tr>
    </w:tbl>
    <w:p>
      <w:pPr>
        <w:tabs>
          <w:tab w:val="left" w:leader="none" w:pos="10440"/>
        </w:tabs>
        <w:spacing w:before="28" w:after="9" w:line="222"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17: Smoking and Binge Drinking	</w:t>
      </w:r>
      <w:r>
        <w:rPr>
          <w:rFonts w:ascii="Calibri" w:hAnsi="Calibri" w:eastAsia="Calibri"/>
          <w:color w:val="000000"/>
          <w:spacing w:val="-1"/>
          <w:w w:val="100"/>
          <w:sz w:val="22"/>
          <w:vertAlign w:val="baseline"/>
          <w:lang w:val="en-US"/>
        </w:rPr>
        <w:t xml:space="preserve">46</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4"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18: Adverse Childhood Experiences	</w:t>
            </w:r>
            <w:r>
              <w:rPr>
                <w:rFonts w:ascii="Calibri" w:hAnsi="Calibri" w:eastAsia="Calibri"/>
                <w:color w:val="000000"/>
                <w:spacing w:val="0"/>
                <w:w w:val="100"/>
                <w:sz w:val="22"/>
                <w:vertAlign w:val="baseline"/>
                <w:lang w:val="en-US"/>
              </w:rPr>
              <w:t xml:space="preserve">46</w:t>
            </w:r>
          </w:p>
        </w:tc>
      </w:tr>
    </w:tbl>
    <w:p>
      <w:pPr>
        <w:tabs>
          <w:tab w:val="left" w:leader="none" w:pos="10440"/>
        </w:tabs>
        <w:spacing w:before="28" w:after="19"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19: Access to Locations for Physical Activity	</w:t>
      </w:r>
      <w:r>
        <w:rPr>
          <w:rFonts w:ascii="Calibri" w:hAnsi="Calibri" w:eastAsia="Calibri"/>
          <w:color w:val="000000"/>
          <w:spacing w:val="0"/>
          <w:w w:val="100"/>
          <w:sz w:val="22"/>
          <w:vertAlign w:val="baseline"/>
          <w:lang w:val="en-US"/>
        </w:rPr>
        <w:t xml:space="preserve">48</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20: Walkability Index	</w:t>
            </w:r>
            <w:r>
              <w:rPr>
                <w:rFonts w:ascii="Calibri" w:hAnsi="Calibri" w:eastAsia="Calibri"/>
                <w:color w:val="000000"/>
                <w:spacing w:val="0"/>
                <w:w w:val="100"/>
                <w:sz w:val="22"/>
                <w:vertAlign w:val="baseline"/>
                <w:lang w:val="en-US"/>
              </w:rPr>
              <w:t xml:space="preserve">49</w:t>
            </w:r>
          </w:p>
        </w:tc>
      </w:tr>
    </w:tbl>
    <w:p>
      <w:pPr>
        <w:tabs>
          <w:tab w:val="left" w:leader="none" w:pos="10440"/>
        </w:tabs>
        <w:spacing w:before="29" w:after="14" w:line="221"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21: Social Vulnerability Index	</w:t>
      </w:r>
      <w:r>
        <w:rPr>
          <w:rFonts w:ascii="Calibri" w:hAnsi="Calibri" w:eastAsia="Calibri"/>
          <w:color w:val="000000"/>
          <w:spacing w:val="-1"/>
          <w:w w:val="100"/>
          <w:sz w:val="22"/>
          <w:vertAlign w:val="baseline"/>
          <w:lang w:val="en-US"/>
        </w:rPr>
        <w:t xml:space="preserve">49</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9"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22: Alcohol Abstinence in Pregnancy	</w:t>
            </w:r>
            <w:r>
              <w:rPr>
                <w:rFonts w:ascii="Calibri" w:hAnsi="Calibri" w:eastAsia="Calibri"/>
                <w:color w:val="000000"/>
                <w:spacing w:val="0"/>
                <w:w w:val="100"/>
                <w:sz w:val="22"/>
                <w:vertAlign w:val="baseline"/>
                <w:lang w:val="en-US"/>
              </w:rPr>
              <w:t xml:space="preserve">53</w:t>
            </w:r>
          </w:p>
        </w:tc>
      </w:tr>
    </w:tbl>
    <w:p>
      <w:pPr>
        <w:tabs>
          <w:tab w:val="left" w:leader="none" w:pos="10440"/>
        </w:tabs>
        <w:spacing w:before="28" w:after="9" w:line="222"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23: Smoking Abstinence in Pregnancy	</w:t>
      </w:r>
      <w:r>
        <w:rPr>
          <w:rFonts w:ascii="Calibri" w:hAnsi="Calibri" w:eastAsia="Calibri"/>
          <w:color w:val="000000"/>
          <w:spacing w:val="-1"/>
          <w:w w:val="100"/>
          <w:sz w:val="22"/>
          <w:vertAlign w:val="baseline"/>
          <w:lang w:val="en-US"/>
        </w:rPr>
        <w:t xml:space="preserve">53</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3" w:after="18"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24: Illegal Drug Abstinence in Pregnancy	</w:t>
            </w:r>
            <w:r>
              <w:rPr>
                <w:rFonts w:ascii="Calibri" w:hAnsi="Calibri" w:eastAsia="Calibri"/>
                <w:color w:val="000000"/>
                <w:spacing w:val="0"/>
                <w:w w:val="100"/>
                <w:sz w:val="22"/>
                <w:vertAlign w:val="baseline"/>
                <w:lang w:val="en-US"/>
              </w:rPr>
              <w:t xml:space="preserve">54</w:t>
            </w:r>
          </w:p>
        </w:tc>
      </w:tr>
    </w:tbl>
    <w:p>
      <w:pPr>
        <w:tabs>
          <w:tab w:val="left" w:leader="none" w:pos="10440"/>
        </w:tabs>
        <w:spacing w:before="28" w:after="5" w:line="221"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25: Percentage of Preterm Births in the Region from 2018-2024	</w:t>
      </w:r>
      <w:r>
        <w:rPr>
          <w:rFonts w:ascii="Calibri" w:hAnsi="Calibri" w:eastAsia="Calibri"/>
          <w:color w:val="000000"/>
          <w:spacing w:val="0"/>
          <w:w w:val="100"/>
          <w:sz w:val="22"/>
          <w:vertAlign w:val="baseline"/>
          <w:lang w:val="en-US"/>
        </w:rPr>
        <w:t xml:space="preserve">54</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9" w:after="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26: Infant Mortality Rate per 1,000 (2022)	</w:t>
            </w:r>
            <w:r>
              <w:rPr>
                <w:rFonts w:ascii="Calibri" w:hAnsi="Calibri" w:eastAsia="Calibri"/>
                <w:color w:val="000000"/>
                <w:spacing w:val="0"/>
                <w:w w:val="100"/>
                <w:sz w:val="22"/>
                <w:vertAlign w:val="baseline"/>
                <w:lang w:val="en-US"/>
              </w:rPr>
              <w:t xml:space="preserve">56</w:t>
            </w:r>
          </w:p>
        </w:tc>
      </w:tr>
    </w:tbl>
    <w:p>
      <w:pPr>
        <w:tabs>
          <w:tab w:val="left" w:leader="none" w:pos="10440"/>
        </w:tabs>
        <w:spacing w:before="28" w:after="14" w:line="222" w:lineRule="exact"/>
        <w:ind w:right="0" w:left="223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27: Maternal and Child Mortality Rates per 100,000 (2022)	</w:t>
      </w:r>
      <w:r>
        <w:rPr>
          <w:rFonts w:ascii="Calibri" w:hAnsi="Calibri" w:eastAsia="Calibri"/>
          <w:color w:val="000000"/>
          <w:spacing w:val="0"/>
          <w:w w:val="100"/>
          <w:sz w:val="22"/>
          <w:vertAlign w:val="baseline"/>
          <w:lang w:val="en-US"/>
        </w:rPr>
        <w:t xml:space="preserve">56</w:t>
      </w:r>
    </w:p>
    <w:tbl>
      <w:tblPr>
        <w:jc w:val="left"/>
        <w:tblInd w:w="1440" w:type="dxa"/>
        <w:tblLayout w:type="fixed"/>
        <w:tblCellMar>
          <w:left w:w="0" w:type="dxa"/>
          <w:right w:w="0" w:type="dxa"/>
        </w:tblCellMar>
      </w:tblPr>
      <w:tblGrid>
        <w:gridCol w:w="9350"/>
      </w:tblGrid>
      <w:tr>
        <w:trPr>
          <w:trHeight w:val="269"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8" w:after="18" w:line="222"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28: Number of Births in the Finger Lakes Region	</w:t>
            </w:r>
            <w:r>
              <w:rPr>
                <w:rFonts w:ascii="Calibri" w:hAnsi="Calibri" w:eastAsia="Calibri"/>
                <w:color w:val="000000"/>
                <w:spacing w:val="0"/>
                <w:w w:val="100"/>
                <w:sz w:val="22"/>
                <w:vertAlign w:val="baseline"/>
                <w:lang w:val="en-US"/>
              </w:rPr>
              <w:t xml:space="preserve">57</w:t>
            </w:r>
          </w:p>
        </w:tc>
      </w:tr>
    </w:tbl>
    <w:p>
      <w:pPr>
        <w:tabs>
          <w:tab w:val="left" w:leader="none" w:pos="10440"/>
        </w:tabs>
        <w:spacing w:before="28" w:after="10" w:line="221" w:lineRule="exact"/>
        <w:ind w:right="0" w:left="223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Figure 29: Blood Lead Level Screenings	</w:t>
      </w:r>
      <w:r>
        <w:rPr>
          <w:rFonts w:ascii="Calibri" w:hAnsi="Calibri" w:eastAsia="Calibri"/>
          <w:color w:val="000000"/>
          <w:spacing w:val="-1"/>
          <w:w w:val="100"/>
          <w:sz w:val="22"/>
          <w:vertAlign w:val="baseline"/>
          <w:lang w:val="en-US"/>
        </w:rPr>
        <w:t xml:space="preserve">63</w:t>
      </w:r>
    </w:p>
    <w:tbl>
      <w:tblPr>
        <w:jc w:val="left"/>
        <w:tblInd w:w="1440" w:type="dxa"/>
        <w:tblLayout w:type="fixed"/>
        <w:tblCellMar>
          <w:left w:w="0" w:type="dxa"/>
          <w:right w:w="0" w:type="dxa"/>
        </w:tblCellMar>
      </w:tblPr>
      <w:tblGrid>
        <w:gridCol w:w="9350"/>
      </w:tblGrid>
      <w:tr>
        <w:trPr>
          <w:trHeight w:val="268" w:hRule="exact"/>
        </w:trPr>
        <w:tc>
          <w:tcPr>
            <w:tcW w:w="9350" w:type="dxa"/>
            <w:tcBorders>
              <w:top w:val="none"/>
              <w:left w:val="none"/>
              <w:bottom w:val="none"/>
              <w:right w:val="none"/>
            </w:tcBorders>
            <w:shd w:val="clear" w:color="C1E3F5" w:fill="C1E3F5"/>
            <w:textDirection w:val="lrTb"/>
            <w:vAlign w:val="top"/>
          </w:tcPr>
          <w:p>
            <w:pPr>
              <w:tabs>
                <w:tab w:val="right" w:leader="none" w:pos="9288"/>
              </w:tabs>
              <w:spacing w:before="23" w:after="19" w:line="221" w:lineRule="exact"/>
              <w:ind w:right="0" w:left="79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30: Immunization Rates	</w:t>
            </w:r>
            <w:r>
              <w:rPr>
                <w:rFonts w:ascii="Calibri" w:hAnsi="Calibri" w:eastAsia="Calibri"/>
                <w:color w:val="000000"/>
                <w:spacing w:val="0"/>
                <w:w w:val="100"/>
                <w:sz w:val="22"/>
                <w:vertAlign w:val="baseline"/>
                <w:lang w:val="en-US"/>
              </w:rPr>
              <w:t xml:space="preserve">64</w:t>
            </w:r>
          </w:p>
        </w:tc>
      </w:tr>
    </w:tbl>
    <w:p>
      <w:pPr>
        <w:spacing w:before="764"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9pt" strokecolor="#145F82" from="0pt,41.55pt" to="612.05pt,41.55pt" style="position:absolute;mso-position-horizontal-relative:text;mso-position-vertical-relative:text;">
            <v:stroke dashstyle="solid"/>
          </v:line>
        </w:pic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3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 coordsize="21600,21600" o:spt="202" path="m,l,21600r21600,l21600,xe">
            <v:stroke joinstyle="miter"/>
            <v:path gradientshapeok="t" o:connecttype="rect"/>
          </v:shapetype>
          <v:shape id="_x0000_s3" type="#_x0000_t4" filled="f" stroked="f" style="position:absolute;width:609.35pt;height:43.65pt;z-index:-1;margin-left:0.95pt;margin-top:63.8pt;mso-wrap-distance-top:11.5pt;mso-wrap-distance-left:0.95pt;mso-wrap-distance-right:1.7pt;mso-position-horizontal-relative:page;mso-position-vertical-relative:page">
            <w10:wrap type="square"/>
            <v:fill opacity="1" o:opacity2="1" recolor="f" rotate="f" type="solid"/>
            <v:textbox inset="0pt, 0pt, 0pt, 0pt">
              <w:txbxContent/>
            </v:textbox>
          </v:shape>
        </w:pict>
      </w:r>
      <w:r>
        <w:pict>
          <v:shapetype id="_x0000_t5" coordsize="21600,21600" o:spt="202" path="m,l,21600r21600,l21600,xe">
            <v:stroke joinstyle="miter"/>
            <v:path gradientshapeok="t" o:connecttype="rect"/>
          </v:shapetype>
          <v:shape id="_x0000_s4" type="#_x0000_t5" filled="f" stroked="f" style="position:absolute;width:299.5pt;height:416.1pt;z-index:-1;margin-left:312pt;margin-top:117.35pt;mso-wrap-distance-left:0pt;mso-wrap-distance-right:0pt;mso-position-horizontal-relative:page;mso-position-vertical-relative:page">
            <w10:wrap type="square"/>
            <v:fill opacity="1" o:opacity2="1" recolor="f" rotate="f" type="solid"/>
            <v:textbox inset="0pt, 0pt, 0pt, 0pt">
              <w:txbxContent>
                <w:p>
                  <w:pPr>
                    <w:spacing w:before="0" w:after="88" w:line="240" w:lineRule="auto"/>
                    <w:ind w:right="4" w:left="197"/>
                    <w:jc w:val="left"/>
                    <w:textAlignment w:val="baseline"/>
                  </w:pPr>
                  <w:r>
                    <w:drawing>
                      <wp:inline>
                        <wp:extent cx="3676015" cy="4901565"/>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3676015" cy="4901565"/>
                                </a:xfrm>
                                <a:prstGeom prst="rect"/>
                              </pic:spPr>
                            </pic:pic>
                          </a:graphicData>
                        </a:graphic>
                      </wp:inline>
                    </w:drawing>
                  </w:r>
                </w:p>
                <w:p>
                  <w:pPr>
                    <w:spacing w:before="20" w:after="287" w:line="180" w:lineRule="exact"/>
                    <w:ind w:right="0" w:left="216" w:firstLine="0"/>
                    <w:jc w:val="left"/>
                    <w:textAlignment w:val="baseline"/>
                    <w:rPr>
                      <w:rFonts w:ascii="Calibri" w:hAnsi="Calibri" w:eastAsia="Calibri"/>
                      <w:i w:val="true"/>
                      <w:color w:val="062436"/>
                      <w:spacing w:val="0"/>
                      <w:w w:val="100"/>
                      <w:sz w:val="18"/>
                      <w:vertAlign w:val="baseline"/>
                      <w:lang w:val="en-US"/>
                    </w:rPr>
                  </w:pPr>
                  <w:r>
                    <w:rPr>
                      <w:rFonts w:ascii="Calibri" w:hAnsi="Calibri" w:eastAsia="Calibri"/>
                      <w:i w:val="true"/>
                      <w:color w:val="062436"/>
                      <w:spacing w:val="0"/>
                      <w:w w:val="100"/>
                      <w:sz w:val="18"/>
                      <w:vertAlign w:val="baseline"/>
                      <w:lang w:val="en-US"/>
                    </w:rPr>
                    <w:t xml:space="preserve">Photo: Watkins Glen State Park courtesy of Schuyler County</w:t>
                  </w:r>
                </w:p>
              </w:txbxContent>
            </v:textbox>
          </v:shape>
        </w:pict>
      </w:r>
      <w:r>
        <w:pict>
          <v:shapetype id="_x0000_t6" coordsize="21600,21600" o:spt="202" path="m,l,21600r21600,l21600,xe">
            <v:stroke joinstyle="miter"/>
            <v:path gradientshapeok="t" o:connecttype="rect"/>
          </v:shapetype>
          <v:shape id="_x0000_s5" type="#_x0000_t6" filled="f" stroked="f" style="position:absolute;width:612pt;height:41.3pt;z-index:-1;margin-left:0pt;margin-top:11pt;mso-wrap-distance-left:0pt;mso-wrap-distance-right:0pt;mso-position-horizontal-relative:page;mso-position-vertical-relative:page">
            <w10:wrap type="square" side="both"/>
            <v:fill opacity="1" o:opacity2="1" recolor="f" rotate="f" type="solid"/>
            <v:textbox inset="0pt, 0pt, 0pt, 0pt">
              <w:txbxContent>
                <w:p>
                  <w:pPr>
                    <w:spacing w:before="535" w:after="0" w:line="281"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7" coordsize="21600,21600" o:spt="202" path="m,l,21600r21600,l21600,xe">
            <v:stroke joinstyle="miter"/>
            <v:path gradientshapeok="t" o:connecttype="rect"/>
          </v:shapetype>
          <v:shape id="_x0000_s6" type="#_x0000_t7" filled="f" stroked="f" style="position:absolute;width:609.35pt;height:34.55pt;z-index:-1;margin-left:0.95pt;margin-top:72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38745" cy="438785"/>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7738745" cy="438785"/>
                                </a:xfrm>
                                <a:prstGeom prst="rect"/>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113pt;height:29.1pt;z-index:-1;margin-left:250.1pt;margin-top:63.8pt;mso-wrap-distance-left:0pt;mso-wrap-distance-right:0pt;mso-position-horizontal-relative:page;mso-position-vertical-relative:page">
            <w10:wrap type="square" side="both"/>
            <v:fill opacity="1" o:opacity2="1" recolor="f" rotate="f" type="solid"/>
            <v:textbox inset="0pt, 0pt, 0pt, 0pt">
              <w:txbxContent>
                <w:p>
                  <w:pPr>
                    <w:spacing w:before="290" w:after="4" w:line="287" w:lineRule="exact"/>
                    <w:ind w:right="0" w:left="0" w:firstLine="0"/>
                    <w:jc w:val="center"/>
                    <w:textAlignment w:val="baseline"/>
                    <w:rPr>
                      <w:rFonts w:ascii="Calibri" w:hAnsi="Calibri" w:eastAsia="Calibri"/>
                      <w:b w:val="true"/>
                      <w:color w:val="FFFFFF"/>
                      <w:spacing w:val="-8"/>
                      <w:w w:val="100"/>
                      <w:sz w:val="28"/>
                      <w:vertAlign w:val="baseline"/>
                      <w:lang w:val="en-US"/>
                    </w:rPr>
                  </w:pPr>
                  <w:r>
                    <w:rPr>
                      <w:rFonts w:ascii="Calibri" w:hAnsi="Calibri" w:eastAsia="Calibri"/>
                      <w:b w:val="true"/>
                      <w:color w:val="FFFFFF"/>
                      <w:spacing w:val="-8"/>
                      <w:w w:val="100"/>
                      <w:sz w:val="28"/>
                      <w:vertAlign w:val="baseline"/>
                      <w:lang w:val="en-US"/>
                    </w:rPr>
                    <w:t xml:space="preserve">Executive Summary</w:t>
                  </w:r>
                </w:p>
              </w:txbxContent>
            </v:textbox>
          </v:shape>
        </w:pict>
      </w:r>
      <w:r>
        <w:pict>
          <v:shapetype id="_x0000_t9" coordsize="21600,21600" o:spt="202" path="m,l,21600r21600,l21600,xe">
            <v:stroke joinstyle="miter"/>
            <v:path gradientshapeok="t" o:connecttype="rect"/>
          </v:shapetype>
          <v:shape id="_x0000_s8" type="#_x0000_t9" filled="f" stroked="f" style="position:absolute;width:240pt;height:397.2pt;z-index:1;margin-left:72pt;margin-top:106.55pt;mso-wrap-distance-left:0pt;mso-wrap-distance-right:0pt;mso-position-horizontal-relative:page;mso-position-vertical-relative:page">
            <w10:wrap anchorx="page" anchory="page"/>
            <v:fill opacity="1" o:opacity2="1" recolor="f" rotate="f" type="solid"/>
            <v:textbox inset="0pt, 0pt, 0pt, 0pt">
              <w:txbxContent>
                <w:p>
                  <w:pPr>
                    <w:spacing w:before="241" w:after="0" w:line="287" w:lineRule="exact"/>
                    <w:ind w:right="0" w:left="0" w:firstLine="0"/>
                    <w:jc w:val="left"/>
                    <w:textAlignment w:val="baseline"/>
                    <w:rPr>
                      <w:rFonts w:ascii="Calibri" w:hAnsi="Calibri" w:eastAsia="Calibri"/>
                      <w:b w:val="true"/>
                      <w:color w:val="000000"/>
                      <w:spacing w:val="-2"/>
                      <w:w w:val="100"/>
                      <w:sz w:val="28"/>
                      <w:vertAlign w:val="baseline"/>
                      <w:lang w:val="en-US"/>
                    </w:rPr>
                  </w:pPr>
                  <w:r>
                    <w:rPr>
                      <w:rFonts w:ascii="Calibri" w:hAnsi="Calibri" w:eastAsia="Calibri"/>
                      <w:b w:val="true"/>
                      <w:color w:val="000000"/>
                      <w:spacing w:val="-2"/>
                      <w:w w:val="100"/>
                      <w:sz w:val="28"/>
                      <w:vertAlign w:val="baseline"/>
                      <w:lang w:val="en-US"/>
                    </w:rPr>
                    <w:t xml:space="preserve">Introduction</w:t>
                  </w:r>
                </w:p>
                <w:p>
                  <w:pPr>
                    <w:spacing w:before="168" w:after="0" w:line="290" w:lineRule="exact"/>
                    <w:ind w:right="0" w:left="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New York State Department of Health (NYSDOH) Prevention Agenda 2025-2030 serves as a roadmap for county health departments, hospitals and other health care systems and partners to develop strategic priorities to ensure the health and well-being of New York State residents. Every six years, New York State requests that local health departments and their local hospital systems work together to create a joint community health assessment and improvement plan. Both should align with the NYSDOH Prevention Agenda and with priorities and requirements detailed by the Public Health Accreditation Board (PHAB).</w:t>
                  </w:r>
                </w:p>
                <w:p>
                  <w:pPr>
                    <w:spacing w:before="156" w:after="0" w:line="290" w:lineRule="exact"/>
                    <w:ind w:right="7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health departments and hospitals must choose at least three areas from the Prevention Agenda on which to focus their community health improvement efforts. Local entities may choose from five domains and 23 priorities within those domains. The five domains are:</w:t>
                  </w:r>
                </w:p>
                <w:p>
                  <w:pPr>
                    <w:numPr>
                      <w:ilvl w:val="0"/>
                      <w:numId w:val="1"/>
                    </w:numPr>
                    <w:tabs>
                      <w:tab w:val="clear" w:pos="432"/>
                      <w:tab w:val="left" w:pos="792"/>
                    </w:tabs>
                    <w:spacing w:before="225" w:after="0" w:line="222" w:lineRule="exact"/>
                    <w:ind w:right="0" w:left="360" w:firstLine="0"/>
                    <w:jc w:val="left"/>
                    <w:textAlignment w:val="baseline"/>
                    <w:rPr>
                      <w:rFonts w:ascii="Calibri" w:hAnsi="Calibri" w:eastAsia="Calibri"/>
                      <w:color w:val="000000"/>
                      <w:spacing w:val="-4"/>
                      <w:w w:val="100"/>
                      <w:sz w:val="22"/>
                      <w:vertAlign w:val="baseline"/>
                      <w:lang w:val="en-US"/>
                    </w:rPr>
                  </w:pPr>
                  <w:r>
                    <w:rPr>
                      <w:rFonts w:ascii="Calibri" w:hAnsi="Calibri" w:eastAsia="Calibri"/>
                      <w:color w:val="000000"/>
                      <w:spacing w:val="-4"/>
                      <w:w w:val="100"/>
                      <w:sz w:val="22"/>
                      <w:vertAlign w:val="baseline"/>
                      <w:lang w:val="en-US"/>
                    </w:rPr>
                    <w:t xml:space="preserve">Economic Stability</w:t>
                  </w:r>
                </w:p>
                <w:p>
                  <w:pPr>
                    <w:numPr>
                      <w:ilvl w:val="0"/>
                      <w:numId w:val="1"/>
                    </w:numPr>
                    <w:tabs>
                      <w:tab w:val="clear" w:pos="432"/>
                      <w:tab w:val="left" w:pos="792"/>
                    </w:tabs>
                    <w:spacing w:before="71" w:after="0" w:line="221" w:lineRule="exact"/>
                    <w:ind w:right="0" w:left="36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Social and Community Context</w:t>
                  </w:r>
                </w:p>
                <w:p>
                  <w:pPr>
                    <w:numPr>
                      <w:ilvl w:val="0"/>
                      <w:numId w:val="1"/>
                    </w:numPr>
                    <w:tabs>
                      <w:tab w:val="clear" w:pos="432"/>
                      <w:tab w:val="left" w:pos="792"/>
                    </w:tabs>
                    <w:spacing w:before="72" w:after="0" w:line="221" w:lineRule="exact"/>
                    <w:ind w:right="0" w:left="36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Neighborhood and Built Environment</w:t>
                  </w:r>
                </w:p>
                <w:p>
                  <w:pPr>
                    <w:numPr>
                      <w:ilvl w:val="0"/>
                      <w:numId w:val="1"/>
                    </w:numPr>
                    <w:tabs>
                      <w:tab w:val="clear" w:pos="432"/>
                      <w:tab w:val="left" w:pos="792"/>
                    </w:tabs>
                    <w:spacing w:before="67" w:after="0" w:line="221" w:lineRule="exact"/>
                    <w:ind w:right="0" w:left="36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Health Care Access and Quality</w:t>
                  </w:r>
                </w:p>
                <w:p>
                  <w:pPr>
                    <w:numPr>
                      <w:ilvl w:val="0"/>
                      <w:numId w:val="1"/>
                    </w:numPr>
                    <w:tabs>
                      <w:tab w:val="clear" w:pos="432"/>
                      <w:tab w:val="left" w:pos="792"/>
                    </w:tabs>
                    <w:spacing w:before="67" w:after="254" w:line="221" w:lineRule="exact"/>
                    <w:ind w:right="0" w:left="36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Education Access and Quality</w:t>
                  </w: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310.55pt;height:28.8pt;z-index:1;margin-left:0pt;margin-top:503.7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2" w:lineRule="exact"/>
                    <w:ind w:right="0" w:left="1440" w:firstLine="0"/>
                    <w:jc w:val="left"/>
                    <w:textAlignment w:val="baseline"/>
                    <w:rPr>
                      <w:rFonts w:ascii="Calibri" w:hAnsi="Calibri" w:eastAsia="Calibri"/>
                      <w:color w:val="000000"/>
                      <w:spacing w:val="14"/>
                      <w:w w:val="100"/>
                      <w:sz w:val="22"/>
                      <w:vertAlign w:val="baseline"/>
                      <w:lang w:val="en-US"/>
                    </w:rPr>
                  </w:pPr>
                  <w:r>
                    <w:rPr>
                      <w:rFonts w:ascii="Calibri" w:hAnsi="Calibri" w:eastAsia="Calibri"/>
                      <w:color w:val="000000"/>
                      <w:spacing w:val="14"/>
                      <w:w w:val="100"/>
                      <w:sz w:val="22"/>
                      <w:vertAlign w:val="baseline"/>
                      <w:lang w:val="en-US"/>
                    </w:rPr>
                    <w:t xml:space="preserve">Throughout the Community Health Assessment cycle, </w:t>
                  </w:r>
                  <w:r>
                    <w:rPr>
                      <w:rFonts w:ascii="Calibri" w:hAnsi="Calibri" w:eastAsia="Calibri"/>
                      <w:color w:val="000000"/>
                      <w:spacing w:val="14"/>
                      <w:w w:val="100"/>
                      <w:sz w:val="22"/>
                      <w:vertAlign w:val="baseline"/>
                      <w:lang w:val="en-US"/>
                    </w:rPr>
                    <w:t xml:space="preserve">public health and hospital systems value the input </w:t>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612pt;height:184.3pt;z-index:1;margin-left:0pt;margin-top:532.55pt;mso-wrap-distance-left:0pt;mso-wrap-distance-right:0pt;mso-position-horizontal-relative:page;mso-position-vertical-relative:page">
            <w10:wrap anchorx="page" anchory="page"/>
            <v:fill opacity="1" o:opacity2="1" recolor="f" rotate="f" type="solid"/>
            <v:textbox inset="0pt, 0pt, 0pt, 0pt">
              <w:txbxContent>
                <w:p>
                  <w:pPr>
                    <w:spacing w:before="0" w:after="586" w:line="282" w:lineRule="exact"/>
                    <w:ind w:right="0" w:left="1440" w:firstLine="0"/>
                    <w:jc w:val="left"/>
                    <w:textAlignment w:val="baseline"/>
                    <w:rPr>
                      <w:rFonts w:ascii="Calibri" w:hAnsi="Calibri" w:eastAsia="Calibri"/>
                      <w:color w:val="000000"/>
                      <w:spacing w:val="14"/>
                      <w:w w:val="100"/>
                      <w:sz w:val="22"/>
                      <w:vertAlign w:val="baseline"/>
                      <w:lang w:val="en-US"/>
                    </w:rPr>
                  </w:pPr>
                  <w:r>
                    <w:rPr>
                      <w:rFonts w:ascii="Calibri" w:hAnsi="Calibri" w:eastAsia="Calibri"/>
                      <w:color w:val="000000"/>
                      <w:spacing w:val="14"/>
                      <w:w w:val="100"/>
                      <w:sz w:val="22"/>
                      <w:vertAlign w:val="baseline"/>
                      <w:lang w:val="en-US"/>
                    </w:rPr>
                    <w:t xml:space="preserve">and engagement of key partners and community members who are critical in helping determine which </w:t>
                  </w:r>
                  <w:r>
                    <w:rPr>
                      <w:rFonts w:ascii="Calibri" w:hAnsi="Calibri" w:eastAsia="Calibri"/>
                      <w:color w:val="000000"/>
                      <w:spacing w:val="14"/>
                      <w:w w:val="100"/>
                      <w:sz w:val="22"/>
                      <w:vertAlign w:val="baseline"/>
                      <w:lang w:val="en-US"/>
                    </w:rPr>
                    <w:t xml:space="preserve">priorities are most important to the community, and what actions ought to be taken to improve the </w:t>
                  </w:r>
                  <w:r>
                    <w:rPr>
                      <w:rFonts w:ascii="Calibri" w:hAnsi="Calibri" w:eastAsia="Calibri"/>
                      <w:color w:val="000000"/>
                      <w:spacing w:val="14"/>
                      <w:w w:val="100"/>
                      <w:sz w:val="22"/>
                      <w:vertAlign w:val="baseline"/>
                      <w:lang w:val="en-US"/>
                    </w:rPr>
                    <w:t xml:space="preserve">population’s health. The following report summarizes the pertinent information relating to the above </w:t>
                  </w:r>
                  <w:r>
                    <w:rPr>
                      <w:rFonts w:ascii="Calibri" w:hAnsi="Calibri" w:eastAsia="Calibri"/>
                      <w:color w:val="000000"/>
                      <w:spacing w:val="14"/>
                      <w:w w:val="100"/>
                      <w:sz w:val="22"/>
                      <w:vertAlign w:val="baseline"/>
                      <w:lang w:val="en-US"/>
                    </w:rPr>
                    <w:t xml:space="preserve">priority areas. Residents live, work, and seek services beyond their county of residence. The health and </w:t>
                  </w:r>
                  <w:r>
                    <w:rPr>
                      <w:rFonts w:ascii="Calibri" w:hAnsi="Calibri" w:eastAsia="Calibri"/>
                      <w:color w:val="000000"/>
                      <w:spacing w:val="14"/>
                      <w:w w:val="100"/>
                      <w:sz w:val="22"/>
                      <w:vertAlign w:val="baseline"/>
                      <w:lang w:val="en-US"/>
                    </w:rPr>
                    <w:t xml:space="preserve">well-being of residents in a neighboring county may impact the needs and services in other counties. In </w:t>
                  </w:r>
                  <w:r>
                    <w:rPr>
                      <w:rFonts w:ascii="Calibri" w:hAnsi="Calibri" w:eastAsia="Calibri"/>
                      <w:color w:val="000000"/>
                      <w:spacing w:val="14"/>
                      <w:w w:val="100"/>
                      <w:sz w:val="22"/>
                      <w:vertAlign w:val="baseline"/>
                      <w:lang w:val="en-US"/>
                    </w:rPr>
                    <w:t xml:space="preserve">addition, collaborative practices such as shared messaging and lessons learned may expand the reach </w:t>
                  </w:r>
                  <w:r>
                    <w:rPr>
                      <w:rFonts w:ascii="Calibri" w:hAnsi="Calibri" w:eastAsia="Calibri"/>
                      <w:color w:val="000000"/>
                      <w:spacing w:val="14"/>
                      <w:w w:val="100"/>
                      <w:sz w:val="22"/>
                      <w:vertAlign w:val="baseline"/>
                      <w:lang w:val="en-US"/>
                    </w:rPr>
                    <w:t xml:space="preserve">and success of like-minded interventions. Following the comprehensive assessment of the health of the </w:t>
                  </w:r>
                  <w:r>
                    <w:rPr>
                      <w:rFonts w:ascii="Calibri" w:hAnsi="Calibri" w:eastAsia="Calibri"/>
                      <w:color w:val="000000"/>
                      <w:spacing w:val="14"/>
                      <w:w w:val="100"/>
                      <w:sz w:val="22"/>
                      <w:vertAlign w:val="baseline"/>
                      <w:lang w:val="en-US"/>
                    </w:rPr>
                    <w:t xml:space="preserve">entire region, this report contains a county-specific chapter from the region. Each county’s chapter </w:t>
                  </w:r>
                  <w:r>
                    <w:rPr>
                      <w:rFonts w:ascii="Calibri" w:hAnsi="Calibri" w:eastAsia="Calibri"/>
                      <w:color w:val="000000"/>
                      <w:spacing w:val="14"/>
                      <w:w w:val="100"/>
                      <w:sz w:val="22"/>
                      <w:vertAlign w:val="baseline"/>
                      <w:lang w:val="en-US"/>
                    </w:rPr>
                    <w:t xml:space="preserve">highlights specific needs, including additional demographic indicators, main health challenges, and </w:t>
                  </w:r>
                  <w:r>
                    <w:rPr>
                      <w:rFonts w:ascii="Calibri" w:hAnsi="Calibri" w:eastAsia="Calibri"/>
                      <w:color w:val="000000"/>
                      <w:spacing w:val="14"/>
                      <w:w w:val="100"/>
                      <w:sz w:val="22"/>
                      <w:vertAlign w:val="baseline"/>
                      <w:lang w:val="en-US"/>
                    </w:rPr>
                    <w:t xml:space="preserve">underlying behavioral, political, and built environmental factors contributing to the county’s overall </w:t>
                  </w:r>
                  <w:r>
                    <w:rPr>
                      <w:rFonts w:ascii="Calibri" w:hAnsi="Calibri" w:eastAsia="Calibri"/>
                      <w:color w:val="000000"/>
                      <w:spacing w:val="14"/>
                      <w:w w:val="100"/>
                      <w:sz w:val="22"/>
                      <w:vertAlign w:val="baseline"/>
                      <w:lang w:val="en-US"/>
                    </w:rPr>
                    <w:t xml:space="preserve">health status.</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4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1.5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319" w:top="2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33" w:after="0" w:line="287" w:lineRule="exact"/>
        <w:ind w:right="0" w:left="1440" w:firstLine="0"/>
        <w:jc w:val="left"/>
        <w:textAlignment w:val="baseline"/>
        <w:rPr>
          <w:rFonts w:ascii="Calibri" w:hAnsi="Calibri" w:eastAsia="Calibri"/>
          <w:b w:val="true"/>
          <w:color w:val="000000"/>
          <w:spacing w:val="-2"/>
          <w:w w:val="100"/>
          <w:sz w:val="28"/>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b w:val="true"/>
          <w:color w:val="000000"/>
          <w:spacing w:val="-2"/>
          <w:w w:val="100"/>
          <w:sz w:val="28"/>
          <w:vertAlign w:val="baseline"/>
          <w:lang w:val="en-US"/>
        </w:rPr>
        <w:t xml:space="preserve">Key Findings</w:t>
      </w:r>
    </w:p>
    <w:p>
      <w:pPr>
        <w:spacing w:before="164" w:after="0" w:line="290"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health of residents of the Finger Lakes region has been challenged by a variety of factors and circumstances ranging from demographic changes to public health crises. Addressing these challenges requires creative thinking, careful planning, and coordinated action, all of which are described in this community health assessment (CHA).</w:t>
      </w:r>
    </w:p>
    <w:p>
      <w:pPr>
        <w:spacing w:before="157"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Although the region’s overall population is projected to shrink, the region will experience an increase in the number of older adults over the next several years. This will result in the need to increase the capacity of healthcare and social service agencies. The expected increase in older adults and retirees, paired with a predicted decline in the number of working-age adults, will further exacerbate workforce demands.</w:t>
      </w:r>
    </w:p>
    <w:p>
      <w:pPr>
        <w:spacing w:before="160"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Despite the long-standing existence of several unique populations in the region, including migrant farm workers, Amish and Mennonite, Native American and Alaska Natives, researchers have been challenged to collect and interpret data related to their unique health needs. In addition to these populations, there are other demographic and cultural factors which may impact health outcomes and status in a particular county including race, ethnicity, age, income, education, and the infrastructure that makes up the built environment. The 2025–2030 New York State Prevention Agenda organizes these conditions into five domains of social determinants of health: Economic Stability; Social and Community Context; Neighborhood and Built Environment; Health Care Access and Quality; and Education Access and Quality. The data shared below corresponds to the five domain areas of the Prevention Agenda and provides a summary of findings. For more detailed information, please refer to the specific Prevention Agenda sections in this CHA.</w:t>
      </w:r>
    </w:p>
    <w:p>
      <w:pPr>
        <w:spacing w:before="227"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Economic Stability</w:t>
      </w:r>
    </w:p>
    <w:p>
      <w:pPr>
        <w:spacing w:before="157"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 refers to socioeconomic disparities, unemployment and underemployment, access to affordable, nutritious food, and housing security. All are closely linked to poor health, affecting physical, mental, and educational outcomes. Children and older adults are especially vulnerable.</w:t>
      </w:r>
    </w:p>
    <w:p>
      <w:pPr>
        <w:spacing w:before="156" w:after="0" w:line="290"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Socioeconomic conditions strongly shape community health. Higher poverty levels are associated with more chronic disease, mental health challenges, and limited access to essential resources such as food, housing, education, healthcare, and employment. Poverty also creates wider societal burdens, including homelessness, crime, and higher healthcare costs. Data across counties show notable variation in poverty rates, with several counties exceeding the New York State average. Poverty among older adults is rising in every county, which is concerning given the expected growth of the 65+ population. While household incomes have increased, they are not keeping pace with the living wage needed to meet basic costs.</w:t>
      </w:r>
    </w:p>
    <w:p>
      <w:pPr>
        <w:spacing w:before="164" w:after="715"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Access to healthy foods is another key concern. The Food Environment Index (FEI), which reflects food insecurity and distance to grocery stores, indicates that many counties in the region face greater food access challenges than the state overall. High food insecurity rates and large numbers of residents with incomes below the SNAP threshold highlight ongoing economic strain, particularly in rural areas. Limited access to nutritious food contributes to elevated rates of obesity, diabetes, and premature death.</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5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9" w:lineRule="exact"/>
        <w:ind w:right="1440" w:left="1440" w:firstLine="0"/>
        <w:jc w:val="left"/>
        <w:textAlignment w:val="baseline"/>
        <w:rPr>
          <w:rFonts w:ascii="Calibri" w:hAnsi="Calibri" w:eastAsia="Calibri"/>
          <w:color w:val="000000"/>
          <w:spacing w:val="1"/>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1"/>
          <w:w w:val="100"/>
          <w:sz w:val="22"/>
          <w:vertAlign w:val="baseline"/>
          <w:lang w:val="en-US"/>
        </w:rPr>
        <w:t xml:space="preserve">Housing stability also plays an important role in health. When housing is unaffordable or poor in quality, it can create stress, contribute to chronic illness, and limit access to other necessities. The Area Deprivation Index (ADI), which measures socioeconomic disadvantage, shows substantial variation across the region, with some communities experiencing significantly higher levels of deprivation and associated health risks.</w:t>
      </w:r>
    </w:p>
    <w:p>
      <w:pPr>
        <w:spacing w:before="161"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Children and older adults are especially vulnerable, as poverty, food insecurity, and unstable housing can disrupt healthy development, worsen chronic conditions, and compound disadvantages over time.</w:t>
      </w:r>
    </w:p>
    <w:p>
      <w:pPr>
        <w:spacing w:before="229" w:after="0" w:line="227"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Social and Community Context</w:t>
      </w:r>
    </w:p>
    <w:p>
      <w:pPr>
        <w:spacing w:before="155"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 context encompasses the relationships, environments, and local systems that shape people’s health and well-being. Strong social connections, a sense of belonging, and access to community resources support positive health outcomes, while factors such as discrimination, isolation, and inequities in the surrounding environment can undermine health.</w:t>
      </w:r>
    </w:p>
    <w:p>
      <w:pPr>
        <w:spacing w:before="156"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health concerns are rising across the Finger Lakes region, with increasing rates of depressive disorders and adults reporting frequent poor mental health. Factors such as economic strain, chronic illness, political polarization, and adverse childhood experiences contribute to anxiety and stress, while access to mental health providers remains a challenge. Suicide rates among adults are climbing in most counties, and youth suicide trends vary, with some counties reporting decreases and others showing significant increases.</w:t>
      </w:r>
    </w:p>
    <w:p>
      <w:pPr>
        <w:spacing w:before="162"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Drug-related deaths, including opioid overdoses, have escalated sharply in many counties, surpassing statewide averages. Community focus groups also identified growing substance use as a major concern, prompting new local partnerships aimed at addressing addiction.</w:t>
      </w:r>
    </w:p>
    <w:p>
      <w:pPr>
        <w:spacing w:before="157"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smoking has declined across the region, binge drinking has increased, and both behaviors occur at rates higher than the New York State average. Adverse childhood experiences remain a significant issue, with many adults reporting two or more ACEs, which can affect long-term health.</w:t>
      </w:r>
    </w:p>
    <w:p>
      <w:pPr>
        <w:spacing w:before="161"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eating patterns remain a concern across the region. Fewer than half of adults in most counties eat fruit daily, though this is improving, and daily vegetable consumption is declining. Sugary drink consumption is below the state average in most counties yet remains an important target for prevention given its link to obesity and chronic disease. Focus group participants consistently emphasized the importance of healthy eating but noted that affordability and limited grocery access make it difficult to sustain healthy eating habits.</w:t>
      </w:r>
    </w:p>
    <w:p>
      <w:pPr>
        <w:spacing w:before="230"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Neighborhood and Built Environment</w:t>
      </w:r>
    </w:p>
    <w:p>
      <w:pPr>
        <w:spacing w:before="153"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Neighborhood and built environment depend on clean air and water, safe and affordable housing, well-maintained streets and sidewalks, adequate lighting, low violence, and accessible parks and trails. Although physical activity is essential for preventing chronic disease, many focus group participants reported feeling unsafe on local roads and sidewalks, and residents with mobility limitations often struggle to navigate their surroundings, safely.</w:t>
      </w:r>
    </w:p>
    <w:p>
      <w:pPr>
        <w:spacing w:before="159" w:after="317" w:line="290" w:lineRule="exact"/>
        <w:ind w:right="194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Several counties have expanded access to physical activity resources but rising injuries and violence across the region undermine residents’ sense of safety. Regionally, violent crime has risen in recent</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6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1728"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years, especially since 2020, and is currently at its highest level since 2013. Most counties now exceed the state average in unintentional injury deaths.</w:t>
      </w:r>
    </w:p>
    <w:p>
      <w:pPr>
        <w:spacing w:before="164"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Transportation barriers in rural areas further limit access to food and healthcare, as many residents live far from essential services and grocery stores. Low walkability and high social vulnerability scores reflect these challenges. Perceived increases in community violence, regardless of the cause, also discourage community engagement.</w:t>
      </w:r>
    </w:p>
    <w:p>
      <w:pPr>
        <w:spacing w:before="160"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Despite these concerns, respondents to the 2024 Regional Access to Care Survey highlighted strong community assets, including volunteers, local non-profit organizations, and hospitals, which help offset shortcomings in the built environment.</w:t>
      </w:r>
    </w:p>
    <w:p>
      <w:pPr>
        <w:spacing w:before="230"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Health Care Access and Quality</w:t>
      </w:r>
    </w:p>
    <w:p>
      <w:pPr>
        <w:spacing w:before="162" w:after="0" w:line="289"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Health care access and quality play a critical role in preventing disease, supporting healthy development, and reducing inequities. Early and consistent prenatal care lowers risks for mothers and infants, while regular screenings, immunizations, and management of chronic conditions help prevent serious illness and death. Oral health, often tied to socioeconomic status, is another key component of overall well</w:t>
        <w:softHyphen/>
      </w:r>
      <w:r>
        <w:rPr>
          <w:rFonts w:ascii="Calibri" w:hAnsi="Calibri" w:eastAsia="Calibri"/>
          <w:color w:val="000000"/>
          <w:spacing w:val="-1"/>
          <w:w w:val="100"/>
          <w:sz w:val="22"/>
          <w:vertAlign w:val="baseline"/>
          <w:lang w:val="en-US"/>
        </w:rPr>
        <w:t xml:space="preserve">being. Despite the benefits of these services, many residents face barriers, including transportation challenges, inequitable access, and mistrust, that limit their ability to receive timely, high-quality care.</w:t>
      </w:r>
    </w:p>
    <w:p>
      <w:pPr>
        <w:spacing w:before="165"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early prenatal care and abstinence from alcohol, tobacco, and illicit drugs during pregnancy are critical in ensuring healthy starts for our youngest residents. While only a small share of births in the region receive late (third trimester) or no prenatal care, some counties have rates that are more than twice those of the best performing counties, underscoring ongoing geographic disparities in timely access. The use of harmful substances during pregnancy has decreased in the region, as have the incidences of preterm births and low birth weights. This is encouraging as the eight counties represented in this regional CHA continue to work collaboratively on maternal child health indicators, interventions, and unified messaging.</w:t>
      </w:r>
    </w:p>
    <w:p>
      <w:pPr>
        <w:spacing w:before="163"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primary care and dental care is problematic in rural counties, particularly for low-income and Medicaid-eligible residents. Provider shortages, cost, transportation barriers, and scheduling difficulties hinder timely care. Though mammography rates are high, colorectal cancer and diabetes screenings lag. Dental care, particularly for individuals with Medicaid, remains limited due to a lack of participating providers.</w:t>
      </w:r>
    </w:p>
    <w:p>
      <w:pPr>
        <w:spacing w:before="166"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High emergency department use, preventable hospitalizations, and increased behavioral-health visits reflect gaps in primary and specialty care. Public health activities such as TB screening and treatment, blood lead testing, childhood vaccination clinics, and STI testing and treatment remain important stop gaps for individuals who otherwise would lack access to these services. Future improvements may come from telehealth expansion, better broadband, urgent care expansion, and social care networks, though the advent of concierge medicine may worsen inequities.</w:t>
      </w:r>
    </w:p>
    <w:p>
      <w:pPr>
        <w:spacing w:before="162" w:after="0" w:line="289" w:lineRule="exact"/>
        <w:ind w:right="194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 2024 regional survey of more than 1,700 residents confirmed persistent barriers to care (for more detail, please see Regional Access to Care Report section of this CHA). Findings included:</w:t>
      </w:r>
    </w:p>
    <w:p>
      <w:pPr>
        <w:numPr>
          <w:ilvl w:val="0"/>
          <w:numId w:val="2"/>
        </w:numPr>
        <w:tabs>
          <w:tab w:val="clear" w:pos="360"/>
          <w:tab w:val="left" w:pos="2160"/>
        </w:tabs>
        <w:spacing w:before="227"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Shortages of medical, dental, and mental health providers</w:t>
      </w:r>
    </w:p>
    <w:p>
      <w:pPr>
        <w:numPr>
          <w:ilvl w:val="0"/>
          <w:numId w:val="2"/>
        </w:numPr>
        <w:tabs>
          <w:tab w:val="clear" w:pos="360"/>
          <w:tab w:val="left" w:pos="2160"/>
        </w:tabs>
        <w:spacing w:before="69" w:after="163"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Transportation difficulties, especially in rural areas</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7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numPr>
          <w:ilvl w:val="0"/>
          <w:numId w:val="2"/>
        </w:numPr>
        <w:tabs>
          <w:tab w:val="clear" w:pos="360"/>
          <w:tab w:val="left" w:pos="2160"/>
        </w:tabs>
        <w:spacing w:before="140" w:after="0" w:line="233" w:lineRule="exact"/>
        <w:ind w:right="0" w:left="1800" w:firstLine="0"/>
        <w:jc w:val="left"/>
        <w:textAlignment w:val="baseline"/>
        <w:rPr>
          <w:rFonts w:ascii="Calibri" w:hAnsi="Calibri" w:eastAsia="Calibri"/>
          <w:color w:val="000000"/>
          <w:spacing w:val="0"/>
          <w:w w:val="100"/>
          <w:sz w:val="22"/>
          <w:vertAlign w:val="baseline"/>
          <w:lang w:val="en-US"/>
        </w:rPr>
      </w:pPr>
      <w:r>
        <w:pict>
          <v:line strokeweight="1.7pt" strokecolor="#145F82" from="0pt,-3.4pt" to="612.05pt,-3.4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Insurance-related challenges for uninsured and Medicaid patients</w:t>
      </w:r>
    </w:p>
    <w:p>
      <w:pPr>
        <w:numPr>
          <w:ilvl w:val="0"/>
          <w:numId w:val="2"/>
        </w:numPr>
        <w:tabs>
          <w:tab w:val="clear" w:pos="360"/>
          <w:tab w:val="left" w:pos="2160"/>
        </w:tabs>
        <w:spacing w:before="69"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Greater access barriers for non-White, rural, and Plain community residents</w:t>
      </w:r>
    </w:p>
    <w:p>
      <w:pPr>
        <w:numPr>
          <w:ilvl w:val="0"/>
          <w:numId w:val="2"/>
        </w:numPr>
        <w:tabs>
          <w:tab w:val="clear" w:pos="360"/>
          <w:tab w:val="left" w:pos="2160"/>
        </w:tabs>
        <w:spacing w:before="69"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Strong community assets, including local organizations and hospitals</w:t>
      </w:r>
    </w:p>
    <w:p>
      <w:pPr>
        <w:spacing w:before="225"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Emerging issues include workforce shortages—particularly in behavioral health—limited broadband for</w:t>
      </w:r>
    </w:p>
    <w:p>
      <w:pPr>
        <w:spacing w:before="3" w:after="0" w:line="289" w:lineRule="exact"/>
        <w:ind w:right="144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telehealth, policy changes affecting Medicaid and SNAP, difficulties integrating new care models, ongoing equity gaps, and the potential benefits of expanding Social Care Networks and urgent care services.</w:t>
      </w:r>
    </w:p>
    <w:p>
      <w:pPr>
        <w:spacing w:before="230"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Education Access and Quality</w:t>
      </w:r>
    </w:p>
    <w:p>
      <w:pPr>
        <w:spacing w:before="156"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Education is a major determinant of health. People with higher levels of schooling tend to live longer, experience fewer chronic conditions, and enjoy greater economic security. Student absenteeism can stem from a range of issues, including physical and mental health concerns, substance use, unsafe school environments, and low physical fitness. Beyond high school, additional education offers significant advantages: adults with a bachelor’s degree typically have higher earnings, lower unemployment, and improved health and living conditions compared to those with only a high school diploma. However, cost and disparities in access continue to limit these opportunities for many.</w:t>
      </w:r>
    </w:p>
    <w:p>
      <w:pPr>
        <w:spacing w:before="164"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Education opportunities are reflected in high school graduation rates, per-student spending, and graduation rates among economically disadvantaged students. Most counties surpass the state average for adults with a high school diploma, suggesting that educational attainment may support greater economic stability.</w:t>
      </w:r>
    </w:p>
    <w:p>
      <w:pPr>
        <w:spacing w:before="242" w:after="0" w:line="286"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Regional Assets and Resources to be Mobilized</w:t>
      </w:r>
    </w:p>
    <w:p>
      <w:pPr>
        <w:spacing w:before="173"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the Finger Lakes Region, there is a long history of collaboration and coordination among local health departments (LHDs) and community partners. The counties work together on programming, policy development, and unified messaging and have inter-municipal agreements for emergency response. Six of the counties worked together to become nationally accredited in 2020 and are now pursuing multi-jurisdictional reaccreditation. Additionally, LHDs work collaboratively with hospital partners in emergency preparedness, community health priorities, at co-sponsored events, during communicable disease outbreaks, and on boards and coalitions. Each county maintains a group of hospital and community stakeholders with which they complete the CHA and the CHIP. In addition to these relationships, eight Finger Lakes counties are members of the Pivital Public Health Partnership and collaborate with Common Ground Health and the Forward Leading IPA (FLIPA).</w:t>
      </w:r>
    </w:p>
    <w:p>
      <w:pPr>
        <w:spacing w:before="230"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Pivital Public Health Partnership</w:t>
      </w:r>
    </w:p>
    <w:p>
      <w:pPr>
        <w:spacing w:before="157" w:after="1104" w:line="289" w:lineRule="exact"/>
        <w:ind w:right="1512" w:left="1440" w:firstLine="0"/>
        <w:jc w:val="both"/>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Pivital Public Health Partnership is a collaboration of eight local health departments including Chemung, Livingston, Ontario, Schuyler, Seneca, Steuben, Wayne, and Yates Counties. The network focuses on improving the health and well-being of Finger Lakes residents by promoting health equity in populations who experience disparities. The Pivital board is made up of community members, medical professionals, and public health directors from member counties. Directors meet monthly to strategize and coordinate efforts to improve the health and wellbeing of Finger Lakes residents.</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8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55D7E"/>
          <w:spacing w:val="0"/>
          <w:w w:val="100"/>
          <w:sz w:val="28"/>
          <w:vertAlign w:val="baseline"/>
          <w:lang w:val="en-US"/>
        </w:rPr>
      </w:pPr>
      <w:r>
        <w:rPr>
          <w:rFonts w:ascii="Calibri" w:hAnsi="Calibri" w:eastAsia="Calibri"/>
          <w:b w:val="true"/>
          <w:color w:val="155D7E"/>
          <w:spacing w:val="0"/>
          <w:w w:val="100"/>
          <w:sz w:val="28"/>
          <w:vertAlign w:val="baseline"/>
          <w:lang w:val="en-US"/>
        </w:rPr>
        <w:t xml:space="preserve">Comprehensive Regional Community Health Assessment</w:t>
      </w:r>
    </w:p>
    <w:p>
      <w:pPr>
        <w:spacing w:before="228" w:after="0" w:line="224"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pict>
          <v:line strokeweight="1.7pt" strokecolor="#155D7E" from="0pt,62.9pt" to="612.05pt,62.9pt" style="position:absolute;mso-position-horizontal-relative:page;mso-position-vertical-relative:page;">
            <v:stroke dashstyle="solid"/>
          </v:line>
        </w:pict>
      </w:r>
      <w:r>
        <w:rPr>
          <w:rFonts w:ascii="Calibri" w:hAnsi="Calibri" w:eastAsia="Calibri"/>
          <w:b w:val="true"/>
          <w:i w:val="true"/>
          <w:color w:val="000000"/>
          <w:spacing w:val="0"/>
          <w:w w:val="100"/>
          <w:sz w:val="22"/>
          <w:vertAlign w:val="baseline"/>
          <w:lang w:val="en-US"/>
        </w:rPr>
        <w:t xml:space="preserve">Common Ground Health</w:t>
      </w:r>
    </w:p>
    <w:p>
      <w:pPr>
        <w:spacing w:before="152"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Common Ground Health covers the same geographic area as Pivital, with the addition of Monroe County, which has both urban and rural populations. The agency brings together leaders from healthcare, business, education and other sectors to find common ground on health challenges and bring attention to health inequities based on geography, socio-economic status, race and ethnicity. Members meet quarterly at Regional Leadership meetings to discuss challenges in health outcomes and available resources.</w:t>
      </w:r>
    </w:p>
    <w:p>
      <w:pPr>
        <w:spacing w:before="231" w:after="0" w:line="227" w:lineRule="exact"/>
        <w:ind w:right="0" w:left="1440" w:firstLine="0"/>
        <w:jc w:val="left"/>
        <w:textAlignment w:val="baseline"/>
        <w:rPr>
          <w:rFonts w:ascii="Calibri" w:hAnsi="Calibri" w:eastAsia="Calibri"/>
          <w:b w:val="true"/>
          <w:i w:val="true"/>
          <w:color w:val="000000"/>
          <w:spacing w:val="-1"/>
          <w:w w:val="100"/>
          <w:sz w:val="22"/>
          <w:vertAlign w:val="baseline"/>
          <w:lang w:val="en-US"/>
        </w:rPr>
      </w:pPr>
      <w:r>
        <w:rPr>
          <w:rFonts w:ascii="Calibri" w:hAnsi="Calibri" w:eastAsia="Calibri"/>
          <w:b w:val="true"/>
          <w:i w:val="true"/>
          <w:color w:val="000000"/>
          <w:spacing w:val="-1"/>
          <w:w w:val="100"/>
          <w:sz w:val="22"/>
          <w:vertAlign w:val="baseline"/>
          <w:lang w:val="en-US"/>
        </w:rPr>
        <w:t xml:space="preserve">Forward Leading IPA (FLIPA)</w:t>
      </w:r>
    </w:p>
    <w:p>
      <w:pPr>
        <w:spacing w:before="142"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FLIPA’s mission is to strengthen healthcare through meaningful connections by creating opportunities for member organizations to collaborate, build relationships, and share best practices to support the health and wellbeing of communities across upstate New York. The executive director of Pivital represents the eight Pivital counties on the FLIPA board of directors. Current work is centered on the 1115 waiver and creation of a social care network.</w:t>
      </w:r>
    </w:p>
    <w:p>
      <w:pPr>
        <w:spacing w:before="158"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These agencies support the work of the CHA and the eventual execution of the CHIP and continually strive toward highlighting alignment, leveraging shared resources, and creating opportunities for shared learning. With facilitation and coordination by each agency, local leaders are able to regularly meet to discuss health challenges and issues as a team and devise plans toward improving the health of all Finger Lakes residents.</w:t>
      </w:r>
    </w:p>
    <w:p>
      <w:pPr>
        <w:spacing w:before="163" w:after="653" w:line="290"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addition to the resources available through Pivital, Common Ground Health, and FLIPA, LHD’s are active in regional workgroups and local nonprofit organizations. For a list of partners in each county, please see the specific County chapter.</w:t>
      </w:r>
    </w:p>
    <w:p>
      <w:pPr>
        <w:tabs>
          <w:tab w:val="left" w:leader="none" w:pos="6768"/>
        </w:tabs>
        <w:spacing w:before="27" w:after="0" w:line="245" w:lineRule="exact"/>
        <w:ind w:right="0" w:left="1440" w:firstLine="0"/>
        <w:jc w:val="left"/>
        <w:textAlignment w:val="baseline"/>
        <w:rPr>
          <w:rFonts w:ascii="Calibri" w:hAnsi="Calibri" w:eastAsia="Calibri"/>
          <w:b w:val="true"/>
          <w:color w:val="155D7E"/>
          <w:spacing w:val="0"/>
          <w:w w:val="100"/>
          <w:sz w:val="24"/>
          <w:vertAlign w:val="baseline"/>
          <w:lang w:val="en-US"/>
        </w:rPr>
      </w:pPr>
      <w:r>
        <w:pict>
          <v:shapetype id="_x0000_t13" coordsize="21600,21600" o:spt="202" path="m,l,21600r21600,l21600,xe">
            <v:stroke joinstyle="miter"/>
            <v:path gradientshapeok="t" o:connecttype="rect"/>
          </v:shapetype>
          <v:shape id="_x0000_s12" type="#_x0000_t13" filled="f" stroked="f" style="position:absolute;width:612pt;height:281.6pt;z-index:-1;margin-left:0pt;margin-top:446.4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4" coordsize="21600,21600" o:spt="202" path="m,l,21600r21600,l21600,xe">
            <v:stroke joinstyle="miter"/>
            <v:path gradientshapeok="t" o:connecttype="rect"/>
          </v:shapetype>
          <v:shape id="_x0000_s13" type="#_x0000_t14" filled="f" stroked="f" style="position:absolute;width:612pt;height:272.45pt;z-index:-1;margin-left:0pt;margin-top:446.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72400" cy="346011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7772400" cy="3460115"/>
                                </a:xfrm>
                                <a:prstGeom prst="rect"/>
                              </pic:spPr>
                            </pic:pic>
                          </a:graphicData>
                        </a:graphic>
                      </wp:inline>
                    </w:drawing>
                  </w:r>
                </w:p>
              </w:txbxContent>
            </v:textbox>
          </v:shape>
        </w:pict>
      </w:r>
      <w:r>
        <w:pict>
          <v:shapetype id="_x0000_t15" coordsize="21600,21600" o:spt="202" path="m,l,21600r21600,l21600,xe">
            <v:stroke joinstyle="miter"/>
            <v:path gradientshapeok="t" o:connecttype="rect"/>
          </v:shapetype>
          <v:shape id="_x0000_s14" type="#_x0000_t15" filled="f" stroked="f" style="position:absolute;width:130.55pt;height:10.25pt;z-index:-1;margin-left:7.45pt;margin-top:617.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5" w:lineRule="exact"/>
                    <w:ind w:right="0" w:left="0" w:firstLine="0"/>
                    <w:jc w:val="left"/>
                    <w:textAlignment w:val="baseline"/>
                    <w:rPr>
                      <w:rFonts w:ascii="Calibri" w:hAnsi="Calibri" w:eastAsia="Calibri"/>
                      <w:i w:val="true"/>
                      <w:color w:val="082A37"/>
                      <w:spacing w:val="-4"/>
                      <w:w w:val="100"/>
                      <w:sz w:val="18"/>
                      <w:vertAlign w:val="baseline"/>
                      <w:lang w:val="en-US"/>
                    </w:rPr>
                  </w:pPr>
                  <w:r>
                    <w:rPr>
                      <w:rFonts w:ascii="Calibri" w:hAnsi="Calibri" w:eastAsia="Calibri"/>
                      <w:i w:val="true"/>
                      <w:color w:val="082A37"/>
                      <w:spacing w:val="-4"/>
                      <w:w w:val="100"/>
                      <w:sz w:val="18"/>
                      <w:vertAlign w:val="baseline"/>
                      <w:lang w:val="en-US"/>
                    </w:rPr>
                    <w:t xml:space="preserve">Keuka Lake, Source: Steuben County</w:t>
                  </w:r>
                </w:p>
              </w:txbxContent>
            </v:textbox>
          </v:shape>
        </w:pict>
      </w:r>
      <w:r>
        <w:rPr>
          <w:rFonts w:ascii="Calibri" w:hAnsi="Calibri" w:eastAsia="Calibri"/>
          <w:b w:val="true"/>
          <w:color w:val="155D7E"/>
          <w:spacing w:val="0"/>
          <w:w w:val="100"/>
          <w:sz w:val="24"/>
          <w:vertAlign w:val="baseline"/>
          <w:lang w:val="en-US"/>
        </w:rPr>
        <w:t xml:space="preserve">Page 9	</w:t>
      </w:r>
      <w:r>
        <w:rPr>
          <w:rFonts w:ascii="Calibri" w:hAnsi="Calibri" w:eastAsia="Calibri"/>
          <w:b w:val="true"/>
          <w:color w:val="155D7E"/>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line strokeweight="1.7pt" strokecolor="#145F82" from="0pt,62.9pt" to="611.55pt,62.9pt" style="position:absolute;mso-position-horizontal-relative:page;mso-position-vertical-relative:page;">
            <v:stroke dashstyle="solid"/>
          </v:line>
        </w:pict>
      </w: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70" w:lineRule="exact"/>
        <w:ind w:right="1728" w:left="1440" w:firstLine="0"/>
        <w:jc w:val="left"/>
        <w:textAlignment w:val="baseline"/>
        <w:rPr>
          <w:rFonts w:ascii="Calibri" w:hAnsi="Calibri" w:eastAsia="Calibri"/>
          <w:color w:val="000000"/>
          <w:spacing w:val="0"/>
          <w:w w:val="100"/>
          <w:sz w:val="22"/>
          <w:vertAlign w:val="baseline"/>
          <w:lang w:val="en-US"/>
        </w:rPr>
      </w:pPr>
      <w:r>
        <w:pict>
          <v:shapetype id="_x0000_t16" coordsize="21600,21600" o:spt="202" path="m,l,21600r21600,l21600,xe">
            <v:stroke joinstyle="miter"/>
            <v:path gradientshapeok="t" o:connecttype="rect"/>
          </v:shapetype>
          <v:shape id="_x0000_s15" type="#_x0000_t16" filled="f" stroked="f" style="position:absolute;width:611.5pt;height:34.55pt;z-index:-1;margin-left:0pt;margin-top:71.75pt;mso-wrap-distance-top:9.75pt;mso-wrap-distance-bottom:10.7pt;mso-wrap-distance-left:0pt;mso-wrap-distance-right:0.5pt;mso-position-horizontal-relative:page;mso-position-vertical-relative:page">
            <w10:wrap type="square"/>
            <v:fill opacity="1" o:opacity2="1" recolor="f" rotate="f" type="solid"/>
            <v:textbox inset="0pt, 0pt, 0pt, 0pt">
              <w:txbxContent/>
            </v:textbox>
          </v:shape>
        </w:pict>
      </w:r>
      <w:r>
        <w:pict>
          <v:shapetype id="_x0000_t17" coordsize="21600,21600" o:spt="202" path="m,l,21600r21600,l21600,xe">
            <v:stroke joinstyle="miter"/>
            <v:path gradientshapeok="t" o:connecttype="rect"/>
          </v:shapetype>
          <v:shape id="_x0000_s16" type="#_x0000_t17" filled="f" stroked="f" style="position:absolute;width:611.5pt;height:34.55pt;z-index:-1;margin-left:0pt;margin-top:71.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766050" cy="438785"/>
                                </a:xfrm>
                                <a:prstGeom prst="rect"/>
                              </pic:spPr>
                            </pic:pic>
                          </a:graphicData>
                        </a:graphic>
                      </wp:inline>
                    </w:drawing>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171.35pt;height:16.25pt;z-index:-1;margin-left:217.2pt;margin-top:76.4pt;mso-wrap-distance-left:0pt;mso-wrap-distance-right:0pt;mso-position-horizontal-relative:page;mso-position-vertical-relative:page">
            <w10:wrap type="square" side="both"/>
            <v:fill opacity="1" o:opacity2="1" recolor="f" rotate="f" type="solid"/>
            <v:textbox inset="0pt, 0pt, 0pt, 0pt">
              <w:txbxContent>
                <w:p>
                  <w:pPr>
                    <w:spacing w:before="33" w:after="0" w:line="282" w:lineRule="exact"/>
                    <w:ind w:right="0" w:left="0" w:firstLine="0"/>
                    <w:jc w:val="center"/>
                    <w:textAlignment w:val="baseline"/>
                    <w:rPr>
                      <w:rFonts w:ascii="Calibri" w:hAnsi="Calibri" w:eastAsia="Calibri"/>
                      <w:b w:val="true"/>
                      <w:color w:val="FFFFFF"/>
                      <w:spacing w:val="-5"/>
                      <w:w w:val="100"/>
                      <w:sz w:val="28"/>
                      <w:vertAlign w:val="baseline"/>
                      <w:lang w:val="en-US"/>
                    </w:rPr>
                  </w:pPr>
                  <w:r>
                    <w:rPr>
                      <w:rFonts w:ascii="Calibri" w:hAnsi="Calibri" w:eastAsia="Calibri"/>
                      <w:b w:val="true"/>
                      <w:color w:val="FFFFFF"/>
                      <w:spacing w:val="-5"/>
                      <w:w w:val="100"/>
                      <w:sz w:val="28"/>
                      <w:vertAlign w:val="baseline"/>
                      <w:lang w:val="en-US"/>
                    </w:rPr>
                    <w:t xml:space="preserve">County-Specific Priority Areas</w:t>
                  </w:r>
                </w:p>
              </w:txbxContent>
            </v:textbox>
          </v:shape>
        </w:pict>
      </w:r>
      <w:r>
        <w:rPr>
          <w:rFonts w:ascii="Calibri" w:hAnsi="Calibri" w:eastAsia="Calibri"/>
          <w:color w:val="000000"/>
          <w:spacing w:val="0"/>
          <w:w w:val="100"/>
          <w:sz w:val="22"/>
          <w:vertAlign w:val="baseline"/>
          <w:lang w:val="en-US"/>
        </w:rPr>
        <w:t xml:space="preserve">The eight counties of the Finger Lakes region each chose three or four priority areas on which to focus their Community Health Improvement Plans as shown in Table 1.</w:t>
      </w:r>
    </w:p>
    <w:p>
      <w:pPr>
        <w:spacing w:before="223" w:after="20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 County-Specific Priority Areas</w:t>
      </w:r>
    </w:p>
    <w:tbl>
      <w:tblPr>
        <w:jc w:val="left"/>
        <w:tblInd w:w="355" w:type="dxa"/>
        <w:tblLayout w:type="fixed"/>
        <w:tblCellMar>
          <w:left w:w="0" w:type="dxa"/>
          <w:right w:w="0" w:type="dxa"/>
        </w:tblCellMar>
      </w:tblPr>
      <w:tblGrid>
        <w:gridCol w:w="3062"/>
        <w:gridCol w:w="370"/>
        <w:gridCol w:w="2602"/>
        <w:gridCol w:w="331"/>
        <w:gridCol w:w="5314"/>
      </w:tblGrid>
      <w:tr>
        <w:trPr>
          <w:trHeight w:val="283" w:hRule="exact"/>
        </w:trPr>
        <w:tc>
          <w:tcPr>
            <w:tcW w:w="3062" w:type="dxa"/>
            <w:tcBorders>
              <w:top w:val="single" w:sz="5" w:color="000000"/>
              <w:left w:val="none"/>
              <w:bottom w:val="single" w:sz="5" w:color="000000"/>
              <w:right w:val="single" w:sz="5" w:color="000000"/>
            </w:tcBorders>
            <w:shd w:val="clear" w:color="145F82" w:fill="145F82"/>
            <w:textDirection w:val="lrTb"/>
            <w:vAlign w:val="center"/>
          </w:tcPr>
          <w:p>
            <w:pPr>
              <w:spacing w:before="35" w:after="9" w:line="229" w:lineRule="exact"/>
              <w:ind w:right="1204"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County</w:t>
            </w:r>
          </w:p>
        </w:tc>
        <w:tc>
          <w:tcPr>
            <w:tcW w:w="2972" w:type="dxa"/>
            <w:gridSpan w:val="2"/>
            <w:tcBorders>
              <w:top w:val="single" w:sz="5" w:color="000000"/>
              <w:left w:val="single" w:sz="5" w:color="000000"/>
              <w:bottom w:val="single" w:sz="5" w:color="000000"/>
              <w:right w:val="single" w:sz="5" w:color="000000"/>
            </w:tcBorders>
            <w:shd w:val="clear" w:color="145F82" w:fill="145F82"/>
            <w:textDirection w:val="lrTb"/>
            <w:vAlign w:val="center"/>
          </w:tcPr>
          <w:p>
            <w:pPr>
              <w:spacing w:before="35" w:after="9" w:line="229" w:lineRule="exact"/>
              <w:ind w:right="18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Prevention Agenda Domain</w:t>
            </w:r>
          </w:p>
        </w:tc>
        <w:tc>
          <w:tcPr>
            <w:tcW w:w="331" w:type="dxa"/>
            <w:tcBorders>
              <w:top w:val="single" w:sz="5" w:color="000000"/>
              <w:left w:val="single" w:sz="5" w:color="000000"/>
              <w:bottom w:val="single" w:sz="5" w:color="000000"/>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145F82" w:fill="145F82"/>
            <w:textDirection w:val="lrTb"/>
            <w:vAlign w:val="center"/>
          </w:tcPr>
          <w:p>
            <w:pPr>
              <w:spacing w:before="35" w:after="9" w:line="229" w:lineRule="exact"/>
              <w:ind w:right="2188"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Priority Area</w:t>
            </w:r>
          </w:p>
        </w:tc>
      </w:tr>
      <w:tr>
        <w:trPr>
          <w:trHeight w:val="283" w:hRule="exact"/>
        </w:trPr>
        <w:tc>
          <w:tcPr>
            <w:tcW w:w="3062" w:type="dxa"/>
            <w:tcBorders>
              <w:top w:val="single" w:sz="5" w:color="000000"/>
              <w:left w:val="none"/>
              <w:bottom w:val="none"/>
              <w:right w:val="single" w:sz="5" w:color="000000"/>
            </w:tcBorders>
            <w:textDirection w:val="lrTb"/>
            <w:vAlign w:val="center"/>
          </w:tcPr>
          <w:p>
            <w:pPr>
              <w:spacing w:before="33" w:after="23" w:line="222"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370" w:type="dxa"/>
            <w:tcBorders>
              <w:top w:val="single" w:sz="5" w:color="000000"/>
              <w:left w:val="single" w:sz="5" w:color="000000"/>
              <w:bottom w:val="none"/>
              <w:right w:val="none"/>
            </w:tcBorders>
            <w:textDirection w:val="lrTb"/>
            <w:vAlign w:val="center"/>
          </w:tcPr>
          <w:p>
            <w:pPr>
              <w:numPr>
                <w:ilvl w:val="0"/>
                <w:numId w:val="3"/>
              </w:numPr>
              <w:tabs>
                <w:tab w:val="clear" w:pos="144"/>
                <w:tab w:val="left" w:pos="144"/>
              </w:tabs>
              <w:spacing w:before="33"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center"/>
          </w:tcPr>
          <w:p>
            <w:pPr>
              <w:spacing w:before="33" w:after="23" w:line="222"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single" w:sz="5" w:color="000000"/>
              <w:left w:val="single" w:sz="5" w:color="000000"/>
              <w:bottom w:val="none"/>
              <w:right w:val="none"/>
            </w:tcBorders>
            <w:textDirection w:val="lrTb"/>
            <w:vAlign w:val="center"/>
          </w:tcPr>
          <w:p>
            <w:pPr>
              <w:spacing w:before="0" w:after="14"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center"/>
          </w:tcPr>
          <w:p>
            <w:pPr>
              <w:spacing w:before="43" w:after="14"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w:t>
            </w:r>
          </w:p>
        </w:tc>
      </w:tr>
      <w:tr>
        <w:trPr>
          <w:trHeight w:val="279"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center"/>
          </w:tcPr>
          <w:p>
            <w:pPr>
              <w:numPr>
                <w:ilvl w:val="0"/>
                <w:numId w:val="3"/>
              </w:numPr>
              <w:tabs>
                <w:tab w:val="clear" w:pos="144"/>
                <w:tab w:val="left" w:pos="144"/>
              </w:tabs>
              <w:spacing w:before="0"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center"/>
          </w:tcPr>
          <w:p>
            <w:pPr>
              <w:spacing w:before="0" w:after="29"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tc>
        <w:tc>
          <w:tcPr>
            <w:tcW w:w="331" w:type="dxa"/>
            <w:tcBorders>
              <w:top w:val="none"/>
              <w:left w:val="single" w:sz="5" w:color="000000"/>
              <w:bottom w:val="none"/>
              <w:right w:val="none"/>
            </w:tcBorders>
            <w:textDirection w:val="lrTb"/>
            <w:vAlign w:val="center"/>
          </w:tcPr>
          <w:p>
            <w:pPr>
              <w:spacing w:before="0" w:after="5"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center"/>
          </w:tcPr>
          <w:p>
            <w:pPr>
              <w:spacing w:before="43" w:after="4" w:line="222"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tc>
      </w:tr>
      <w:tr>
        <w:trPr>
          <w:trHeight w:val="542"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bottom"/>
          </w:tcPr>
          <w:p>
            <w:pPr>
              <w:numPr>
                <w:ilvl w:val="0"/>
                <w:numId w:val="3"/>
              </w:numPr>
              <w:tabs>
                <w:tab w:val="clear" w:pos="144"/>
                <w:tab w:val="left" w:pos="144"/>
              </w:tabs>
              <w:spacing w:before="278"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top"/>
          </w:tcPr>
          <w:p>
            <w:pPr>
              <w:spacing w:before="0" w:after="0"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p>
            <w:pPr>
              <w:spacing w:before="52" w:after="38"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Neighborhood and Built</w:t>
            </w:r>
          </w:p>
        </w:tc>
        <w:tc>
          <w:tcPr>
            <w:tcW w:w="331" w:type="dxa"/>
            <w:tcBorders>
              <w:top w:val="none"/>
              <w:left w:val="single" w:sz="5" w:color="000000"/>
              <w:bottom w:val="none"/>
              <w:right w:val="none"/>
            </w:tcBorders>
            <w:textDirection w:val="lrTb"/>
            <w:vAlign w:val="top"/>
          </w:tcPr>
          <w:p>
            <w:pPr>
              <w:spacing w:before="0"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p>
            <w:pPr>
              <w:spacing w:before="43" w:after="0" w:line="235"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top"/>
          </w:tcPr>
          <w:p>
            <w:pPr>
              <w:spacing w:before="0" w:after="0" w:line="268"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 Lead Screening</w:t>
              <w:br/>
            </w:r>
            <w:r>
              <w:rPr>
                <w:rFonts w:ascii="Calibri" w:hAnsi="Calibri" w:eastAsia="Calibri"/>
                <w:color w:val="000000"/>
                <w:spacing w:val="0"/>
                <w:w w:val="100"/>
                <w:sz w:val="22"/>
                <w:vertAlign w:val="baseline"/>
                <w:lang w:val="en-US"/>
              </w:rPr>
              <w:t xml:space="preserve">Access to Community Support Services</w:t>
            </w:r>
          </w:p>
        </w:tc>
      </w:tr>
      <w:tr>
        <w:trPr>
          <w:trHeight w:val="250"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602" w:type="dxa"/>
            <w:tcBorders>
              <w:top w:val="none"/>
              <w:left w:val="none"/>
              <w:bottom w:val="single" w:sz="5" w:color="000000"/>
              <w:right w:val="single" w:sz="5" w:color="000000"/>
            </w:tcBorders>
            <w:textDirection w:val="lrTb"/>
            <w:vAlign w:val="center"/>
          </w:tcPr>
          <w:p>
            <w:pPr>
              <w:spacing w:before="0" w:after="1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Environment</w:t>
            </w:r>
          </w:p>
        </w:tc>
        <w:tc>
          <w:tcPr>
            <w:tcW w:w="331"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78"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83" w:hRule="exact"/>
        </w:trPr>
        <w:tc>
          <w:tcPr>
            <w:tcW w:w="3062" w:type="dxa"/>
            <w:tcBorders>
              <w:top w:val="single" w:sz="5" w:color="000000"/>
              <w:left w:val="none"/>
              <w:bottom w:val="none"/>
              <w:right w:val="single" w:sz="5" w:color="000000"/>
            </w:tcBorders>
            <w:textDirection w:val="lrTb"/>
            <w:vAlign w:val="center"/>
          </w:tcPr>
          <w:p>
            <w:pPr>
              <w:spacing w:before="0" w:after="24"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370" w:type="dxa"/>
            <w:tcBorders>
              <w:top w:val="single" w:sz="5" w:color="000000"/>
              <w:left w:val="single" w:sz="5" w:color="000000"/>
              <w:bottom w:val="none"/>
              <w:right w:val="none"/>
            </w:tcBorders>
            <w:textDirection w:val="lrTb"/>
            <w:vAlign w:val="center"/>
          </w:tcPr>
          <w:p>
            <w:pPr>
              <w:numPr>
                <w:ilvl w:val="0"/>
                <w:numId w:val="4"/>
              </w:numPr>
              <w:tabs>
                <w:tab w:val="clear" w:pos="144"/>
                <w:tab w:val="left" w:pos="144"/>
              </w:tabs>
              <w:spacing w:before="0"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center"/>
          </w:tcPr>
          <w:p>
            <w:pPr>
              <w:spacing w:before="0" w:after="2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single" w:sz="5" w:color="000000"/>
              <w:left w:val="single" w:sz="5" w:color="000000"/>
              <w:bottom w:val="none"/>
              <w:right w:val="none"/>
            </w:tcBorders>
            <w:textDirection w:val="lrTb"/>
            <w:vAlign w:val="center"/>
          </w:tcPr>
          <w:p>
            <w:pPr>
              <w:spacing w:before="0" w:after="1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center"/>
          </w:tcPr>
          <w:p>
            <w:pPr>
              <w:spacing w:before="43" w:after="10"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Security</w:t>
            </w:r>
          </w:p>
        </w:tc>
      </w:tr>
      <w:tr>
        <w:trPr>
          <w:trHeight w:val="279"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center"/>
          </w:tcPr>
          <w:p>
            <w:pPr>
              <w:numPr>
                <w:ilvl w:val="0"/>
                <w:numId w:val="4"/>
              </w:numPr>
              <w:tabs>
                <w:tab w:val="clear" w:pos="144"/>
                <w:tab w:val="left" w:pos="144"/>
              </w:tabs>
              <w:spacing w:before="0" w:after="4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center"/>
          </w:tcPr>
          <w:p>
            <w:pPr>
              <w:spacing w:before="0" w:after="43" w:line="222"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none"/>
              <w:left w:val="single" w:sz="5" w:color="000000"/>
              <w:bottom w:val="none"/>
              <w:right w:val="none"/>
            </w:tcBorders>
            <w:textDirection w:val="lrTb"/>
            <w:vAlign w:val="center"/>
          </w:tcPr>
          <w:p>
            <w:pPr>
              <w:spacing w:before="0" w:after="2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center"/>
          </w:tcPr>
          <w:p>
            <w:pPr>
              <w:spacing w:before="38" w:after="19" w:line="222"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Depression</w:t>
            </w:r>
          </w:p>
        </w:tc>
      </w:tr>
      <w:tr>
        <w:trPr>
          <w:trHeight w:val="513"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bottom"/>
          </w:tcPr>
          <w:p>
            <w:pPr>
              <w:numPr>
                <w:ilvl w:val="0"/>
                <w:numId w:val="4"/>
              </w:numPr>
              <w:tabs>
                <w:tab w:val="clear" w:pos="144"/>
                <w:tab w:val="left" w:pos="144"/>
              </w:tabs>
              <w:spacing w:before="273" w:after="10"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top"/>
          </w:tcPr>
          <w:p>
            <w:pPr>
              <w:spacing w:before="0"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p>
            <w:pPr>
              <w:spacing w:before="43" w:after="1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tc>
        <w:tc>
          <w:tcPr>
            <w:tcW w:w="331" w:type="dxa"/>
            <w:tcBorders>
              <w:top w:val="none"/>
              <w:left w:val="single" w:sz="5" w:color="000000"/>
              <w:bottom w:val="none"/>
              <w:right w:val="none"/>
            </w:tcBorders>
            <w:textDirection w:val="lrTb"/>
            <w:vAlign w:val="top"/>
          </w:tcPr>
          <w:p>
            <w:pPr>
              <w:spacing w:before="0" w:after="24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top"/>
          </w:tcPr>
          <w:p>
            <w:pPr>
              <w:spacing w:before="43" w:after="240"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Oral Health Care</w:t>
            </w:r>
          </w:p>
        </w:tc>
      </w:tr>
      <w:tr>
        <w:trPr>
          <w:trHeight w:val="274"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602" w:type="dxa"/>
            <w:tcBorders>
              <w:top w:val="none"/>
              <w:left w:val="none"/>
              <w:bottom w:val="single" w:sz="5" w:color="000000"/>
              <w:right w:val="single" w:sz="5" w:color="000000"/>
            </w:tcBorders>
            <w:textDirection w:val="lrTb"/>
            <w:vAlign w:val="center"/>
          </w:tcPr>
          <w:p>
            <w:pPr>
              <w:spacing w:before="0" w:after="1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tc>
        <w:tc>
          <w:tcPr>
            <w:tcW w:w="331"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78"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88" w:hRule="exact"/>
        </w:trPr>
        <w:tc>
          <w:tcPr>
            <w:tcW w:w="3062" w:type="dxa"/>
            <w:tcBorders>
              <w:top w:val="single" w:sz="5" w:color="000000"/>
              <w:left w:val="none"/>
              <w:bottom w:val="none"/>
              <w:right w:val="single" w:sz="5" w:color="000000"/>
            </w:tcBorders>
            <w:textDirection w:val="lrTb"/>
            <w:vAlign w:val="center"/>
          </w:tcPr>
          <w:p>
            <w:pPr>
              <w:spacing w:before="34" w:after="1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370" w:type="dxa"/>
            <w:tcBorders>
              <w:top w:val="single" w:sz="5" w:color="000000"/>
              <w:left w:val="single" w:sz="5" w:color="000000"/>
              <w:bottom w:val="none"/>
              <w:right w:val="none"/>
            </w:tcBorders>
            <w:textDirection w:val="lrTb"/>
            <w:vAlign w:val="center"/>
          </w:tcPr>
          <w:p>
            <w:pPr>
              <w:numPr>
                <w:ilvl w:val="0"/>
                <w:numId w:val="5"/>
              </w:numPr>
              <w:tabs>
                <w:tab w:val="clear" w:pos="144"/>
                <w:tab w:val="left" w:pos="144"/>
              </w:tabs>
              <w:spacing w:before="34" w:after="1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center"/>
          </w:tcPr>
          <w:p>
            <w:pPr>
              <w:spacing w:before="34" w:after="19"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single" w:sz="5" w:color="000000"/>
              <w:left w:val="single" w:sz="5" w:color="000000"/>
              <w:bottom w:val="none"/>
              <w:right w:val="none"/>
            </w:tcBorders>
            <w:textDirection w:val="lrTb"/>
            <w:vAlign w:val="center"/>
          </w:tcPr>
          <w:p>
            <w:pPr>
              <w:spacing w:before="0" w:after="5"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center"/>
          </w:tcPr>
          <w:p>
            <w:pPr>
              <w:spacing w:before="48" w:after="5"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w:t>
            </w:r>
          </w:p>
        </w:tc>
      </w:tr>
      <w:tr>
        <w:trPr>
          <w:trHeight w:val="274"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center"/>
          </w:tcPr>
          <w:p>
            <w:pPr>
              <w:numPr>
                <w:ilvl w:val="0"/>
                <w:numId w:val="5"/>
              </w:numPr>
              <w:tabs>
                <w:tab w:val="clear" w:pos="144"/>
                <w:tab w:val="left" w:pos="144"/>
              </w:tabs>
              <w:spacing w:before="0"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center"/>
          </w:tcPr>
          <w:p>
            <w:pPr>
              <w:spacing w:before="0" w:after="2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tc>
        <w:tc>
          <w:tcPr>
            <w:tcW w:w="331" w:type="dxa"/>
            <w:tcBorders>
              <w:top w:val="none"/>
              <w:left w:val="single" w:sz="5" w:color="000000"/>
              <w:bottom w:val="none"/>
              <w:right w:val="none"/>
            </w:tcBorders>
            <w:textDirection w:val="lrTb"/>
            <w:vAlign w:val="center"/>
          </w:tcPr>
          <w:p>
            <w:pPr>
              <w:spacing w:before="0"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center"/>
          </w:tcPr>
          <w:p>
            <w:pPr>
              <w:spacing w:before="38" w:after="0"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w:t>
            </w:r>
          </w:p>
        </w:tc>
      </w:tr>
      <w:tr>
        <w:trPr>
          <w:trHeight w:val="538"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bottom"/>
          </w:tcPr>
          <w:p>
            <w:pPr>
              <w:numPr>
                <w:ilvl w:val="0"/>
                <w:numId w:val="5"/>
              </w:numPr>
              <w:tabs>
                <w:tab w:val="clear" w:pos="144"/>
                <w:tab w:val="left" w:pos="144"/>
              </w:tabs>
              <w:spacing w:before="278"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top"/>
          </w:tcPr>
          <w:p>
            <w:pPr>
              <w:spacing w:before="0" w:after="0"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p>
            <w:pPr>
              <w:spacing w:before="47" w:after="3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none"/>
              <w:left w:val="single" w:sz="5" w:color="000000"/>
              <w:bottom w:val="none"/>
              <w:right w:val="none"/>
            </w:tcBorders>
            <w:textDirection w:val="lrTb"/>
            <w:vAlign w:val="bottom"/>
          </w:tcPr>
          <w:p>
            <w:pPr>
              <w:spacing w:before="297" w:after="0" w:line="236"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top"/>
          </w:tcPr>
          <w:p>
            <w:pPr>
              <w:spacing w:before="0" w:after="0" w:line="266"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Control</w:t>
              <w:br/>
            </w:r>
            <w:r>
              <w:rPr>
                <w:rFonts w:ascii="Calibri" w:hAnsi="Calibri" w:eastAsia="Calibri"/>
                <w:color w:val="000000"/>
                <w:spacing w:val="0"/>
                <w:w w:val="100"/>
                <w:sz w:val="22"/>
                <w:vertAlign w:val="baseline"/>
                <w:lang w:val="en-US"/>
              </w:rPr>
              <w:t xml:space="preserve">Depression</w:t>
            </w:r>
          </w:p>
        </w:tc>
      </w:tr>
      <w:tr>
        <w:trPr>
          <w:trHeight w:val="254"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602" w:type="dxa"/>
            <w:tcBorders>
              <w:top w:val="none"/>
              <w:left w:val="none"/>
              <w:bottom w:val="single" w:sz="5" w:color="000000"/>
              <w:right w:val="single" w:sz="5" w:color="000000"/>
            </w:tcBorders>
            <w:textDirection w:val="lrTb"/>
            <w:vAlign w:val="center"/>
          </w:tcPr>
          <w:p>
            <w:pPr>
              <w:spacing w:before="0" w:after="9"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tc>
        <w:tc>
          <w:tcPr>
            <w:tcW w:w="331"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78"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831" w:hRule="exact"/>
        </w:trPr>
        <w:tc>
          <w:tcPr>
            <w:tcW w:w="3062" w:type="dxa"/>
            <w:tcBorders>
              <w:top w:val="single" w:sz="5" w:color="000000"/>
              <w:left w:val="none"/>
              <w:bottom w:val="none"/>
              <w:right w:val="single" w:sz="5" w:color="000000"/>
            </w:tcBorders>
            <w:textDirection w:val="lrTb"/>
            <w:vAlign w:val="top"/>
          </w:tcPr>
          <w:p>
            <w:pPr>
              <w:spacing w:before="34" w:after="576"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370" w:type="dxa"/>
            <w:tcBorders>
              <w:top w:val="single" w:sz="5" w:color="000000"/>
              <w:left w:val="single" w:sz="5" w:color="000000"/>
              <w:bottom w:val="none"/>
              <w:right w:val="none"/>
            </w:tcBorders>
            <w:textDirection w:val="lrTb"/>
            <w:vAlign w:val="top"/>
          </w:tcPr>
          <w:p>
            <w:pPr>
              <w:numPr>
                <w:ilvl w:val="0"/>
                <w:numId w:val="6"/>
              </w:numPr>
              <w:tabs>
                <w:tab w:val="clear" w:pos="144"/>
                <w:tab w:val="left" w:pos="144"/>
              </w:tabs>
              <w:spacing w:before="34" w:after="0"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p>
            <w:pPr>
              <w:numPr>
                <w:ilvl w:val="0"/>
                <w:numId w:val="6"/>
              </w:numPr>
              <w:tabs>
                <w:tab w:val="clear" w:pos="144"/>
                <w:tab w:val="left" w:pos="144"/>
              </w:tabs>
              <w:spacing w:before="316" w:after="3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top"/>
          </w:tcPr>
          <w:p>
            <w:pPr>
              <w:spacing w:before="34"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p>
            <w:pPr>
              <w:spacing w:before="47" w:after="0"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p>
            <w:pPr>
              <w:spacing w:before="47" w:after="38"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single" w:sz="5" w:color="000000"/>
              <w:left w:val="single" w:sz="5" w:color="000000"/>
              <w:bottom w:val="none"/>
              <w:right w:val="none"/>
            </w:tcBorders>
            <w:textDirection w:val="lrTb"/>
            <w:vAlign w:val="top"/>
          </w:tcPr>
          <w:p>
            <w:pPr>
              <w:spacing w:before="0"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p>
            <w:pPr>
              <w:spacing w:before="312" w:after="15"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top"/>
          </w:tcPr>
          <w:p>
            <w:pPr>
              <w:spacing w:before="43"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w:t>
            </w:r>
          </w:p>
          <w:p>
            <w:pPr>
              <w:spacing w:before="48"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Control</w:t>
            </w:r>
          </w:p>
          <w:p>
            <w:pPr>
              <w:spacing w:before="62" w:after="14"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Primary Prevention, Substance Misuse and Overdose</w:t>
            </w:r>
          </w:p>
        </w:tc>
      </w:tr>
      <w:tr>
        <w:trPr>
          <w:trHeight w:val="557"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bottom"/>
          </w:tcPr>
          <w:p>
            <w:pPr>
              <w:numPr>
                <w:ilvl w:val="0"/>
                <w:numId w:val="6"/>
              </w:numPr>
              <w:tabs>
                <w:tab w:val="clear" w:pos="144"/>
                <w:tab w:val="left" w:pos="144"/>
              </w:tabs>
              <w:spacing w:before="278"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single" w:sz="5" w:color="000000"/>
              <w:right w:val="single" w:sz="5" w:color="000000"/>
            </w:tcBorders>
            <w:textDirection w:val="lrTb"/>
            <w:vAlign w:val="top"/>
          </w:tcPr>
          <w:p>
            <w:pPr>
              <w:spacing w:before="0"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p>
            <w:pPr>
              <w:spacing w:before="48" w:after="48"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none"/>
              <w:left w:val="single" w:sz="5" w:color="000000"/>
              <w:bottom w:val="single" w:sz="5" w:color="000000"/>
              <w:right w:val="none"/>
            </w:tcBorders>
            <w:textDirection w:val="lrTb"/>
            <w:vAlign w:val="bottom"/>
          </w:tcPr>
          <w:p>
            <w:pPr>
              <w:spacing w:before="292" w:after="15"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0" w:after="14" w:line="266"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Prevention</w:t>
              <w:br/>
            </w:r>
            <w:r>
              <w:rPr>
                <w:rFonts w:ascii="Calibri" w:hAnsi="Calibri" w:eastAsia="Calibri"/>
                <w:color w:val="000000"/>
                <w:spacing w:val="0"/>
                <w:w w:val="100"/>
                <w:sz w:val="22"/>
                <w:vertAlign w:val="baseline"/>
                <w:lang w:val="en-US"/>
              </w:rPr>
              <w:t xml:space="preserve">Poverty</w:t>
            </w:r>
          </w:p>
        </w:tc>
      </w:tr>
      <w:tr>
        <w:trPr>
          <w:trHeight w:val="278"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835" w:hRule="exact"/>
        </w:trPr>
        <w:tc>
          <w:tcPr>
            <w:tcW w:w="3062" w:type="dxa"/>
            <w:tcBorders>
              <w:top w:val="single" w:sz="5" w:color="000000"/>
              <w:left w:val="none"/>
              <w:bottom w:val="none"/>
              <w:right w:val="single" w:sz="5" w:color="000000"/>
            </w:tcBorders>
            <w:textDirection w:val="lrTb"/>
            <w:vAlign w:val="top"/>
          </w:tcPr>
          <w:p>
            <w:pPr>
              <w:spacing w:before="38" w:after="562"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370" w:type="dxa"/>
            <w:tcBorders>
              <w:top w:val="single" w:sz="5" w:color="000000"/>
              <w:left w:val="single" w:sz="5" w:color="000000"/>
              <w:bottom w:val="none"/>
              <w:right w:val="none"/>
            </w:tcBorders>
            <w:textDirection w:val="lrTb"/>
            <w:vAlign w:val="top"/>
          </w:tcPr>
          <w:p>
            <w:pPr>
              <w:numPr>
                <w:ilvl w:val="0"/>
                <w:numId w:val="7"/>
              </w:numPr>
              <w:tabs>
                <w:tab w:val="clear" w:pos="144"/>
                <w:tab w:val="left" w:pos="144"/>
              </w:tabs>
              <w:spacing w:before="38" w:after="0"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p>
            <w:pPr>
              <w:numPr>
                <w:ilvl w:val="0"/>
                <w:numId w:val="7"/>
              </w:numPr>
              <w:tabs>
                <w:tab w:val="clear" w:pos="144"/>
                <w:tab w:val="left" w:pos="144"/>
              </w:tabs>
              <w:spacing w:before="312"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top"/>
          </w:tcPr>
          <w:p>
            <w:pPr>
              <w:spacing w:before="38"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p>
            <w:pPr>
              <w:spacing w:before="43"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p>
            <w:pPr>
              <w:spacing w:before="48" w:after="29"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single" w:sz="5" w:color="000000"/>
              <w:left w:val="single" w:sz="5" w:color="000000"/>
              <w:bottom w:val="none"/>
              <w:right w:val="none"/>
            </w:tcBorders>
            <w:textDirection w:val="lrTb"/>
            <w:vAlign w:val="top"/>
          </w:tcPr>
          <w:p>
            <w:pPr>
              <w:spacing w:before="0"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p>
            <w:pPr>
              <w:spacing w:before="43" w:after="274"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top"/>
          </w:tcPr>
          <w:p>
            <w:pPr>
              <w:spacing w:before="43"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Children/Preventive Services</w:t>
            </w:r>
          </w:p>
          <w:p>
            <w:pPr>
              <w:spacing w:before="62"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Primary Prevention, Substance Misuse and Overdose</w:t>
            </w:r>
          </w:p>
          <w:p>
            <w:pPr>
              <w:spacing w:before="48" w:after="5"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Prevention</w:t>
            </w:r>
          </w:p>
        </w:tc>
      </w:tr>
      <w:tr>
        <w:trPr>
          <w:trHeight w:val="519"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bottom"/>
          </w:tcPr>
          <w:p>
            <w:pPr>
              <w:numPr>
                <w:ilvl w:val="0"/>
                <w:numId w:val="7"/>
              </w:numPr>
              <w:tabs>
                <w:tab w:val="clear" w:pos="144"/>
                <w:tab w:val="left" w:pos="144"/>
              </w:tabs>
              <w:spacing w:before="273"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single" w:sz="5" w:color="000000"/>
              <w:right w:val="single" w:sz="5" w:color="000000"/>
            </w:tcBorders>
            <w:textDirection w:val="lrTb"/>
            <w:vAlign w:val="top"/>
          </w:tcPr>
          <w:p>
            <w:pPr>
              <w:spacing w:before="0"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p>
            <w:pPr>
              <w:spacing w:before="47" w:after="23"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none"/>
              <w:left w:val="single" w:sz="5" w:color="000000"/>
              <w:bottom w:val="single" w:sz="5" w:color="000000"/>
              <w:right w:val="none"/>
            </w:tcBorders>
            <w:textDirection w:val="lrTb"/>
            <w:vAlign w:val="top"/>
          </w:tcPr>
          <w:p>
            <w:pPr>
              <w:spacing w:before="0" w:after="254"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43" w:after="254"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Security</w:t>
            </w:r>
          </w:p>
        </w:tc>
      </w:tr>
      <w:tr>
        <w:trPr>
          <w:trHeight w:val="278"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288" w:hRule="exact"/>
        </w:trPr>
        <w:tc>
          <w:tcPr>
            <w:tcW w:w="3062" w:type="dxa"/>
            <w:tcBorders>
              <w:top w:val="single" w:sz="5" w:color="000000"/>
              <w:left w:val="none"/>
              <w:bottom w:val="none"/>
              <w:right w:val="single" w:sz="5" w:color="000000"/>
            </w:tcBorders>
            <w:textDirection w:val="lrTb"/>
            <w:vAlign w:val="center"/>
          </w:tcPr>
          <w:p>
            <w:pPr>
              <w:spacing w:before="33" w:after="2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370" w:type="dxa"/>
            <w:tcBorders>
              <w:top w:val="single" w:sz="5" w:color="000000"/>
              <w:left w:val="single" w:sz="5" w:color="000000"/>
              <w:bottom w:val="none"/>
              <w:right w:val="none"/>
            </w:tcBorders>
            <w:textDirection w:val="lrTb"/>
            <w:vAlign w:val="center"/>
          </w:tcPr>
          <w:p>
            <w:pPr>
              <w:numPr>
                <w:ilvl w:val="0"/>
                <w:numId w:val="8"/>
              </w:numPr>
              <w:tabs>
                <w:tab w:val="clear" w:pos="144"/>
                <w:tab w:val="left" w:pos="144"/>
              </w:tabs>
              <w:spacing w:before="33"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none"/>
              <w:right w:val="single" w:sz="5" w:color="000000"/>
            </w:tcBorders>
            <w:textDirection w:val="lrTb"/>
            <w:vAlign w:val="center"/>
          </w:tcPr>
          <w:p>
            <w:pPr>
              <w:spacing w:before="33" w:after="28" w:line="222"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single" w:sz="5" w:color="000000"/>
              <w:left w:val="single" w:sz="5" w:color="000000"/>
              <w:bottom w:val="none"/>
              <w:right w:val="none"/>
            </w:tcBorders>
            <w:textDirection w:val="lrTb"/>
            <w:vAlign w:val="center"/>
          </w:tcPr>
          <w:p>
            <w:pPr>
              <w:spacing w:before="0" w:after="14"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none"/>
              <w:right w:val="single" w:sz="5" w:color="000000"/>
            </w:tcBorders>
            <w:textDirection w:val="lrTb"/>
            <w:vAlign w:val="center"/>
          </w:tcPr>
          <w:p>
            <w:pPr>
              <w:spacing w:before="48" w:after="14"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tc>
      </w:tr>
      <w:tr>
        <w:trPr>
          <w:trHeight w:val="274" w:hRule="exact"/>
        </w:trPr>
        <w:tc>
          <w:tcPr>
            <w:tcW w:w="3062" w:type="dxa"/>
            <w:tcBorders>
              <w:top w:val="none"/>
              <w:left w:val="none"/>
              <w:bottom w:val="none"/>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none"/>
              <w:right w:val="none"/>
            </w:tcBorders>
            <w:textDirection w:val="lrTb"/>
            <w:vAlign w:val="center"/>
          </w:tcPr>
          <w:p>
            <w:pPr>
              <w:numPr>
                <w:ilvl w:val="0"/>
                <w:numId w:val="8"/>
              </w:numPr>
              <w:tabs>
                <w:tab w:val="clear" w:pos="144"/>
                <w:tab w:val="left" w:pos="144"/>
              </w:tabs>
              <w:spacing w:before="0"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none"/>
              <w:left w:val="none"/>
              <w:bottom w:val="none"/>
              <w:right w:val="single" w:sz="5" w:color="000000"/>
            </w:tcBorders>
            <w:textDirection w:val="lrTb"/>
            <w:vAlign w:val="center"/>
          </w:tcPr>
          <w:p>
            <w:pPr>
              <w:spacing w:before="0" w:after="3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none"/>
              <w:left w:val="single" w:sz="5" w:color="000000"/>
              <w:bottom w:val="none"/>
              <w:right w:val="none"/>
            </w:tcBorders>
            <w:textDirection w:val="lrTb"/>
            <w:vAlign w:val="center"/>
          </w:tcPr>
          <w:p>
            <w:pPr>
              <w:spacing w:before="0" w:after="1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none"/>
              <w:right w:val="single" w:sz="5" w:color="000000"/>
            </w:tcBorders>
            <w:textDirection w:val="lrTb"/>
            <w:vAlign w:val="center"/>
          </w:tcPr>
          <w:p>
            <w:pPr>
              <w:spacing w:before="38" w:after="10"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w:t>
            </w:r>
          </w:p>
        </w:tc>
      </w:tr>
      <w:tr>
        <w:trPr>
          <w:trHeight w:val="561" w:hRule="exact"/>
        </w:trPr>
        <w:tc>
          <w:tcPr>
            <w:tcW w:w="3062" w:type="dxa"/>
            <w:tcBorders>
              <w:top w:val="none"/>
              <w:left w:val="none"/>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5" w:color="000000"/>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602" w:type="dxa"/>
            <w:tcBorders>
              <w:top w:val="none"/>
              <w:left w:val="none"/>
              <w:bottom w:val="single" w:sz="5" w:color="000000"/>
              <w:right w:val="single" w:sz="5" w:color="000000"/>
            </w:tcBorders>
            <w:textDirection w:val="lrTb"/>
            <w:vAlign w:val="top"/>
          </w:tcPr>
          <w:p>
            <w:pPr>
              <w:spacing w:before="0" w:after="326"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tc>
        <w:tc>
          <w:tcPr>
            <w:tcW w:w="331" w:type="dxa"/>
            <w:tcBorders>
              <w:top w:val="none"/>
              <w:left w:val="single" w:sz="5" w:color="000000"/>
              <w:bottom w:val="single" w:sz="5" w:color="000000"/>
              <w:right w:val="none"/>
            </w:tcBorders>
            <w:textDirection w:val="lrTb"/>
            <w:vAlign w:val="top"/>
          </w:tcPr>
          <w:p>
            <w:pPr>
              <w:spacing w:before="0" w:after="293"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none"/>
              <w:left w:val="none"/>
              <w:bottom w:val="single" w:sz="5" w:color="000000"/>
              <w:right w:val="single" w:sz="5" w:color="000000"/>
            </w:tcBorders>
            <w:textDirection w:val="lrTb"/>
            <w:vAlign w:val="top"/>
          </w:tcPr>
          <w:p>
            <w:pPr>
              <w:spacing w:before="0" w:after="19" w:line="268" w:lineRule="exact"/>
              <w:ind w:right="432"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Primary Prevention, Substance Misuse, and Overdose Prevention</w:t>
            </w:r>
          </w:p>
        </w:tc>
      </w:tr>
      <w:tr>
        <w:trPr>
          <w:trHeight w:val="279" w:hRule="exact"/>
        </w:trPr>
        <w:tc>
          <w:tcPr>
            <w:tcW w:w="3432"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3" w:type="dxa"/>
            <w:gridSpan w:val="2"/>
            <w:tcBorders>
              <w:top w:val="single" w:sz="5" w:color="000000"/>
              <w:left w:val="none"/>
              <w:bottom w:val="single" w:sz="5" w:color="000000"/>
              <w:right w:val="none"/>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14" w:type="dxa"/>
            <w:tcBorders>
              <w:top w:val="single" w:sz="5" w:color="000000"/>
              <w:left w:val="none"/>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854" w:hRule="exact"/>
        </w:trPr>
        <w:tc>
          <w:tcPr>
            <w:tcW w:w="3062" w:type="dxa"/>
            <w:tcBorders>
              <w:top w:val="single" w:sz="5" w:color="000000"/>
              <w:left w:val="none"/>
              <w:bottom w:val="single" w:sz="5" w:color="000000"/>
              <w:right w:val="single" w:sz="5" w:color="000000"/>
            </w:tcBorders>
            <w:textDirection w:val="lrTb"/>
            <w:vAlign w:val="top"/>
          </w:tcPr>
          <w:p>
            <w:pPr>
              <w:spacing w:before="33" w:after="585"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370" w:type="dxa"/>
            <w:tcBorders>
              <w:top w:val="single" w:sz="5" w:color="000000"/>
              <w:left w:val="single" w:sz="5" w:color="000000"/>
              <w:bottom w:val="single" w:sz="5" w:color="000000"/>
              <w:right w:val="none"/>
            </w:tcBorders>
            <w:textDirection w:val="lrTb"/>
            <w:vAlign w:val="top"/>
          </w:tcPr>
          <w:p>
            <w:pPr>
              <w:numPr>
                <w:ilvl w:val="0"/>
                <w:numId w:val="9"/>
              </w:numPr>
              <w:tabs>
                <w:tab w:val="clear" w:pos="144"/>
                <w:tab w:val="left" w:pos="144"/>
              </w:tabs>
              <w:spacing w:before="33" w:after="0"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p>
            <w:pPr>
              <w:numPr>
                <w:ilvl w:val="0"/>
                <w:numId w:val="9"/>
              </w:numPr>
              <w:tabs>
                <w:tab w:val="clear" w:pos="144"/>
                <w:tab w:val="left" w:pos="144"/>
              </w:tabs>
              <w:spacing w:before="316"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2" w:type="dxa"/>
            <w:tcBorders>
              <w:top w:val="single" w:sz="5" w:color="000000"/>
              <w:left w:val="none"/>
              <w:bottom w:val="single" w:sz="5" w:color="000000"/>
              <w:right w:val="single" w:sz="5" w:color="000000"/>
            </w:tcBorders>
            <w:textDirection w:val="lrTb"/>
            <w:vAlign w:val="top"/>
          </w:tcPr>
          <w:p>
            <w:pPr>
              <w:spacing w:before="33"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p>
            <w:pPr>
              <w:spacing w:before="48"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p>
            <w:pPr>
              <w:spacing w:before="47" w:after="47"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single" w:sz="5" w:color="000000"/>
              <w:left w:val="single" w:sz="5" w:color="000000"/>
              <w:bottom w:val="single" w:sz="5" w:color="000000"/>
              <w:right w:val="none"/>
            </w:tcBorders>
            <w:textDirection w:val="lrTb"/>
            <w:vAlign w:val="top"/>
          </w:tcPr>
          <w:p>
            <w:pPr>
              <w:spacing w:before="0"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p>
            <w:pPr>
              <w:spacing w:before="39" w:after="0"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p>
            <w:pPr>
              <w:spacing w:before="38" w:after="19"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314" w:type="dxa"/>
            <w:tcBorders>
              <w:top w:val="single" w:sz="5" w:color="000000"/>
              <w:left w:val="none"/>
              <w:bottom w:val="single" w:sz="5" w:color="000000"/>
              <w:right w:val="single" w:sz="5" w:color="000000"/>
            </w:tcBorders>
            <w:textDirection w:val="lrTb"/>
            <w:vAlign w:val="top"/>
          </w:tcPr>
          <w:p>
            <w:pPr>
              <w:spacing w:before="42" w:after="0"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and Stress</w:t>
            </w:r>
          </w:p>
          <w:p>
            <w:pPr>
              <w:spacing w:before="57"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Security</w:t>
            </w:r>
          </w:p>
          <w:p>
            <w:pPr>
              <w:spacing w:before="57" w:after="18"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tc>
      </w:tr>
    </w:tbl>
    <w:p>
      <w:pPr>
        <w:spacing w:before="0" w:after="90" w:line="20" w:lineRule="exact"/>
      </w:pP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10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225"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shapetype id="_x0000_t19" coordsize="21600,21600" o:spt="202" path="m,l,21600r21600,l21600,xe">
            <v:stroke joinstyle="miter"/>
            <v:path gradientshapeok="t" o:connecttype="rect"/>
          </v:shapetype>
          <v:shape id="_x0000_s18" type="#_x0000_t19" fillcolor="#C1E3F5" stroked="f" style="position:absolute;width:583.45pt;height:13.4pt;z-index:-1;margin-left:18pt;margin-top:36.5pt;mso-wrap-distance-top:8.7pt;mso-wrap-distance-left:18pt;mso-wrap-distance-right:10.55pt">
            <w10:wrap type="square"/>
            <v:textbox inset="0pt, 0pt, 0pt, 0pt">
              <w:txbxContent/>
            </v:textbox>
          </v:shape>
        </w:pict>
      </w:r>
      <w:r>
        <w:pict>
          <v:line strokeweight="1.7pt" strokecolor="#145F82" from="0pt,62.9pt" to="612.05pt,62.9pt" style="position:absolute;mso-position-horizontal-relative:page;mso-position-vertical-relative:page;">
            <v:stroke dashstyle="solid"/>
          </v:line>
        </w:pict>
      </w:r>
      <w:r>
        <w:pict>
          <v:line strokeweight="0.5pt" strokecolor="#000000" from="18pt,36.5pt" to="601.45pt,36.5pt" style="position:absolute;mso-position-horizontal-relative:text;mso-position-vertical-relative:text;">
            <v:stroke dashstyle="solid"/>
          </v:line>
        </w:pict>
      </w:r>
      <w:r>
        <w:rPr>
          <w:rFonts w:ascii="Calibri" w:hAnsi="Calibri" w:eastAsia="Calibri"/>
          <w:b w:val="true"/>
          <w:color w:val="145F82"/>
          <w:spacing w:val="0"/>
          <w:w w:val="100"/>
          <w:sz w:val="28"/>
          <w:vertAlign w:val="baseline"/>
          <w:lang w:val="en-US"/>
        </w:rPr>
        <w:t xml:space="preserve">Comprehensive Regional Community Health Assessment</w:t>
      </w:r>
    </w:p>
    <w:tbl>
      <w:tblPr>
        <w:jc w:val="left"/>
        <w:tblLayout w:type="fixed"/>
        <w:tblCellMar>
          <w:left w:w="0" w:type="dxa"/>
          <w:right w:w="0" w:type="dxa"/>
        </w:tblCellMar>
      </w:tblPr>
      <w:tblGrid>
        <w:gridCol w:w="3418"/>
        <w:gridCol w:w="370"/>
        <w:gridCol w:w="2601"/>
        <w:gridCol w:w="331"/>
        <w:gridCol w:w="5520"/>
      </w:tblGrid>
      <w:tr>
        <w:trPr>
          <w:trHeight w:val="284" w:hRule="exact"/>
        </w:trPr>
        <w:tc>
          <w:tcPr>
            <w:tcW w:w="3418" w:type="dxa"/>
            <w:tcBorders>
              <w:top w:val="none"/>
              <w:left w:val="none"/>
              <w:bottom w:val="none"/>
              <w:right w:val="single" w:sz="4" w:color="000000"/>
            </w:tcBorders>
            <w:textDirection w:val="lrTb"/>
            <w:vAlign w:val="center"/>
          </w:tcPr>
          <w:p>
            <w:pPr>
              <w:spacing w:before="38" w:after="24" w:line="221" w:lineRule="exact"/>
              <w:ind w:right="249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370" w:type="dxa"/>
            <w:tcBorders>
              <w:top w:val="none"/>
              <w:left w:val="single" w:sz="4" w:color="000000"/>
              <w:bottom w:val="none"/>
              <w:right w:val="none"/>
            </w:tcBorders>
            <w:textDirection w:val="lrTb"/>
            <w:vAlign w:val="center"/>
          </w:tcPr>
          <w:p>
            <w:pPr>
              <w:numPr>
                <w:ilvl w:val="0"/>
                <w:numId w:val="10"/>
              </w:numPr>
              <w:tabs>
                <w:tab w:val="clear" w:pos="144"/>
                <w:tab w:val="left" w:pos="144"/>
              </w:tabs>
              <w:spacing w:before="38"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1" w:type="dxa"/>
            <w:tcBorders>
              <w:top w:val="none"/>
              <w:left w:val="none"/>
              <w:bottom w:val="none"/>
              <w:right w:val="single" w:sz="4" w:color="000000"/>
            </w:tcBorders>
            <w:textDirection w:val="lrTb"/>
            <w:vAlign w:val="center"/>
          </w:tcPr>
          <w:p>
            <w:pPr>
              <w:spacing w:before="38" w:after="23"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w:t>
            </w:r>
          </w:p>
        </w:tc>
        <w:tc>
          <w:tcPr>
            <w:tcW w:w="331" w:type="dxa"/>
            <w:tcBorders>
              <w:top w:val="none"/>
              <w:left w:val="single" w:sz="4" w:color="000000"/>
              <w:bottom w:val="none"/>
              <w:right w:val="none"/>
            </w:tcBorders>
            <w:textDirection w:val="lrTb"/>
            <w:vAlign w:val="center"/>
          </w:tcPr>
          <w:p>
            <w:pPr>
              <w:spacing w:before="0" w:after="14"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520" w:type="dxa"/>
            <w:tcBorders>
              <w:top w:val="none"/>
              <w:left w:val="none"/>
              <w:bottom w:val="none"/>
              <w:right w:val="none"/>
            </w:tcBorders>
            <w:textDirection w:val="lrTb"/>
            <w:vAlign w:val="center"/>
          </w:tcPr>
          <w:p>
            <w:pPr>
              <w:spacing w:before="48" w:after="14" w:line="22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tc>
      </w:tr>
      <w:tr>
        <w:trPr>
          <w:trHeight w:val="273" w:hRule="exact"/>
        </w:trPr>
        <w:tc>
          <w:tcPr>
            <w:tcW w:w="3418" w:type="dxa"/>
            <w:tcBorders>
              <w:top w:val="none"/>
              <w:left w:val="none"/>
              <w:bottom w:val="none"/>
              <w:right w:val="single" w:sz="4"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4" w:color="000000"/>
              <w:bottom w:val="none"/>
              <w:right w:val="none"/>
            </w:tcBorders>
            <w:textDirection w:val="lrTb"/>
            <w:vAlign w:val="center"/>
          </w:tcPr>
          <w:p>
            <w:pPr>
              <w:numPr>
                <w:ilvl w:val="0"/>
                <w:numId w:val="10"/>
              </w:numPr>
              <w:tabs>
                <w:tab w:val="clear" w:pos="144"/>
                <w:tab w:val="left" w:pos="144"/>
              </w:tabs>
              <w:spacing w:before="0" w:after="1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1" w:type="dxa"/>
            <w:tcBorders>
              <w:top w:val="none"/>
              <w:left w:val="none"/>
              <w:bottom w:val="none"/>
              <w:right w:val="single" w:sz="4" w:color="000000"/>
            </w:tcBorders>
            <w:textDirection w:val="lrTb"/>
            <w:vAlign w:val="center"/>
          </w:tcPr>
          <w:p>
            <w:pPr>
              <w:spacing w:before="0" w:after="14"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w:t>
            </w:r>
          </w:p>
        </w:tc>
        <w:tc>
          <w:tcPr>
            <w:tcW w:w="331" w:type="dxa"/>
            <w:tcBorders>
              <w:top w:val="none"/>
              <w:left w:val="single" w:sz="4" w:color="000000"/>
              <w:bottom w:val="none"/>
              <w:right w:val="none"/>
            </w:tcBorders>
            <w:textDirection w:val="lrTb"/>
            <w:vAlign w:val="center"/>
          </w:tcPr>
          <w:p>
            <w:pPr>
              <w:spacing w:before="0" w:after="0" w:line="23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520" w:type="dxa"/>
            <w:tcBorders>
              <w:top w:val="none"/>
              <w:left w:val="none"/>
              <w:bottom w:val="none"/>
              <w:right w:val="none"/>
            </w:tcBorders>
            <w:textDirection w:val="lrTb"/>
            <w:vAlign w:val="center"/>
          </w:tcPr>
          <w:p>
            <w:pPr>
              <w:spacing w:before="47" w:after="0" w:line="211" w:lineRule="exact"/>
              <w:ind w:right="0" w:left="13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w:t>
            </w:r>
          </w:p>
        </w:tc>
      </w:tr>
      <w:tr>
        <w:trPr>
          <w:trHeight w:val="548" w:hRule="exact"/>
        </w:trPr>
        <w:tc>
          <w:tcPr>
            <w:tcW w:w="3418" w:type="dxa"/>
            <w:tcBorders>
              <w:top w:val="none"/>
              <w:left w:val="none"/>
              <w:bottom w:val="none"/>
              <w:right w:val="single" w:sz="4"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4" w:color="000000"/>
              <w:bottom w:val="none"/>
              <w:right w:val="none"/>
            </w:tcBorders>
            <w:textDirection w:val="lrTb"/>
            <w:vAlign w:val="bottom"/>
          </w:tcPr>
          <w:p>
            <w:pPr>
              <w:numPr>
                <w:ilvl w:val="0"/>
                <w:numId w:val="10"/>
              </w:numPr>
              <w:tabs>
                <w:tab w:val="clear" w:pos="144"/>
                <w:tab w:val="left" w:pos="144"/>
              </w:tabs>
              <w:spacing w:before="288"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w:t>
            </w:r>
          </w:p>
        </w:tc>
        <w:tc>
          <w:tcPr>
            <w:tcW w:w="2601" w:type="dxa"/>
            <w:tcBorders>
              <w:top w:val="none"/>
              <w:left w:val="none"/>
              <w:bottom w:val="none"/>
              <w:right w:val="single" w:sz="4" w:color="000000"/>
            </w:tcBorders>
            <w:textDirection w:val="lrTb"/>
            <w:vAlign w:val="top"/>
          </w:tcPr>
          <w:p>
            <w:pPr>
              <w:spacing w:before="0"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Quality</w:t>
            </w:r>
          </w:p>
          <w:p>
            <w:pPr>
              <w:spacing w:before="53" w:after="38"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Social and Community</w:t>
            </w:r>
          </w:p>
        </w:tc>
        <w:tc>
          <w:tcPr>
            <w:tcW w:w="331" w:type="dxa"/>
            <w:tcBorders>
              <w:top w:val="none"/>
              <w:left w:val="single" w:sz="4" w:color="000000"/>
              <w:bottom w:val="none"/>
              <w:right w:val="none"/>
            </w:tcBorders>
            <w:textDirection w:val="lrTb"/>
            <w:vAlign w:val="bottom"/>
          </w:tcPr>
          <w:p>
            <w:pPr>
              <w:spacing w:before="302" w:after="5" w:line="240" w:lineRule="exact"/>
              <w:ind w:right="0" w:left="0" w:firstLine="0"/>
              <w:jc w:val="center"/>
              <w:textAlignment w:val="baseline"/>
              <w:rPr>
                <w:rFonts w:ascii="Symbol" w:hAnsi="Symbol" w:eastAsia="Symbol"/>
                <w:color w:val="000000"/>
                <w:spacing w:val="0"/>
                <w:w w:val="100"/>
                <w:sz w:val="15"/>
                <w:vertAlign w:val="baseline"/>
                <w:lang w:val="en-US"/>
              </w:rPr>
            </w:pPr>
            <w:r>
              <w:rPr>
                <w:rFonts w:ascii="Symbol" w:hAnsi="Symbol" w:eastAsia="Symbol"/>
                <w:color w:val="000000"/>
                <w:spacing w:val="0"/>
                <w:w w:val="100"/>
                <w:sz w:val="15"/>
                <w:vertAlign w:val="baseline"/>
                <w:lang w:val="en-US"/>
              </w:rPr>
              <w:t xml:space="preserve">·</w:t>
            </w:r>
            <w:r>
              <w:rPr>
                <w:rFonts w:ascii="Calibri" w:hAnsi="Calibri" w:eastAsia="Calibri"/>
                <w:color w:val="000000"/>
                <w:spacing w:val="0"/>
                <w:w w:val="100"/>
                <w:sz w:val="22"/>
                <w:vertAlign w:val="baseline"/>
                <w:lang w:val="en-US"/>
              </w:rPr>
              <w:t xml:space="preserve">
</w:t>
            </w:r>
          </w:p>
        </w:tc>
        <w:tc>
          <w:tcPr>
            <w:tcW w:w="5520" w:type="dxa"/>
            <w:tcBorders>
              <w:top w:val="none"/>
              <w:left w:val="none"/>
              <w:bottom w:val="none"/>
              <w:right w:val="none"/>
            </w:tcBorders>
            <w:textDirection w:val="lrTb"/>
            <w:vAlign w:val="top"/>
          </w:tcPr>
          <w:p>
            <w:pPr>
              <w:spacing w:before="43" w:after="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Control</w:t>
            </w:r>
          </w:p>
          <w:p>
            <w:pPr>
              <w:spacing w:before="57" w:after="4"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and Stress</w:t>
            </w:r>
          </w:p>
        </w:tc>
      </w:tr>
      <w:tr>
        <w:trPr>
          <w:trHeight w:val="227" w:hRule="exact"/>
        </w:trPr>
        <w:tc>
          <w:tcPr>
            <w:tcW w:w="3418" w:type="dxa"/>
            <w:tcBorders>
              <w:top w:val="none"/>
              <w:left w:val="none"/>
              <w:bottom w:val="none"/>
              <w:right w:val="single" w:sz="4"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70" w:type="dxa"/>
            <w:tcBorders>
              <w:top w:val="none"/>
              <w:left w:val="single" w:sz="4" w:color="000000"/>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601" w:type="dxa"/>
            <w:tcBorders>
              <w:top w:val="none"/>
              <w:left w:val="none"/>
              <w:bottom w:val="none"/>
              <w:right w:val="single" w:sz="4" w:color="000000"/>
            </w:tcBorders>
            <w:textDirection w:val="lrTb"/>
            <w:vAlign w:val="center"/>
          </w:tcPr>
          <w:p>
            <w:pPr>
              <w:spacing w:before="0" w:after="0" w:line="207"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Context</w:t>
            </w:r>
          </w:p>
        </w:tc>
        <w:tc>
          <w:tcPr>
            <w:tcW w:w="331" w:type="dxa"/>
            <w:tcBorders>
              <w:top w:val="none"/>
              <w:left w:val="single" w:sz="4" w:color="000000"/>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520" w:type="dxa"/>
            <w:tcBorders>
              <w:top w:val="none"/>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bl>
    <w:p>
      <w:pPr>
        <w:spacing w:before="0" w:after="448" w:line="20" w:lineRule="exact"/>
      </w:pPr>
    </w:p>
    <w:p>
      <w:pPr>
        <w:spacing w:before="26" w:after="0" w:line="226" w:lineRule="exact"/>
        <w:ind w:right="0" w:left="1440" w:firstLine="0"/>
        <w:jc w:val="left"/>
        <w:textAlignment w:val="baseline"/>
        <w:rPr>
          <w:rFonts w:ascii="Calibri" w:hAnsi="Calibri" w:eastAsia="Calibri"/>
          <w:b w:val="true"/>
          <w:color w:val="000000"/>
          <w:spacing w:val="0"/>
          <w:w w:val="100"/>
          <w:sz w:val="22"/>
          <w:vertAlign w:val="baseline"/>
          <w:lang w:val="en-US"/>
        </w:rPr>
      </w:pPr>
      <w:r>
        <w:pict>
          <v:shapetype id="_x0000_t20" coordsize="21600,21600" o:spt="202" path="m,l,21600r21600,l21600,xe">
            <v:stroke joinstyle="miter"/>
            <v:path gradientshapeok="t" o:connecttype="rect"/>
          </v:shapetype>
          <v:shape id="_x0000_s19" type="#_x0000_t20" filled="f" stroked="f" style="position:absolute;width:612pt;height:45.75pt;z-index:-1;margin-left:0pt;margin-top:175.9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1" coordsize="21600,21600" o:spt="202" path="m,l,21600r21600,l21600,xe">
            <v:stroke joinstyle="miter"/>
            <v:path gradientshapeok="t" o:connecttype="rect"/>
          </v:shapetype>
          <v:shape id="_x0000_s20" type="#_x0000_t21" filled="f" stroked="f" style="position:absolute;width:611.5pt;height:34.6pt;z-index:-1;margin-left:0pt;margin-top:175.9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9420"/>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766050" cy="439420"/>
                                </a:xfrm>
                                <a:prstGeom prst="rect"/>
                              </pic:spPr>
                            </pic:pic>
                          </a:graphicData>
                        </a:graphic>
                      </wp:inline>
                    </w:drawing>
                  </w:r>
                </w:p>
              </w:txbxContent>
            </v:textbox>
          </v:shape>
        </w:pict>
      </w:r>
      <w:r>
        <w:pict>
          <v:shapetype id="_x0000_t22" coordsize="21600,21600" o:spt="202" path="m,l,21600r21600,l21600,xe">
            <v:stroke joinstyle="miter"/>
            <v:path gradientshapeok="t" o:connecttype="rect"/>
          </v:shapetype>
          <v:shape id="_x0000_s21" type="#_x0000_t22" filled="f" stroked="f" style="position:absolute;width:114.75pt;height:16.25pt;z-index:-1;margin-left:257.75pt;margin-top:180.55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0" w:firstLine="0"/>
                    <w:jc w:val="center"/>
                    <w:textAlignment w:val="baseline"/>
                    <w:rPr>
                      <w:rFonts w:ascii="Calibri" w:hAnsi="Calibri" w:eastAsia="Calibri"/>
                      <w:b w:val="true"/>
                      <w:color w:val="FFFFFF"/>
                      <w:spacing w:val="-7"/>
                      <w:w w:val="100"/>
                      <w:sz w:val="28"/>
                      <w:vertAlign w:val="baseline"/>
                      <w:lang w:val="en-US"/>
                    </w:rPr>
                  </w:pPr>
                  <w:r>
                    <w:rPr>
                      <w:rFonts w:ascii="Calibri" w:hAnsi="Calibri" w:eastAsia="Calibri"/>
                      <w:b w:val="true"/>
                      <w:color w:val="FFFFFF"/>
                      <w:spacing w:val="-7"/>
                      <w:w w:val="100"/>
                      <w:sz w:val="28"/>
                      <w:vertAlign w:val="baseline"/>
                      <w:lang w:val="en-US"/>
                    </w:rPr>
                    <w:t xml:space="preserve">Steering Committee</w:t>
                  </w:r>
                </w:p>
              </w:txbxContent>
            </v:textbox>
          </v:shape>
        </w:pict>
      </w:r>
      <w:r>
        <w:rPr>
          <w:rFonts w:ascii="Calibri" w:hAnsi="Calibri" w:eastAsia="Calibri"/>
          <w:b w:val="true"/>
          <w:color w:val="000000"/>
          <w:spacing w:val="0"/>
          <w:w w:val="100"/>
          <w:sz w:val="22"/>
          <w:vertAlign w:val="baseline"/>
          <w:lang w:val="en-US"/>
        </w:rPr>
        <w:t xml:space="preserve">Regional Community Health Assessment Structure and Approach</w:t>
      </w:r>
    </w:p>
    <w:p>
      <w:pPr>
        <w:spacing w:before="157"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regional Community Health Assessment (CHA) effort was led by the Pivital Public Health Partnership, a non-profit affiliation of eight county Public Health Departments in the Finger Lakes region of New York State. Regional CHA partners included: County-level public health departments from Chemung, Livingston, Ontario, Schuyler, Seneca, Steuben, Wayne, Yates; Pivital Public Health Partnership; Common Ground Health; local steering committees; and diverse sectoral organizations. See also County Chapters for specific partners.</w:t>
      </w:r>
    </w:p>
    <w:p>
      <w:pPr>
        <w:spacing w:before="165"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Pivital provided county staff with targeted education on the Mobilizing for Action through Planning and Partnership (MAPP) 2.0 Framework; a tool created by the National Association of County and City Health Officials. Additionally, they attended stakeholder meetings and facilitated monthly meetings with health department staff assigned to CHA/CHIP activities. Pivital also provided technical assistance and data support by collecting and entering county-level Community Status Assessment (CSA) data into the Clear Impact performance management scorecard. This ultimately created a regional CSA scorecard to identify shared regional health issues and challenges. County-level teams customized the processes for their local needs and priorities (see specific County Chapters for detailed information.)</w:t>
      </w:r>
    </w:p>
    <w:p>
      <w:pPr>
        <w:spacing w:before="168"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planning was coordinated regionally, each county designated a chairperson who facilitated the CHA process at the local level. Each local health department formed a steering committee best suited to its local needs in order to implement each step of the MAPP 2.0 framework. This adaptive approach allowed each county to follow recognized best practices for collaborative health improvement, while ensuring that local priorities and resources shaped their process.</w:t>
      </w:r>
    </w:p>
    <w:p>
      <w:pPr>
        <w:spacing w:before="166"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 enhance data analysis and promote equity, Pivital partnered with Common Ground Health, a health research and planning organization based in Rochester, NY. Common Ground Health supports the nine Finger Lakes counties (the eight represented in this CHA and Monroe County) and is recognized for maintaining the region’s most comprehensive health and health care data resources. Their expertise enabled deeper investigation of health trends and identification of health inequities by geography, socio</w:t>
        <w:softHyphen/>
      </w:r>
      <w:r>
        <w:rPr>
          <w:rFonts w:ascii="Calibri" w:hAnsi="Calibri" w:eastAsia="Calibri"/>
          <w:color w:val="000000"/>
          <w:spacing w:val="0"/>
          <w:w w:val="100"/>
          <w:sz w:val="22"/>
          <w:vertAlign w:val="baseline"/>
          <w:lang w:val="en-US"/>
        </w:rPr>
        <w:t xml:space="preserve">economic status, race, and ethnicity.</w:t>
      </w:r>
    </w:p>
    <w:p>
      <w:pPr>
        <w:spacing w:before="163" w:after="154"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During the Community Context Assessment (CCA), the eight counties worked together regionally to identify key unified questions for focus groups. Each local health department was given the opportunity to customize and enrich CCA questions to meet local needs but agreed to use a minimum set of questions decided upon by regional consensus, ensuring consistency and comparability across the region.</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11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line strokeweight="1.7pt" strokecolor="#145F82" from="0pt,62.9pt" to="611.55pt,62.9pt" style="position:absolute;mso-position-horizontal-relative:page;mso-position-vertical-relative:page;">
            <v:stroke dashstyle="solid"/>
          </v:line>
        </w:pict>
      </w: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9" w:lineRule="exact"/>
        <w:ind w:right="1440" w:left="1440" w:firstLine="0"/>
        <w:jc w:val="left"/>
        <w:textAlignment w:val="baseline"/>
        <w:rPr>
          <w:rFonts w:ascii="Calibri" w:hAnsi="Calibri" w:eastAsia="Calibri"/>
          <w:color w:val="000000"/>
          <w:spacing w:val="0"/>
          <w:w w:val="100"/>
          <w:sz w:val="22"/>
          <w:vertAlign w:val="baseline"/>
          <w:lang w:val="en-US"/>
        </w:rPr>
      </w:pPr>
      <w:r>
        <w:pict>
          <v:shapetype id="_x0000_t23" coordsize="21600,21600" o:spt="202" path="m,l,21600r21600,l21600,xe">
            <v:stroke joinstyle="miter"/>
            <v:path gradientshapeok="t" o:connecttype="rect"/>
          </v:shapetype>
          <v:shape id="_x0000_s22" type="#_x0000_t23" filled="f" stroked="f" style="position:absolute;width:611.05pt;height:34.6pt;z-index:-1;margin-left:0pt;margin-top:71.5pt;mso-wrap-distance-top:9.5pt;mso-wrap-distance-bottom:4.2pt;mso-wrap-distance-left:0pt;mso-wrap-distance-right:0.95pt;mso-position-horizontal-relative:page;mso-position-vertical-relative:page">
            <w10:wrap type="square"/>
            <v:fill opacity="1" o:opacity2="1" recolor="f" rotate="f" type="solid"/>
            <v:textbox inset="0pt, 0pt, 0pt, 0pt">
              <w:txbxContent/>
            </v:textbox>
          </v:shape>
        </w:pict>
      </w:r>
      <w:r>
        <w:pict>
          <v:shapetype id="_x0000_t24" coordsize="21600,21600" o:spt="202" path="m,l,21600r21600,l21600,xe">
            <v:stroke joinstyle="miter"/>
            <v:path gradientshapeok="t" o:connecttype="rect"/>
          </v:shapetype>
          <v:shape id="_x0000_s23" type="#_x0000_t24" filled="f" stroked="f" style="position:absolute;width:611.05pt;height:34.6pt;z-index:-1;margin-left:0pt;margin-top:7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0335" cy="439420"/>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760335" cy="439420"/>
                                </a:xfrm>
                                <a:prstGeom prst="rect"/>
                              </pic:spPr>
                            </pic:pic>
                          </a:graphicData>
                        </a:graphic>
                      </wp:inline>
                    </w:drawing>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264.7pt;height:16.25pt;z-index:-1;margin-left:173.3pt;margin-top:76.15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0" w:firstLine="0"/>
                    <w:jc w:val="center"/>
                    <w:textAlignment w:val="baseline"/>
                    <w:rPr>
                      <w:rFonts w:ascii="Calibri" w:hAnsi="Calibri" w:eastAsia="Calibri"/>
                      <w:b w:val="true"/>
                      <w:color w:val="FFFFFF"/>
                      <w:spacing w:val="-5"/>
                      <w:w w:val="100"/>
                      <w:sz w:val="28"/>
                      <w:vertAlign w:val="baseline"/>
                      <w:lang w:val="en-US"/>
                    </w:rPr>
                  </w:pPr>
                  <w:r>
                    <w:rPr>
                      <w:rFonts w:ascii="Calibri" w:hAnsi="Calibri" w:eastAsia="Calibri"/>
                      <w:b w:val="true"/>
                      <w:color w:val="FFFFFF"/>
                      <w:spacing w:val="-5"/>
                      <w:w w:val="100"/>
                      <w:sz w:val="28"/>
                      <w:vertAlign w:val="baseline"/>
                      <w:lang w:val="en-US"/>
                    </w:rPr>
                    <w:t xml:space="preserve">New York State 2025-2030 Prevention Agenda</w:t>
                  </w:r>
                </w:p>
              </w:txbxContent>
            </v:textbox>
          </v:shape>
        </w:pict>
      </w:r>
      <w:r>
        <w:rPr>
          <w:rFonts w:ascii="Calibri" w:hAnsi="Calibri" w:eastAsia="Calibri"/>
          <w:color w:val="000000"/>
          <w:spacing w:val="0"/>
          <w:w w:val="100"/>
          <w:sz w:val="22"/>
          <w:vertAlign w:val="baseline"/>
          <w:lang w:val="en-US"/>
        </w:rPr>
        <w:t xml:space="preserve">The NYSDOH Prevention Agenda 2025-2030 serves as a roadmap for county health departments, hospitals and other health care systems and partners to develop strategic priorities to ensure the health and well-being of New York State residents. It guides communities to set priorities, address health disparities, and improve the health and well-being of all New Yorkers. The NYSDOH Prevention Agenda is closely tied to Social Determinants of Health. These determinants are everyday life conditions, such as where people live, work, learn, and play, that affect health, well-being, and opportunities to thrive. (Figure 1)</w:t>
      </w:r>
    </w:p>
    <w:p>
      <w:pPr>
        <w:spacing w:before="549" w:after="249" w:line="180" w:lineRule="exact"/>
        <w:ind w:right="0" w:left="1584" w:firstLine="0"/>
        <w:jc w:val="left"/>
        <w:textAlignment w:val="baseline"/>
        <w:rPr>
          <w:rFonts w:ascii="Calibri" w:hAnsi="Calibri" w:eastAsia="Calibri"/>
          <w:i w:val="true"/>
          <w:color w:val="162552"/>
          <w:spacing w:val="0"/>
          <w:w w:val="100"/>
          <w:sz w:val="18"/>
          <w:vertAlign w:val="baseline"/>
          <w:lang w:val="en-US"/>
        </w:rPr>
      </w:pPr>
      <w:r>
        <w:rPr>
          <w:rFonts w:ascii="Calibri" w:hAnsi="Calibri" w:eastAsia="Calibri"/>
          <w:i w:val="true"/>
          <w:color w:val="162552"/>
          <w:spacing w:val="0"/>
          <w:w w:val="100"/>
          <w:sz w:val="18"/>
          <w:vertAlign w:val="baseline"/>
          <w:lang w:val="en-US"/>
        </w:rPr>
        <w:t xml:space="preserve">Figure 1 Social Determinants of Health</w:t>
      </w:r>
    </w:p>
    <w:p>
      <w:pPr>
        <w:spacing w:before="0" w:after="481" w:line="240" w:lineRule="auto"/>
        <w:ind w:right="1574" w:left="1454"/>
        <w:jc w:val="left"/>
        <w:textAlignment w:val="baseline"/>
      </w:pPr>
      <w:r>
        <w:drawing>
          <wp:inline>
            <wp:extent cx="5849620" cy="2877820"/>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5849620" cy="2877820"/>
                    </a:xfrm>
                    <a:prstGeom prst="rect"/>
                  </pic:spPr>
                </pic:pic>
              </a:graphicData>
            </a:graphic>
          </wp:inline>
        </w:drawing>
      </w:r>
    </w:p>
    <w:p>
      <w:pPr>
        <w:spacing w:before="20" w:after="0" w:line="180" w:lineRule="exact"/>
        <w:ind w:right="0" w:left="1440" w:firstLine="0"/>
        <w:jc w:val="left"/>
        <w:textAlignment w:val="baseline"/>
        <w:rPr>
          <w:rFonts w:ascii="Calibri" w:hAnsi="Calibri" w:eastAsia="Calibri"/>
          <w:i w:val="true"/>
          <w:color w:val="162552"/>
          <w:spacing w:val="0"/>
          <w:w w:val="100"/>
          <w:sz w:val="18"/>
          <w:vertAlign w:val="baseline"/>
          <w:lang w:val="en-US"/>
        </w:rPr>
      </w:pPr>
      <w:r>
        <w:rPr>
          <w:rFonts w:ascii="Calibri" w:hAnsi="Calibri" w:eastAsia="Calibri"/>
          <w:i w:val="true"/>
          <w:color w:val="162552"/>
          <w:spacing w:val="0"/>
          <w:w w:val="100"/>
          <w:sz w:val="18"/>
          <w:vertAlign w:val="baseline"/>
          <w:lang w:val="en-US"/>
        </w:rPr>
        <w:t xml:space="preserve">Source: CDC</w:t>
      </w:r>
    </w:p>
    <w:p>
      <w:pPr>
        <w:spacing w:before="393"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health departments, hospitals and partners used the Prevention Agenda to align their CHA and</w:t>
      </w:r>
    </w:p>
    <w:p>
      <w:pPr>
        <w:spacing w:before="71"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CHIP with statewide goals, ensuring that efforts are data-driven and focused on advancing health equity.</w:t>
      </w:r>
    </w:p>
    <w:p>
      <w:pPr>
        <w:spacing w:before="158" w:after="2248"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Prevention Agenda outlines five domains with their associated priority areas as detailed in Table 2. Each domain is a Social Determinant of Health.</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12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0" w:after="215" w:line="180" w:lineRule="exact"/>
        <w:ind w:right="0" w:left="1440" w:firstLine="0"/>
        <w:jc w:val="left"/>
        <w:textAlignment w:val="baseline"/>
        <w:rPr>
          <w:rFonts w:ascii="Calibri" w:hAnsi="Calibri" w:eastAsia="Calibri"/>
          <w:i w:val="true"/>
          <w:color w:val="0E2841"/>
          <w:spacing w:val="0"/>
          <w:w w:val="100"/>
          <w:sz w:val="18"/>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i w:val="true"/>
          <w:color w:val="0E2841"/>
          <w:spacing w:val="0"/>
          <w:w w:val="100"/>
          <w:sz w:val="18"/>
          <w:vertAlign w:val="baseline"/>
          <w:lang w:val="en-US"/>
        </w:rPr>
        <w:t xml:space="preserve">Table 2: NYSDOH Prevention Agenda Domains, Priorities and Targets</w:t>
      </w:r>
    </w:p>
    <w:tbl>
      <w:tblPr>
        <w:jc w:val="left"/>
        <w:tblInd w:w="1440" w:type="dxa"/>
        <w:tblLayout w:type="fixed"/>
        <w:tblCellMar>
          <w:left w:w="0" w:type="dxa"/>
          <w:right w:w="0" w:type="dxa"/>
        </w:tblCellMar>
      </w:tblPr>
      <w:tblGrid>
        <w:gridCol w:w="370"/>
        <w:gridCol w:w="3048"/>
        <w:gridCol w:w="5942"/>
      </w:tblGrid>
      <w:tr>
        <w:trPr>
          <w:trHeight w:val="283" w:hRule="exact"/>
        </w:trPr>
        <w:tc>
          <w:tcPr>
            <w:tcW w:w="370" w:type="dxa"/>
            <w:tcBorders>
              <w:top w:val="single" w:sz="5" w:color="000000"/>
              <w:left w:val="single" w:sz="5" w:color="000000"/>
              <w:bottom w:val="single" w:sz="5" w:color="000000"/>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48" w:type="dxa"/>
            <w:tcBorders>
              <w:top w:val="single" w:sz="5" w:color="000000"/>
              <w:left w:val="none"/>
              <w:bottom w:val="single" w:sz="5" w:color="000000"/>
              <w:right w:val="single" w:sz="5" w:color="000000"/>
            </w:tcBorders>
            <w:shd w:val="clear" w:color="145F82" w:fill="145F82"/>
            <w:textDirection w:val="lrTb"/>
            <w:vAlign w:val="center"/>
          </w:tcPr>
          <w:p>
            <w:pPr>
              <w:spacing w:before="34" w:after="12" w:line="227" w:lineRule="exact"/>
              <w:ind w:right="0" w:left="915"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Domain</w:t>
            </w:r>
          </w:p>
        </w:tc>
        <w:tc>
          <w:tcPr>
            <w:tcW w:w="5942"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34" w:after="12" w:line="227" w:lineRule="exact"/>
              <w:ind w:right="249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Priorities</w:t>
            </w:r>
          </w:p>
        </w:tc>
      </w:tr>
      <w:tr>
        <w:trPr>
          <w:trHeight w:val="279" w:hRule="exact"/>
        </w:trPr>
        <w:tc>
          <w:tcPr>
            <w:tcW w:w="370" w:type="dxa"/>
            <w:vMerge w:val="restart"/>
            <w:tcBorders>
              <w:top w:val="single" w:sz="5" w:color="000000"/>
              <w:left w:val="single" w:sz="5" w:color="000000"/>
              <w:bottom w:val="none"/>
              <w:right w:val="none"/>
            </w:tcBorders>
            <w:shd w:val="clear" w:color="C1E3F5" w:fill="C1E3F5"/>
            <w:textDirection w:val="lrTb"/>
            <w:vAlign w:val="top"/>
          </w:tcPr>
          <w:p>
            <w:pPr>
              <w:numPr>
                <w:ilvl w:val="0"/>
                <w:numId w:val="11"/>
              </w:numPr>
              <w:tabs>
                <w:tab w:val="clear" w:pos="144"/>
                <w:tab w:val="left" w:pos="144"/>
              </w:tabs>
              <w:spacing w:before="0" w:after="971" w:line="227" w:lineRule="exact"/>
              <w:ind w:right="0" w:left="0" w:firstLine="0"/>
              <w:jc w:val="center"/>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
</w:t>
            </w:r>
          </w:p>
        </w:tc>
        <w:tc>
          <w:tcPr>
            <w:tcW w:w="3048" w:type="dxa"/>
            <w:vMerge w:val="restart"/>
            <w:tcBorders>
              <w:top w:val="single" w:sz="5" w:color="000000"/>
              <w:left w:val="none"/>
              <w:bottom w:val="none"/>
              <w:right w:val="single" w:sz="5" w:color="000000"/>
            </w:tcBorders>
            <w:shd w:val="clear" w:color="C1E3F5" w:fill="C1E3F5"/>
            <w:textDirection w:val="lrTb"/>
            <w:vAlign w:val="top"/>
          </w:tcPr>
          <w:p>
            <w:pPr>
              <w:spacing w:before="0" w:after="969" w:line="229" w:lineRule="exact"/>
              <w:ind w:right="0" w:left="105"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Economic Stability</w:t>
            </w:r>
          </w:p>
        </w:tc>
        <w:tc>
          <w:tcPr>
            <w:tcW w:w="5942" w:type="dxa"/>
            <w:tcBorders>
              <w:top w:val="single" w:sz="5" w:color="000000"/>
              <w:left w:val="single" w:sz="5" w:color="000000"/>
              <w:bottom w:val="single" w:sz="5" w:color="000000"/>
              <w:right w:val="single" w:sz="5" w:color="000000"/>
            </w:tcBorders>
            <w:textDirection w:val="lrTb"/>
            <w:vAlign w:val="center"/>
          </w:tcPr>
          <w:p>
            <w:pPr>
              <w:spacing w:before="33"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w:t>
            </w:r>
          </w:p>
        </w:tc>
      </w:tr>
      <w:tr>
        <w:trPr>
          <w:trHeight w:val="316"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71"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Unemployment</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7" w:after="1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Security</w:t>
            </w:r>
          </w:p>
        </w:tc>
      </w:tr>
      <w:tr>
        <w:trPr>
          <w:trHeight w:val="327" w:hRule="exact"/>
        </w:trPr>
        <w:tc>
          <w:tcPr>
            <w:tcW w:w="370" w:type="dxa"/>
            <w:vMerge w:val="continue"/>
            <w:tcBorders>
              <w:top w:val="none"/>
              <w:left w:val="single" w:sz="5" w:color="000000"/>
              <w:bottom w:val="single" w:sz="19" w:color="000000"/>
              <w:right w:val="none"/>
            </w:tcBorders>
            <w:shd w:val="clear" w:color="C1E3F5" w:fill="C1E3F5"/>
            <w:textDirection w:val="lrTb"/>
            <w:vAlign w:val="top"/>
          </w:tcPr>
          <w:p/>
        </w:tc>
        <w:tc>
          <w:tcPr>
            <w:tcW w:w="3048" w:type="dxa"/>
            <w:vMerge w:val="continue"/>
            <w:tcBorders>
              <w:top w:val="none"/>
              <w:left w:val="none"/>
              <w:bottom w:val="single" w:sz="19" w:color="000000"/>
              <w:right w:val="single" w:sz="5" w:color="000000"/>
            </w:tcBorders>
            <w:shd w:val="clear" w:color="C1E3F5" w:fill="C1E3F5"/>
            <w:textDirection w:val="lrTb"/>
            <w:vAlign w:val="top"/>
          </w:tcPr>
          <w:p/>
        </w:tc>
        <w:tc>
          <w:tcPr>
            <w:tcW w:w="5942" w:type="dxa"/>
            <w:tcBorders>
              <w:top w:val="single" w:sz="5" w:color="000000"/>
              <w:left w:val="single" w:sz="5" w:color="000000"/>
              <w:bottom w:val="single" w:sz="19" w:color="000000"/>
              <w:right w:val="single" w:sz="5" w:color="000000"/>
            </w:tcBorders>
            <w:textDirection w:val="lrTb"/>
            <w:vAlign w:val="center"/>
          </w:tcPr>
          <w:p>
            <w:pPr>
              <w:spacing w:before="67" w:after="33"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tc>
      </w:tr>
      <w:tr>
        <w:trPr>
          <w:trHeight w:val="302" w:hRule="exact"/>
        </w:trPr>
        <w:tc>
          <w:tcPr>
            <w:tcW w:w="370" w:type="dxa"/>
            <w:vMerge w:val="restart"/>
            <w:tcBorders>
              <w:top w:val="single" w:sz="19" w:color="000000"/>
              <w:left w:val="single" w:sz="5" w:color="000000"/>
              <w:bottom w:val="none"/>
              <w:right w:val="none"/>
            </w:tcBorders>
            <w:shd w:val="clear" w:color="C1E3F5" w:fill="C1E3F5"/>
            <w:textDirection w:val="lrTb"/>
            <w:vAlign w:val="top"/>
          </w:tcPr>
          <w:p>
            <w:pPr>
              <w:numPr>
                <w:ilvl w:val="0"/>
                <w:numId w:val="11"/>
              </w:numPr>
              <w:tabs>
                <w:tab w:val="clear" w:pos="144"/>
                <w:tab w:val="left" w:pos="144"/>
              </w:tabs>
              <w:spacing w:before="53" w:after="2493" w:line="227" w:lineRule="exact"/>
              <w:ind w:right="0" w:left="0" w:firstLine="0"/>
              <w:jc w:val="center"/>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
</w:t>
            </w:r>
          </w:p>
        </w:tc>
        <w:tc>
          <w:tcPr>
            <w:tcW w:w="3048" w:type="dxa"/>
            <w:vMerge w:val="restart"/>
            <w:tcBorders>
              <w:top w:val="single" w:sz="19" w:color="000000"/>
              <w:left w:val="none"/>
              <w:bottom w:val="none"/>
              <w:right w:val="single" w:sz="5" w:color="000000"/>
            </w:tcBorders>
            <w:shd w:val="clear" w:color="C1E3F5" w:fill="C1E3F5"/>
            <w:textDirection w:val="lrTb"/>
            <w:vAlign w:val="top"/>
          </w:tcPr>
          <w:p>
            <w:pPr>
              <w:spacing w:before="53" w:after="2490" w:line="230" w:lineRule="exact"/>
              <w:ind w:right="0" w:left="105"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Social and Community Context</w:t>
            </w:r>
          </w:p>
        </w:tc>
        <w:tc>
          <w:tcPr>
            <w:tcW w:w="5942" w:type="dxa"/>
            <w:tcBorders>
              <w:top w:val="single" w:sz="19" w:color="000000"/>
              <w:left w:val="single" w:sz="5" w:color="000000"/>
              <w:bottom w:val="single" w:sz="5" w:color="000000"/>
              <w:right w:val="single" w:sz="5" w:color="000000"/>
            </w:tcBorders>
            <w:textDirection w:val="lrTb"/>
            <w:vAlign w:val="center"/>
          </w:tcPr>
          <w:p>
            <w:pPr>
              <w:spacing w:before="56" w:after="19"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and Stress</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Suicide</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14"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Depression</w:t>
            </w:r>
          </w:p>
        </w:tc>
      </w:tr>
      <w:tr>
        <w:trPr>
          <w:trHeight w:val="581"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top"/>
          </w:tcPr>
          <w:p>
            <w:pPr>
              <w:spacing w:before="0" w:after="24" w:line="264" w:lineRule="exact"/>
              <w:ind w:right="108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Primary Prevention, Substance Misuse, and Overdose Protection</w:t>
            </w:r>
          </w:p>
        </w:tc>
      </w:tr>
      <w:tr>
        <w:trPr>
          <w:trHeight w:val="317"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28"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Tobacco/E-cigarefte Use</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1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Alcohol Use</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19"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Adverse Childhood Experiences</w:t>
            </w:r>
          </w:p>
        </w:tc>
      </w:tr>
      <w:tr>
        <w:trPr>
          <w:trHeight w:val="331" w:hRule="exact"/>
        </w:trPr>
        <w:tc>
          <w:tcPr>
            <w:tcW w:w="370" w:type="dxa"/>
            <w:vMerge w:val="continue"/>
            <w:tcBorders>
              <w:top w:val="none"/>
              <w:left w:val="single" w:sz="5" w:color="000000"/>
              <w:bottom w:val="single" w:sz="19" w:color="000000"/>
              <w:right w:val="none"/>
            </w:tcBorders>
            <w:shd w:val="clear" w:color="C1E3F5" w:fill="C1E3F5"/>
            <w:textDirection w:val="lrTb"/>
            <w:vAlign w:val="top"/>
          </w:tcPr>
          <w:p/>
        </w:tc>
        <w:tc>
          <w:tcPr>
            <w:tcW w:w="3048" w:type="dxa"/>
            <w:vMerge w:val="continue"/>
            <w:tcBorders>
              <w:top w:val="none"/>
              <w:left w:val="none"/>
              <w:bottom w:val="single" w:sz="19" w:color="000000"/>
              <w:right w:val="single" w:sz="5" w:color="000000"/>
            </w:tcBorders>
            <w:shd w:val="clear" w:color="C1E3F5" w:fill="C1E3F5"/>
            <w:textDirection w:val="lrTb"/>
            <w:vAlign w:val="top"/>
          </w:tcPr>
          <w:p/>
        </w:tc>
        <w:tc>
          <w:tcPr>
            <w:tcW w:w="5942" w:type="dxa"/>
            <w:tcBorders>
              <w:top w:val="single" w:sz="5" w:color="000000"/>
              <w:left w:val="single" w:sz="5" w:color="000000"/>
              <w:bottom w:val="single" w:sz="19" w:color="000000"/>
              <w:right w:val="single" w:sz="5" w:color="000000"/>
            </w:tcBorders>
            <w:textDirection w:val="lrTb"/>
            <w:vAlign w:val="center"/>
          </w:tcPr>
          <w:p>
            <w:pPr>
              <w:spacing w:before="71" w:after="33"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Eating</w:t>
            </w:r>
          </w:p>
        </w:tc>
      </w:tr>
      <w:tr>
        <w:trPr>
          <w:trHeight w:val="298" w:hRule="exact"/>
        </w:trPr>
        <w:tc>
          <w:tcPr>
            <w:tcW w:w="370" w:type="dxa"/>
            <w:vMerge w:val="restart"/>
            <w:tcBorders>
              <w:top w:val="single" w:sz="19" w:color="000000"/>
              <w:left w:val="single" w:sz="5" w:color="000000"/>
              <w:bottom w:val="none"/>
              <w:right w:val="none"/>
            </w:tcBorders>
            <w:shd w:val="clear" w:color="C1E3F5" w:fill="C1E3F5"/>
            <w:textDirection w:val="lrTb"/>
            <w:vAlign w:val="top"/>
          </w:tcPr>
          <w:p>
            <w:pPr>
              <w:numPr>
                <w:ilvl w:val="0"/>
                <w:numId w:val="11"/>
              </w:numPr>
              <w:tabs>
                <w:tab w:val="clear" w:pos="144"/>
                <w:tab w:val="left" w:pos="144"/>
              </w:tabs>
              <w:spacing w:before="49" w:after="654" w:line="227" w:lineRule="exact"/>
              <w:ind w:right="0" w:left="0" w:firstLine="0"/>
              <w:jc w:val="center"/>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
</w:t>
            </w:r>
          </w:p>
        </w:tc>
        <w:tc>
          <w:tcPr>
            <w:tcW w:w="3048" w:type="dxa"/>
            <w:vMerge w:val="restart"/>
            <w:tcBorders>
              <w:top w:val="single" w:sz="19" w:color="000000"/>
              <w:left w:val="none"/>
              <w:bottom w:val="none"/>
              <w:right w:val="single" w:sz="5" w:color="000000"/>
            </w:tcBorders>
            <w:shd w:val="clear" w:color="C1E3F5" w:fill="C1E3F5"/>
            <w:textDirection w:val="lrTb"/>
            <w:vAlign w:val="top"/>
          </w:tcPr>
          <w:p>
            <w:pPr>
              <w:spacing w:before="0" w:after="385" w:line="272" w:lineRule="exact"/>
              <w:ind w:right="0" w:left="108"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Neighborhood and Built Environment</w:t>
            </w:r>
          </w:p>
        </w:tc>
        <w:tc>
          <w:tcPr>
            <w:tcW w:w="5942" w:type="dxa"/>
            <w:tcBorders>
              <w:top w:val="single" w:sz="19" w:color="000000"/>
              <w:left w:val="single" w:sz="5" w:color="000000"/>
              <w:bottom w:val="single" w:sz="5" w:color="000000"/>
              <w:right w:val="single" w:sz="5" w:color="000000"/>
            </w:tcBorders>
            <w:textDirection w:val="lrTb"/>
            <w:vAlign w:val="center"/>
          </w:tcPr>
          <w:p>
            <w:pPr>
              <w:spacing w:before="52"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Active Transportation and Physical Activity</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1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Community Services and Support</w:t>
            </w:r>
          </w:p>
        </w:tc>
      </w:tr>
      <w:tr>
        <w:trPr>
          <w:trHeight w:val="331" w:hRule="exact"/>
        </w:trPr>
        <w:tc>
          <w:tcPr>
            <w:tcW w:w="370" w:type="dxa"/>
            <w:vMerge w:val="continue"/>
            <w:tcBorders>
              <w:top w:val="none"/>
              <w:left w:val="single" w:sz="5" w:color="000000"/>
              <w:bottom w:val="single" w:sz="19" w:color="000000"/>
              <w:right w:val="none"/>
            </w:tcBorders>
            <w:shd w:val="clear" w:color="C1E3F5" w:fill="C1E3F5"/>
            <w:textDirection w:val="lrTb"/>
            <w:vAlign w:val="top"/>
          </w:tcPr>
          <w:p/>
        </w:tc>
        <w:tc>
          <w:tcPr>
            <w:tcW w:w="3048" w:type="dxa"/>
            <w:vMerge w:val="continue"/>
            <w:tcBorders>
              <w:top w:val="none"/>
              <w:left w:val="none"/>
              <w:bottom w:val="single" w:sz="19" w:color="000000"/>
              <w:right w:val="single" w:sz="5" w:color="000000"/>
            </w:tcBorders>
            <w:shd w:val="clear" w:color="C1E3F5" w:fill="C1E3F5"/>
            <w:textDirection w:val="lrTb"/>
            <w:vAlign w:val="top"/>
          </w:tcPr>
          <w:p/>
        </w:tc>
        <w:tc>
          <w:tcPr>
            <w:tcW w:w="5942" w:type="dxa"/>
            <w:tcBorders>
              <w:top w:val="single" w:sz="5" w:color="000000"/>
              <w:left w:val="single" w:sz="5" w:color="000000"/>
              <w:bottom w:val="single" w:sz="19" w:color="000000"/>
              <w:right w:val="single" w:sz="5" w:color="000000"/>
            </w:tcBorders>
            <w:textDirection w:val="lrTb"/>
            <w:vAlign w:val="center"/>
          </w:tcPr>
          <w:p>
            <w:pPr>
              <w:spacing w:before="71" w:after="28"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Injuries and Violence</w:t>
            </w:r>
          </w:p>
        </w:tc>
      </w:tr>
      <w:tr>
        <w:trPr>
          <w:trHeight w:val="297" w:hRule="exact"/>
        </w:trPr>
        <w:tc>
          <w:tcPr>
            <w:tcW w:w="370" w:type="dxa"/>
            <w:vMerge w:val="restart"/>
            <w:tcBorders>
              <w:top w:val="single" w:sz="19" w:color="000000"/>
              <w:left w:val="single" w:sz="5" w:color="000000"/>
              <w:bottom w:val="none"/>
              <w:right w:val="none"/>
            </w:tcBorders>
            <w:shd w:val="clear" w:color="C1E3F5" w:fill="C1E3F5"/>
            <w:textDirection w:val="lrTb"/>
            <w:vAlign w:val="top"/>
          </w:tcPr>
          <w:p>
            <w:pPr>
              <w:numPr>
                <w:ilvl w:val="0"/>
                <w:numId w:val="11"/>
              </w:numPr>
              <w:tabs>
                <w:tab w:val="clear" w:pos="144"/>
                <w:tab w:val="left" w:pos="144"/>
              </w:tabs>
              <w:spacing w:before="49" w:after="1917" w:line="227" w:lineRule="exact"/>
              <w:ind w:right="0" w:left="0" w:firstLine="0"/>
              <w:jc w:val="center"/>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
</w:t>
            </w:r>
          </w:p>
        </w:tc>
        <w:tc>
          <w:tcPr>
            <w:tcW w:w="3048" w:type="dxa"/>
            <w:vMerge w:val="restart"/>
            <w:tcBorders>
              <w:top w:val="single" w:sz="19" w:color="000000"/>
              <w:left w:val="none"/>
              <w:bottom w:val="none"/>
              <w:right w:val="single" w:sz="5" w:color="000000"/>
            </w:tcBorders>
            <w:shd w:val="clear" w:color="C1E3F5" w:fill="C1E3F5"/>
            <w:textDirection w:val="lrTb"/>
            <w:vAlign w:val="top"/>
          </w:tcPr>
          <w:p>
            <w:pPr>
              <w:spacing w:before="49" w:after="1915" w:line="229" w:lineRule="exact"/>
              <w:ind w:right="0" w:left="105" w:firstLine="0"/>
              <w:jc w:val="left"/>
              <w:textAlignment w:val="baseline"/>
              <w:rPr>
                <w:rFonts w:ascii="Calibri" w:hAnsi="Calibri" w:eastAsia="Calibri"/>
                <w:b w:val="true"/>
                <w:color w:val="000000"/>
                <w:spacing w:val="-4"/>
                <w:w w:val="100"/>
                <w:sz w:val="23"/>
                <w:vertAlign w:val="baseline"/>
                <w:lang w:val="en-US"/>
              </w:rPr>
            </w:pPr>
            <w:r>
              <w:rPr>
                <w:rFonts w:ascii="Calibri" w:hAnsi="Calibri" w:eastAsia="Calibri"/>
                <w:b w:val="true"/>
                <w:color w:val="000000"/>
                <w:spacing w:val="-4"/>
                <w:w w:val="100"/>
                <w:sz w:val="23"/>
                <w:vertAlign w:val="baseline"/>
                <w:lang w:val="en-US"/>
              </w:rPr>
              <w:t xml:space="preserve">Health Care Access and Quality</w:t>
            </w:r>
          </w:p>
        </w:tc>
        <w:tc>
          <w:tcPr>
            <w:tcW w:w="5942" w:type="dxa"/>
            <w:tcBorders>
              <w:top w:val="single" w:sz="19" w:color="000000"/>
              <w:left w:val="single" w:sz="5" w:color="000000"/>
              <w:bottom w:val="single" w:sz="5" w:color="000000"/>
              <w:right w:val="single" w:sz="5" w:color="000000"/>
            </w:tcBorders>
            <w:textDirection w:val="lrTb"/>
            <w:vAlign w:val="center"/>
          </w:tcPr>
          <w:p>
            <w:pPr>
              <w:spacing w:before="52" w:after="19"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and Use of Prenatal Care</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7"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Prevention of Infant and Maternal Mortality</w:t>
            </w:r>
          </w:p>
        </w:tc>
      </w:tr>
      <w:tr>
        <w:trPr>
          <w:trHeight w:val="317"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71" w:after="24"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 Control</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15"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Oral Health Care</w:t>
            </w:r>
          </w:p>
        </w:tc>
      </w:tr>
      <w:tr>
        <w:trPr>
          <w:trHeight w:val="312"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20"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w:t>
            </w:r>
          </w:p>
        </w:tc>
      </w:tr>
      <w:tr>
        <w:trPr>
          <w:trHeight w:val="317" w:hRule="exact"/>
        </w:trPr>
        <w:tc>
          <w:tcPr>
            <w:tcW w:w="370" w:type="dxa"/>
            <w:vMerge w:val="continue"/>
            <w:tcBorders>
              <w:top w:val="none"/>
              <w:left w:val="single" w:sz="5" w:color="000000"/>
              <w:bottom w:val="none"/>
              <w:right w:val="none"/>
            </w:tcBorders>
            <w:shd w:val="clear" w:color="C1E3F5" w:fill="C1E3F5"/>
            <w:textDirection w:val="lrTb"/>
            <w:vAlign w:val="top"/>
          </w:tcPr>
          <w:p/>
        </w:tc>
        <w:tc>
          <w:tcPr>
            <w:tcW w:w="3048" w:type="dxa"/>
            <w:vMerge w:val="continue"/>
            <w:tcBorders>
              <w:top w:val="none"/>
              <w:left w:val="none"/>
              <w:bottom w:val="none"/>
              <w:right w:val="single" w:sz="5" w:color="000000"/>
            </w:tcBorders>
            <w:shd w:val="clear" w:color="C1E3F5" w:fill="C1E3F5"/>
            <w:textDirection w:val="lrTb"/>
            <w:vAlign w:val="top"/>
          </w:tcPr>
          <w:p/>
        </w:tc>
        <w:tc>
          <w:tcPr>
            <w:tcW w:w="5942" w:type="dxa"/>
            <w:tcBorders>
              <w:top w:val="single" w:sz="5" w:color="000000"/>
              <w:left w:val="single" w:sz="5" w:color="000000"/>
              <w:bottom w:val="single" w:sz="5" w:color="000000"/>
              <w:right w:val="single" w:sz="5" w:color="000000"/>
            </w:tcBorders>
            <w:textDirection w:val="lrTb"/>
            <w:vAlign w:val="center"/>
          </w:tcPr>
          <w:p>
            <w:pPr>
              <w:spacing w:before="66" w:after="23"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Early Intervention</w:t>
            </w:r>
          </w:p>
        </w:tc>
      </w:tr>
      <w:tr>
        <w:trPr>
          <w:trHeight w:val="326" w:hRule="exact"/>
        </w:trPr>
        <w:tc>
          <w:tcPr>
            <w:tcW w:w="370" w:type="dxa"/>
            <w:vMerge w:val="continue"/>
            <w:tcBorders>
              <w:top w:val="none"/>
              <w:left w:val="single" w:sz="5" w:color="000000"/>
              <w:bottom w:val="single" w:sz="19" w:color="000000"/>
              <w:right w:val="none"/>
            </w:tcBorders>
            <w:shd w:val="clear" w:color="C1E3F5" w:fill="C1E3F5"/>
            <w:textDirection w:val="lrTb"/>
            <w:vAlign w:val="top"/>
          </w:tcPr>
          <w:p/>
        </w:tc>
        <w:tc>
          <w:tcPr>
            <w:tcW w:w="3048" w:type="dxa"/>
            <w:vMerge w:val="continue"/>
            <w:tcBorders>
              <w:top w:val="none"/>
              <w:left w:val="none"/>
              <w:bottom w:val="single" w:sz="19" w:color="000000"/>
              <w:right w:val="single" w:sz="5" w:color="000000"/>
            </w:tcBorders>
            <w:shd w:val="clear" w:color="C1E3F5" w:fill="C1E3F5"/>
            <w:textDirection w:val="lrTb"/>
            <w:vAlign w:val="top"/>
          </w:tcPr>
          <w:p/>
        </w:tc>
        <w:tc>
          <w:tcPr>
            <w:tcW w:w="5942" w:type="dxa"/>
            <w:tcBorders>
              <w:top w:val="single" w:sz="5" w:color="000000"/>
              <w:left w:val="single" w:sz="5" w:color="000000"/>
              <w:bottom w:val="single" w:sz="19" w:color="000000"/>
              <w:right w:val="single" w:sz="5" w:color="000000"/>
            </w:tcBorders>
            <w:textDirection w:val="lrTb"/>
            <w:vAlign w:val="center"/>
          </w:tcPr>
          <w:p>
            <w:pPr>
              <w:spacing w:before="66" w:after="39"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Childhood Behavioral Health</w:t>
            </w:r>
          </w:p>
        </w:tc>
      </w:tr>
      <w:tr>
        <w:trPr>
          <w:trHeight w:val="298" w:hRule="exact"/>
        </w:trPr>
        <w:tc>
          <w:tcPr>
            <w:tcW w:w="370" w:type="dxa"/>
            <w:vMerge w:val="restart"/>
            <w:tcBorders>
              <w:top w:val="single" w:sz="19" w:color="000000"/>
              <w:left w:val="single" w:sz="5" w:color="000000"/>
              <w:bottom w:val="none"/>
              <w:right w:val="none"/>
            </w:tcBorders>
            <w:shd w:val="clear" w:color="C1E3F5" w:fill="C1E3F5"/>
            <w:textDirection w:val="lrTb"/>
            <w:vAlign w:val="top"/>
          </w:tcPr>
          <w:p>
            <w:pPr>
              <w:numPr>
                <w:ilvl w:val="0"/>
                <w:numId w:val="11"/>
              </w:numPr>
              <w:tabs>
                <w:tab w:val="clear" w:pos="144"/>
                <w:tab w:val="left" w:pos="144"/>
              </w:tabs>
              <w:spacing w:before="49" w:after="372" w:line="227" w:lineRule="exact"/>
              <w:ind w:right="0" w:left="0" w:firstLine="0"/>
              <w:jc w:val="center"/>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
</w:t>
            </w:r>
          </w:p>
        </w:tc>
        <w:tc>
          <w:tcPr>
            <w:tcW w:w="3048" w:type="dxa"/>
            <w:vMerge w:val="restart"/>
            <w:tcBorders>
              <w:top w:val="single" w:sz="19" w:color="000000"/>
              <w:left w:val="none"/>
              <w:bottom w:val="none"/>
              <w:right w:val="single" w:sz="5" w:color="000000"/>
            </w:tcBorders>
            <w:shd w:val="clear" w:color="C1E3F5" w:fill="C1E3F5"/>
            <w:textDirection w:val="lrTb"/>
            <w:vAlign w:val="top"/>
          </w:tcPr>
          <w:p>
            <w:pPr>
              <w:spacing w:before="49" w:after="370" w:line="229" w:lineRule="exact"/>
              <w:ind w:right="0" w:left="105"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Education Access and Quality</w:t>
            </w:r>
          </w:p>
        </w:tc>
        <w:tc>
          <w:tcPr>
            <w:tcW w:w="5942" w:type="dxa"/>
            <w:tcBorders>
              <w:top w:val="single" w:sz="19" w:color="000000"/>
              <w:left w:val="single" w:sz="5" w:color="000000"/>
              <w:bottom w:val="single" w:sz="5" w:color="000000"/>
              <w:right w:val="single" w:sz="5" w:color="000000"/>
            </w:tcBorders>
            <w:textDirection w:val="lrTb"/>
            <w:vAlign w:val="center"/>
          </w:tcPr>
          <w:p>
            <w:pPr>
              <w:spacing w:before="52" w:after="14" w:line="222"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and Wellness Promoting Schools</w:t>
            </w:r>
          </w:p>
        </w:tc>
      </w:tr>
      <w:tr>
        <w:trPr>
          <w:trHeight w:val="360" w:hRule="exact"/>
        </w:trPr>
        <w:tc>
          <w:tcPr>
            <w:tcW w:w="370" w:type="dxa"/>
            <w:vMerge w:val="continue"/>
            <w:tcBorders>
              <w:top w:val="none"/>
              <w:left w:val="single" w:sz="5" w:color="000000"/>
              <w:bottom w:val="single" w:sz="19" w:color="000000"/>
              <w:right w:val="none"/>
            </w:tcBorders>
            <w:shd w:val="clear" w:color="C1E3F5" w:fill="C1E3F5"/>
            <w:textDirection w:val="lrTb"/>
            <w:vAlign w:val="top"/>
          </w:tcPr>
          <w:p/>
        </w:tc>
        <w:tc>
          <w:tcPr>
            <w:tcW w:w="3048" w:type="dxa"/>
            <w:vMerge w:val="continue"/>
            <w:tcBorders>
              <w:top w:val="none"/>
              <w:left w:val="none"/>
              <w:bottom w:val="single" w:sz="19" w:color="000000"/>
              <w:right w:val="single" w:sz="5" w:color="000000"/>
            </w:tcBorders>
            <w:shd w:val="clear" w:color="C1E3F5" w:fill="C1E3F5"/>
            <w:textDirection w:val="lrTb"/>
            <w:vAlign w:val="top"/>
          </w:tcPr>
          <w:p/>
        </w:tc>
        <w:tc>
          <w:tcPr>
            <w:tcW w:w="5942" w:type="dxa"/>
            <w:tcBorders>
              <w:top w:val="single" w:sz="5" w:color="000000"/>
              <w:left w:val="single" w:sz="5" w:color="000000"/>
              <w:bottom w:val="single" w:sz="19" w:color="000000"/>
              <w:right w:val="single" w:sz="5" w:color="000000"/>
            </w:tcBorders>
            <w:textDirection w:val="lrTb"/>
            <w:vAlign w:val="center"/>
          </w:tcPr>
          <w:p>
            <w:pPr>
              <w:spacing w:before="71" w:after="58"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Continued Education</w:t>
            </w:r>
          </w:p>
        </w:tc>
      </w:tr>
    </w:tbl>
    <w:p>
      <w:pPr>
        <w:spacing w:before="0" w:after="28" w:line="20" w:lineRule="exact"/>
      </w:pPr>
    </w:p>
    <w:p>
      <w:pPr>
        <w:spacing w:before="0" w:after="4181" w:line="153"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NYSDOH Prevention Agenda 2025-2030</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13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6" coordsize="21600,21600" o:spt="202" path="m,l,21600r21600,l21600,xe">
            <v:stroke joinstyle="miter"/>
            <v:path gradientshapeok="t" o:connecttype="rect"/>
          </v:shapetype>
          <v:shape id="_x0000_s25" type="#_x0000_t26" filled="f" stroked="f" style="position:absolute;width:611.5pt;height:34.55pt;z-index:-1;margin-left:0pt;margin-top:84pt;mso-wrap-distance-top:22pt;mso-wrap-distance-bottom:18.85pt;mso-wrap-distance-left:0pt;mso-wrap-distance-right:0.5pt;mso-position-horizontal-relative:page;mso-position-vertical-relative:page">
            <w10:wrap type="square"/>
            <v:fill opacity="1" o:opacity2="1" recolor="f" rotate="f" type="solid"/>
            <v:textbox inset="0pt, 0pt, 0pt, 0pt">
              <w:txbxContent/>
            </v:textbox>
          </v:shape>
        </w:pict>
      </w:r>
      <w:r>
        <w:pict>
          <v:shapetype id="_x0000_t27" coordsize="21600,21600" o:spt="202" path="m,l,21600r21600,l21600,xe">
            <v:stroke joinstyle="miter"/>
            <v:path gradientshapeok="t" o:connecttype="rect"/>
          </v:shapetype>
          <v:shape id="_x0000_s26" type="#_x0000_t27"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612pt;height:154.9pt;z-index:1;margin-left:0pt;margin-top:137.4pt;mso-wrap-distance-left:0pt;mso-wrap-distance-right:0pt;mso-position-horizontal-relative:page;mso-position-vertical-relative:page">
            <w10:wrap anchorx="page" anchory="page"/>
            <v:fill opacity="1" o:opacity2="1" recolor="f" rotate="f" type="solid"/>
            <v:textbox inset="0pt, 0pt, 0pt, 0pt">
              <w:txbxContent>
                <w:p>
                  <w:pPr>
                    <w:spacing w:before="1"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CHA provides a comprehensive picture of a community’s current health status, including factors that contribute to health risks and challenges. It also identifies priority health needs by analyzing local data and community input.</w:t>
                  </w:r>
                </w:p>
                <w:p>
                  <w:pPr>
                    <w:spacing w:before="155"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eight counties in the Finger Lakes region of New York State represented in this CHA adopted the NACCHO MAPP 2.0 Framework for community improvement in developing this regional CHA. (Figure 2). This broad framework allowed the counties to work as one collective unit while also enabling them to customize the assessments to best suit the needs and abilities of their individual counties.</w:t>
                  </w:r>
                </w:p>
                <w:p>
                  <w:pPr>
                    <w:spacing w:before="493" w:after="226" w:line="179" w:lineRule="exact"/>
                    <w:ind w:right="0" w:left="180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 MAPP 2.0 Roadmap to Health Equity</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612pt;height:236.05pt;z-index:-1;margin-left:0pt;margin-top:292.3pt;mso-wrap-distance-left:0pt;mso-wrap-distance-right:0pt;mso-position-horizontal-relative:page;mso-position-vertical-relative:page">
            <w10:wrap type="square" side="both"/>
            <v:fill opacity="1" o:opacity2="1" recolor="f" rotate="f" type="solid"/>
            <v:textbox inset="0pt, 0pt, 0pt, 0pt">
              <w:txbxContent>
                <w:p>
                  <w:pPr>
                    <w:spacing w:before="0" w:after="132" w:line="240" w:lineRule="auto"/>
                    <w:ind w:right="1680" w:left="1795"/>
                    <w:jc w:val="left"/>
                    <w:textAlignment w:val="baseline"/>
                  </w:pPr>
                  <w:r>
                    <w:drawing>
                      <wp:inline>
                        <wp:extent cx="5565775" cy="2914015"/>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5565775" cy="2914015"/>
                                </a:xfrm>
                                <a:prstGeom prst="rect"/>
                              </pic:spPr>
                            </pic:pic>
                          </a:graphicData>
                        </a:graphic>
                      </wp:inline>
                    </w:drawing>
                  </w:r>
                </w:p>
              </w:txbxContent>
            </v:textbox>
          </v:shape>
        </w:pict>
      </w:r>
      <w:r>
        <w:pict>
          <v:shapetype id="_x0000_t30" coordsize="21600,21600" o:spt="202" path="m,l,21600r21600,l21600,xe">
            <v:stroke joinstyle="miter"/>
            <v:path gradientshapeok="t" o:connecttype="rect"/>
          </v:shapetype>
          <v:shape id="_x0000_s29" type="#_x0000_t30" filled="f" stroked="f" style="position:absolute;width:612pt;height:188.5pt;z-index:1;margin-left:0pt;margin-top:528.35pt;mso-wrap-distance-left:0pt;mso-wrap-distance-right:0pt;mso-position-horizontal-relative:page;mso-position-vertical-relative:page">
            <w10:wrap anchorx="page" anchory="page"/>
            <v:fill opacity="1" o:opacity2="1" recolor="f" rotate="f" type="solid"/>
            <v:textbox inset="0pt, 0pt, 0pt, 0pt">
              <w:txbxContent>
                <w:p>
                  <w:pPr>
                    <w:spacing w:before="20" w:after="3562" w:line="179"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NACCHO</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611.5pt;height:34.55pt;z-index:-1;margin-left:0pt;margin-top:8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766050" cy="438785"/>
                                </a:xfrm>
                                <a:prstGeom prst="rect"/>
                              </pic:spPr>
                            </pic:pic>
                          </a:graphicData>
                        </a:graphic>
                      </wp:inline>
                    </w:drawing>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237.8pt;height:16.25pt;z-index:-1;margin-left:190.1pt;margin-top:88.65pt;mso-wrap-distance-left:0pt;mso-wrap-distance-right:0pt;mso-position-horizontal-relative:page;mso-position-vertical-relative:page">
            <w10:wrap type="square" side="both"/>
            <v:fill opacity="1" o:opacity2="1" recolor="f" rotate="f" type="solid"/>
            <v:textbox inset="0pt, 0pt, 0pt, 0pt">
              <w:txbxContent>
                <w:p>
                  <w:pPr>
                    <w:spacing w:before="33" w:after="0" w:line="282" w:lineRule="exact"/>
                    <w:ind w:right="0" w:left="0" w:firstLine="0"/>
                    <w:jc w:val="center"/>
                    <w:textAlignment w:val="baseline"/>
                    <w:rPr>
                      <w:rFonts w:ascii="Calibri" w:hAnsi="Calibri" w:eastAsia="Calibri"/>
                      <w:b w:val="true"/>
                      <w:color w:val="FFFFFF"/>
                      <w:spacing w:val="-5"/>
                      <w:w w:val="100"/>
                      <w:sz w:val="28"/>
                      <w:vertAlign w:val="baseline"/>
                      <w:lang w:val="en-US"/>
                    </w:rPr>
                  </w:pPr>
                  <w:r>
                    <w:rPr>
                      <w:rFonts w:ascii="Calibri" w:hAnsi="Calibri" w:eastAsia="Calibri"/>
                      <w:b w:val="true"/>
                      <w:color w:val="FFFFFF"/>
                      <w:spacing w:val="-5"/>
                      <w:w w:val="100"/>
                      <w:sz w:val="28"/>
                      <w:vertAlign w:val="baseline"/>
                      <w:lang w:val="en-US"/>
                    </w:rPr>
                    <w:t xml:space="preserve">Data Method and Process (Methodology)</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14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1.5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4" coordsize="21600,21600" o:spt="202" path="m,l,21600r21600,l21600,xe">
            <v:stroke joinstyle="miter"/>
            <v:path gradientshapeok="t" o:connecttype="rect"/>
          </v:shapetype>
          <v:shape id="_x0000_s33" type="#_x0000_t34" filled="f" stroked="f" style="position:absolute;width:424.55pt;height:282.45pt;z-index:-1;margin-left:0pt;margin-top:84.7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5" coordsize="21600,21600" o:spt="202" path="m,l,21600r21600,l21600,xe">
            <v:stroke joinstyle="miter"/>
            <v:path gradientshapeok="t" o:connecttype="rect"/>
          </v:shapetype>
          <v:shape id="_x0000_s34" type="#_x0000_t35"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612pt;height:12.6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6"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process implemented by each county followed a three-phased approach noted in Figure 3.</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87.45pt;height:281.55pt;z-index:1;margin-left:424.55pt;margin-top:84.7pt;mso-wrap-distance-left:0pt;mso-wrap-distance-right:0pt;mso-position-horizontal-relative:page;mso-position-vertical-relative:page">
            <w10:wrap anchorx="page" anchory="page"/>
            <v:fill opacity="1" o:opacity2="1" recolor="f" rotate="f" type="solid"/>
            <v:textbox inset="0pt, 0pt, 0pt, 0pt">
              <w:txbxContent>
                <w:p>
                  <w:pPr>
                    <w:spacing w:before="161" w:after="0" w:line="291" w:lineRule="exact"/>
                    <w:ind w:right="2016" w:left="0" w:firstLine="0"/>
                    <w:jc w:val="left"/>
                    <w:textAlignment w:val="baseline"/>
                    <w:rPr>
                      <w:rFonts w:ascii="Calibri" w:hAnsi="Calibri" w:eastAsia="Calibri"/>
                      <w:b w:val="true"/>
                      <w:i w:val="true"/>
                      <w:color w:val="000000"/>
                      <w:spacing w:val="-7"/>
                      <w:w w:val="100"/>
                      <w:sz w:val="23"/>
                      <w:vertAlign w:val="baseline"/>
                      <w:lang w:val="en-US"/>
                    </w:rPr>
                  </w:pPr>
                  <w:r>
                    <w:rPr>
                      <w:rFonts w:ascii="Calibri" w:hAnsi="Calibri" w:eastAsia="Calibri"/>
                      <w:b w:val="true"/>
                      <w:i w:val="true"/>
                      <w:color w:val="000000"/>
                      <w:spacing w:val="-7"/>
                      <w:w w:val="100"/>
                      <w:sz w:val="23"/>
                      <w:vertAlign w:val="baseline"/>
                      <w:lang w:val="en-US"/>
                    </w:rPr>
                    <w:t xml:space="preserve">Phase 1</w:t>
                  </w:r>
                  <w:r>
                    <w:rPr>
                      <w:rFonts w:ascii="Calibri" w:hAnsi="Calibri" w:eastAsia="Calibri"/>
                      <w:b w:val="true"/>
                      <w:color w:val="000000"/>
                      <w:spacing w:val="-7"/>
                      <w:w w:val="100"/>
                      <w:sz w:val="22"/>
                      <w:vertAlign w:val="baseline"/>
                      <w:lang w:val="en-US"/>
                    </w:rPr>
                    <w:t xml:space="preserve">: </w:t>
                  </w:r>
                  <w:r>
                    <w:rPr>
                      <w:rFonts w:ascii="Calibri" w:hAnsi="Calibri" w:eastAsia="Calibri"/>
                      <w:b w:val="true"/>
                      <w:i w:val="true"/>
                      <w:color w:val="000000"/>
                      <w:spacing w:val="-7"/>
                      <w:w w:val="100"/>
                      <w:sz w:val="23"/>
                      <w:vertAlign w:val="baseline"/>
                      <w:lang w:val="en-US"/>
                    </w:rPr>
                    <w:t xml:space="preserve">Build the </w:t>
                  </w:r>
                  <w:r>
                    <w:rPr>
                      <w:rFonts w:ascii="Calibri" w:hAnsi="Calibri" w:eastAsia="Calibri"/>
                      <w:b w:val="true"/>
                      <w:i w:val="true"/>
                      <w:color w:val="000000"/>
                      <w:spacing w:val="-7"/>
                      <w:w w:val="100"/>
                      <w:sz w:val="23"/>
                      <w:vertAlign w:val="baseline"/>
                      <w:lang w:val="en-US"/>
                    </w:rPr>
                    <w:t xml:space="preserve">Community Health </w:t>
                  </w:r>
                  <w:r>
                    <w:rPr>
                      <w:rFonts w:ascii="Calibri" w:hAnsi="Calibri" w:eastAsia="Calibri"/>
                      <w:b w:val="true"/>
                      <w:i w:val="true"/>
                      <w:color w:val="000000"/>
                      <w:spacing w:val="-7"/>
                      <w:w w:val="100"/>
                      <w:sz w:val="23"/>
                      <w:vertAlign w:val="baseline"/>
                      <w:lang w:val="en-US"/>
                    </w:rPr>
                    <w:t xml:space="preserve">Improvement </w:t>
                  </w:r>
                  <w:r>
                    <w:rPr>
                      <w:rFonts w:ascii="Calibri" w:hAnsi="Calibri" w:eastAsia="Calibri"/>
                      <w:b w:val="true"/>
                      <w:i w:val="true"/>
                      <w:color w:val="000000"/>
                      <w:spacing w:val="-7"/>
                      <w:w w:val="100"/>
                      <w:sz w:val="23"/>
                      <w:vertAlign w:val="baseline"/>
                      <w:lang w:val="en-US"/>
                    </w:rPr>
                    <w:t xml:space="preserve">Foundation.</w:t>
                  </w:r>
                </w:p>
                <w:p>
                  <w:pPr>
                    <w:spacing w:before="163" w:after="0" w:line="289" w:lineRule="exact"/>
                    <w:ind w:right="1512"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This phase focuses on </w:t>
                  </w:r>
                  <w:r>
                    <w:rPr>
                      <w:rFonts w:ascii="Calibri" w:hAnsi="Calibri" w:eastAsia="Calibri"/>
                      <w:color w:val="000000"/>
                      <w:spacing w:val="-2"/>
                      <w:w w:val="100"/>
                      <w:sz w:val="22"/>
                      <w:vertAlign w:val="baseline"/>
                      <w:lang w:val="en-US"/>
                    </w:rPr>
                    <w:t xml:space="preserve">creating the leadership, </w:t>
                  </w:r>
                  <w:r>
                    <w:rPr>
                      <w:rFonts w:ascii="Calibri" w:hAnsi="Calibri" w:eastAsia="Calibri"/>
                      <w:color w:val="000000"/>
                      <w:spacing w:val="-2"/>
                      <w:w w:val="100"/>
                      <w:sz w:val="22"/>
                      <w:vertAlign w:val="baseline"/>
                      <w:lang w:val="en-US"/>
                    </w:rPr>
                    <w:t xml:space="preserve">partnerships, and shared </w:t>
                  </w:r>
                  <w:r>
                    <w:rPr>
                      <w:rFonts w:ascii="Calibri" w:hAnsi="Calibri" w:eastAsia="Calibri"/>
                      <w:color w:val="000000"/>
                      <w:spacing w:val="-2"/>
                      <w:w w:val="100"/>
                      <w:sz w:val="22"/>
                      <w:vertAlign w:val="baseline"/>
                      <w:lang w:val="en-US"/>
                    </w:rPr>
                    <w:t xml:space="preserve">commitment necessary </w:t>
                  </w:r>
                  <w:r>
                    <w:rPr>
                      <w:rFonts w:ascii="Calibri" w:hAnsi="Calibri" w:eastAsia="Calibri"/>
                      <w:color w:val="000000"/>
                      <w:spacing w:val="-2"/>
                      <w:w w:val="100"/>
                      <w:sz w:val="22"/>
                      <w:vertAlign w:val="baseline"/>
                      <w:lang w:val="en-US"/>
                    </w:rPr>
                    <w:t xml:space="preserve">to guide the MAPP </w:t>
                  </w:r>
                  <w:r>
                    <w:rPr>
                      <w:rFonts w:ascii="Calibri" w:hAnsi="Calibri" w:eastAsia="Calibri"/>
                      <w:color w:val="000000"/>
                      <w:spacing w:val="-2"/>
                      <w:w w:val="100"/>
                      <w:sz w:val="22"/>
                      <w:vertAlign w:val="baseline"/>
                      <w:lang w:val="en-US"/>
                    </w:rPr>
                    <w:t xml:space="preserve">process. It involves </w:t>
                  </w:r>
                  <w:r>
                    <w:rPr>
                      <w:rFonts w:ascii="Calibri" w:hAnsi="Calibri" w:eastAsia="Calibri"/>
                      <w:color w:val="000000"/>
                      <w:spacing w:val="-2"/>
                      <w:w w:val="100"/>
                      <w:sz w:val="22"/>
                      <w:vertAlign w:val="baseline"/>
                      <w:lang w:val="en-US"/>
                    </w:rPr>
                    <w:t xml:space="preserve">forming or strengthening </w:t>
                  </w:r>
                  <w:r>
                    <w:rPr>
                      <w:rFonts w:ascii="Calibri" w:hAnsi="Calibri" w:eastAsia="Calibri"/>
                      <w:color w:val="000000"/>
                      <w:spacing w:val="-2"/>
                      <w:w w:val="100"/>
                      <w:sz w:val="22"/>
                      <w:vertAlign w:val="baseline"/>
                      <w:lang w:val="en-US"/>
                    </w:rPr>
                    <w:t xml:space="preserve">a community health </w:t>
                  </w:r>
                  <w:r>
                    <w:rPr>
                      <w:rFonts w:ascii="Calibri" w:hAnsi="Calibri" w:eastAsia="Calibri"/>
                      <w:color w:val="000000"/>
                      <w:spacing w:val="-2"/>
                      <w:w w:val="100"/>
                      <w:sz w:val="22"/>
                      <w:vertAlign w:val="baseline"/>
                      <w:lang w:val="en-US"/>
                    </w:rPr>
                    <w:t xml:space="preserve">coalition, establishing </w:t>
                  </w:r>
                  <w:r>
                    <w:rPr>
                      <w:rFonts w:ascii="Calibri" w:hAnsi="Calibri" w:eastAsia="Calibri"/>
                      <w:color w:val="000000"/>
                      <w:spacing w:val="-2"/>
                      <w:w w:val="100"/>
                      <w:sz w:val="22"/>
                      <w:vertAlign w:val="baseline"/>
                      <w:lang w:val="en-US"/>
                    </w:rPr>
                    <w:t xml:space="preserve">clear roles and </w:t>
                  </w:r>
                  <w:r>
                    <w:rPr>
                      <w:rFonts w:ascii="Calibri" w:hAnsi="Calibri" w:eastAsia="Calibri"/>
                      <w:color w:val="000000"/>
                      <w:spacing w:val="-2"/>
                      <w:w w:val="100"/>
                      <w:sz w:val="22"/>
                      <w:vertAlign w:val="baseline"/>
                      <w:lang w:val="en-US"/>
                    </w:rPr>
                    <w:t xml:space="preserve">responsibilities, and </w:t>
                  </w:r>
                  <w:r>
                    <w:rPr>
                      <w:rFonts w:ascii="Calibri" w:hAnsi="Calibri" w:eastAsia="Calibri"/>
                      <w:color w:val="000000"/>
                      <w:spacing w:val="-2"/>
                      <w:w w:val="100"/>
                      <w:sz w:val="22"/>
                      <w:vertAlign w:val="baseline"/>
                      <w:lang w:val="en-US"/>
                    </w:rPr>
                    <w:t xml:space="preserve">developing a shared </w:t>
                  </w:r>
                  <w:r>
                    <w:rPr>
                      <w:rFonts w:ascii="Calibri" w:hAnsi="Calibri" w:eastAsia="Calibri"/>
                      <w:color w:val="000000"/>
                      <w:spacing w:val="-2"/>
                      <w:w w:val="100"/>
                      <w:sz w:val="22"/>
                      <w:vertAlign w:val="baseline"/>
                      <w:lang w:val="en-US"/>
                    </w:rPr>
                    <w:t xml:space="preserve">vision for a healthier </w:t>
                  </w:r>
                  <w:r>
                    <w:rPr>
                      <w:rFonts w:ascii="Calibri" w:hAnsi="Calibri" w:eastAsia="Calibri"/>
                      <w:color w:val="000000"/>
                      <w:spacing w:val="-2"/>
                      <w:w w:val="100"/>
                      <w:sz w:val="22"/>
                      <w:vertAlign w:val="baseline"/>
                      <w:lang w:val="en-US"/>
                    </w:rPr>
                    <w:t xml:space="preserve">community. During this</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612pt;height:330.05pt;z-index:1;margin-left:0pt;margin-top:366.25pt;mso-wrap-distance-left:0pt;mso-wrap-distance-right:0pt;mso-position-horizontal-relative:page;mso-position-vertical-relative:page">
            <w10:wrap anchorx="page" anchory="page"/>
            <v:fill opacity="1" o:opacity2="1" recolor="f" rotate="f" type="solid"/>
            <v:textbox inset="0pt, 0pt, 0pt, 0pt">
              <w:txbxContent>
                <w:p>
                  <w:pPr>
                    <w:spacing w:before="5"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step, partners build trust, set expectations, and ensure that diverse voices are represented, including</w:t>
                  </w:r>
                </w:p>
                <w:p>
                  <w:pPr>
                    <w:spacing w:before="66"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residents, community organizations, health systems, and local government.</w:t>
                  </w:r>
                </w:p>
                <w:p>
                  <w:pPr>
                    <w:spacing w:before="230" w:after="0" w:line="245" w:lineRule="exact"/>
                    <w:ind w:right="0" w:left="1440" w:firstLine="0"/>
                    <w:jc w:val="left"/>
                    <w:textAlignment w:val="baseline"/>
                    <w:rPr>
                      <w:rFonts w:ascii="Calibri" w:hAnsi="Calibri" w:eastAsia="Calibri"/>
                      <w:b w:val="true"/>
                      <w:i w:val="true"/>
                      <w:color w:val="000000"/>
                      <w:spacing w:val="0"/>
                      <w:w w:val="100"/>
                      <w:sz w:val="24"/>
                      <w:vertAlign w:val="baseline"/>
                      <w:lang w:val="en-US"/>
                    </w:rPr>
                  </w:pPr>
                  <w:r>
                    <w:rPr>
                      <w:rFonts w:ascii="Calibri" w:hAnsi="Calibri" w:eastAsia="Calibri"/>
                      <w:b w:val="true"/>
                      <w:i w:val="true"/>
                      <w:color w:val="000000"/>
                      <w:spacing w:val="0"/>
                      <w:w w:val="100"/>
                      <w:sz w:val="24"/>
                      <w:vertAlign w:val="baseline"/>
                      <w:lang w:val="en-US"/>
                    </w:rPr>
                    <w:t xml:space="preserve">Phase 2: Tell the Community Story</w:t>
                  </w:r>
                </w:p>
                <w:p>
                  <w:pPr>
                    <w:spacing w:before="6"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This phase focuses on gathering and analyzing data to create a comprehensive picture of the </w:t>
                  </w:r>
                  <w:r>
                    <w:rPr>
                      <w:rFonts w:ascii="Calibri" w:hAnsi="Calibri" w:eastAsia="Calibri"/>
                      <w:color w:val="000000"/>
                      <w:spacing w:val="0"/>
                      <w:w w:val="100"/>
                      <w:sz w:val="22"/>
                      <w:vertAlign w:val="baseline"/>
                      <w:lang w:val="en-US"/>
                    </w:rPr>
                    <w:t xml:space="preserve">community’s health using three coordinated assessments: the Community Partner Assessment (CPA), </w:t>
                  </w:r>
                  <w:r>
                    <w:rPr>
                      <w:rFonts w:ascii="Calibri" w:hAnsi="Calibri" w:eastAsia="Calibri"/>
                      <w:color w:val="000000"/>
                      <w:spacing w:val="0"/>
                      <w:w w:val="100"/>
                      <w:sz w:val="22"/>
                      <w:vertAlign w:val="baseline"/>
                      <w:lang w:val="en-US"/>
                    </w:rPr>
                    <w:t xml:space="preserve">Community Status Assessment (CSA), and Community Context Assessment (CCA). Together, these tools </w:t>
                  </w:r>
                  <w:r>
                    <w:rPr>
                      <w:rFonts w:ascii="Calibri" w:hAnsi="Calibri" w:eastAsia="Calibri"/>
                      <w:color w:val="000000"/>
                      <w:spacing w:val="0"/>
                      <w:w w:val="100"/>
                      <w:sz w:val="22"/>
                      <w:vertAlign w:val="baseline"/>
                      <w:lang w:val="en-US"/>
                    </w:rPr>
                    <w:t xml:space="preserve">integrate quantitative data with qualitative input from residents and stakeholders to identify key health </w:t>
                  </w:r>
                  <w:r>
                    <w:rPr>
                      <w:rFonts w:ascii="Calibri" w:hAnsi="Calibri" w:eastAsia="Calibri"/>
                      <w:color w:val="000000"/>
                      <w:spacing w:val="0"/>
                      <w:w w:val="100"/>
                      <w:sz w:val="22"/>
                      <w:vertAlign w:val="baseline"/>
                      <w:lang w:val="en-US"/>
                    </w:rPr>
                    <w:t xml:space="preserve">issues, strengths, and challenges, aligned with the Prevention Agenda social determinants of health </w:t>
                  </w:r>
                  <w:r>
                    <w:rPr>
                      <w:rFonts w:ascii="Calibri" w:hAnsi="Calibri" w:eastAsia="Calibri"/>
                      <w:color w:val="000000"/>
                      <w:spacing w:val="0"/>
                      <w:w w:val="100"/>
                      <w:sz w:val="22"/>
                      <w:vertAlign w:val="baseline"/>
                      <w:lang w:val="en-US"/>
                    </w:rPr>
                    <w:t xml:space="preserve">domains and equity goals. Partners gain a shared understanding of health needs, disparities, and </w:t>
                  </w:r>
                  <w:r>
                    <w:rPr>
                      <w:rFonts w:ascii="Calibri" w:hAnsi="Calibri" w:eastAsia="Calibri"/>
                      <w:color w:val="000000"/>
                      <w:spacing w:val="0"/>
                      <w:w w:val="100"/>
                      <w:sz w:val="22"/>
                      <w:vertAlign w:val="baseline"/>
                      <w:lang w:val="en-US"/>
                    </w:rPr>
                    <w:t xml:space="preserve">resources, which provides the evidence base for setting priorities and developing strategies for </w:t>
                  </w:r>
                  <w:r>
                    <w:rPr>
                      <w:rFonts w:ascii="Calibri" w:hAnsi="Calibri" w:eastAsia="Calibri"/>
                      <w:color w:val="000000"/>
                      <w:spacing w:val="0"/>
                      <w:w w:val="100"/>
                      <w:sz w:val="22"/>
                      <w:vertAlign w:val="baseline"/>
                      <w:lang w:val="en-US"/>
                    </w:rPr>
                    <w:t xml:space="preserve">improvement.</w:t>
                  </w:r>
                </w:p>
                <w:p>
                  <w:pPr>
                    <w:spacing w:before="230" w:after="0" w:line="226"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Community Partner Assessment (CPA)</w:t>
                  </w:r>
                </w:p>
                <w:p>
                  <w:pPr>
                    <w:spacing w:before="0"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CPA helps community organizations examine both their own internal processes and abilities, as well </w:t>
                  </w:r>
                  <w:r>
                    <w:rPr>
                      <w:rFonts w:ascii="Calibri" w:hAnsi="Calibri" w:eastAsia="Calibri"/>
                      <w:color w:val="000000"/>
                      <w:spacing w:val="0"/>
                      <w:w w:val="100"/>
                      <w:sz w:val="22"/>
                      <w:vertAlign w:val="baseline"/>
                      <w:lang w:val="en-US"/>
                    </w:rPr>
                    <w:t xml:space="preserve">as their shared capacity as a community network to tackle health inequities. It is designed to guide </w:t>
                  </w:r>
                  <w:r>
                    <w:rPr>
                      <w:rFonts w:ascii="Calibri" w:hAnsi="Calibri" w:eastAsia="Calibri"/>
                      <w:color w:val="000000"/>
                      <w:spacing w:val="0"/>
                      <w:w w:val="100"/>
                      <w:sz w:val="22"/>
                      <w:vertAlign w:val="baseline"/>
                      <w:lang w:val="en-US"/>
                    </w:rPr>
                    <w:t xml:space="preserve">partners in determining what actions are needed to address inequities at the individual, system, and </w:t>
                  </w:r>
                  <w:r>
                    <w:rPr>
                      <w:rFonts w:ascii="Calibri" w:hAnsi="Calibri" w:eastAsia="Calibri"/>
                      <w:color w:val="000000"/>
                      <w:spacing w:val="0"/>
                      <w:w w:val="100"/>
                      <w:sz w:val="22"/>
                      <w:vertAlign w:val="baseline"/>
                      <w:lang w:val="en-US"/>
                    </w:rPr>
                    <w:t xml:space="preserve">structural levels. The CPA is intended to address the following questions:</w:t>
                  </w:r>
                </w:p>
                <w:p>
                  <w:pPr>
                    <w:numPr>
                      <w:ilvl w:val="0"/>
                      <w:numId w:val="2"/>
                    </w:numPr>
                    <w:tabs>
                      <w:tab w:val="clear" w:pos="360"/>
                      <w:tab w:val="left" w:pos="2160"/>
                    </w:tabs>
                    <w:spacing w:before="176" w:after="0" w:line="289" w:lineRule="exact"/>
                    <w:ind w:right="1512"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are the capabilities, skills and strengths each participating organization possesses that will </w:t>
                  </w:r>
                  <w:r>
                    <w:rPr>
                      <w:rFonts w:ascii="Calibri" w:hAnsi="Calibri" w:eastAsia="Calibri"/>
                      <w:color w:val="000000"/>
                      <w:spacing w:val="0"/>
                      <w:w w:val="100"/>
                      <w:sz w:val="22"/>
                      <w:vertAlign w:val="baseline"/>
                      <w:lang w:val="en-US"/>
                    </w:rPr>
                    <w:t xml:space="preserve">contribute to improving community health and advancing MAPP goals?</w:t>
                  </w:r>
                </w:p>
                <w:p>
                  <w:pPr>
                    <w:numPr>
                      <w:ilvl w:val="0"/>
                      <w:numId w:val="2"/>
                    </w:numPr>
                    <w:tabs>
                      <w:tab w:val="clear" w:pos="360"/>
                      <w:tab w:val="left" w:pos="2160"/>
                    </w:tabs>
                    <w:spacing w:before="67" w:after="662" w:line="235"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Who is currently involved in the MAPP process? Who else needs to be involved?</w:t>
                  </w:r>
                  <w:r>
                    <w:rPr>
                      <w:rFonts w:ascii="Calibri" w:hAnsi="Calibri" w:eastAsia="Calibri"/>
                      <w:color w:val="000000"/>
                      <w:spacing w:val="0"/>
                      <w:w w:val="100"/>
                      <w:sz w:val="22"/>
                      <w:vertAlign w:val="superscript"/>
                      <w:lang w:val="en-US"/>
                    </w:rPr>
                    <w:t xml:space="preserve">1</w:t>
                  </w:r>
                  <w:r>
                    <w:rPr>
                      <w:rFonts w:ascii="Calibri" w:hAnsi="Calibri" w:eastAsia="Calibri"/>
                      <w:color w:val="000000"/>
                      <w:spacing w:val="0"/>
                      <w:w w:val="100"/>
                      <w:sz w:val="13"/>
                      <w:vertAlign w:val="baseline"/>
                      <w:lang w:val="en-US"/>
                    </w:rPr>
                    <w:t xml:space="preserve">
</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612pt;height:20.55pt;z-index:1;margin-left:0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5" w:after="58"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w:t>
                  </w:r>
                  <w:r>
                    <w:rPr>
                      <w:rFonts w:ascii="Calibri" w:hAnsi="Calibri" w:eastAsia="Calibri"/>
                      <w:color w:val="000000"/>
                      <w:spacing w:val="0"/>
                      <w:w w:val="100"/>
                      <w:sz w:val="20"/>
                      <w:vertAlign w:val="baseline"/>
                      <w:lang w:val="en-US"/>
                    </w:rPr>
                    <w:t xml:space="preserve"> NACCHO Community Partner Assessment Tool, </w:t>
                  </w:r>
                  <w:hyperlink r:id="dhId1">
                    <w:r>
                      <w:rPr>
                        <w:rFonts w:ascii="Calibri" w:hAnsi="Calibri" w:eastAsia="Calibri"/>
                        <w:color w:val="0000FF"/>
                        <w:spacing w:val="0"/>
                        <w:w w:val="100"/>
                        <w:sz w:val="20"/>
                        <w:u w:val="single"/>
                        <w:vertAlign w:val="baseline"/>
                        <w:lang w:val="en-US"/>
                      </w:rPr>
                      <w:t xml:space="preserve">www.naccho.org</w:t>
                    </w:r>
                  </w:hyperlink>
                  <w:r>
                    <w:rPr>
                      <w:rFonts w:ascii="Calibri" w:hAnsi="Calibri" w:eastAsia="Calibri"/>
                      <w:color w:val="000000"/>
                      <w:spacing w:val="0"/>
                      <w:w w:val="100"/>
                      <w:sz w:val="20"/>
                      <w:vertAlign w:val="baseline"/>
                      <w:lang w:val="en-US"/>
                    </w:rPr>
                    <w:t xml:space="preserve">
</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324pt;height:51.4pt;z-index:-1;margin-left:77.05pt;margin-top:84.7pt;mso-wrap-distance-left:0pt;mso-wrap-distance-right:0pt;mso-position-horizontal-relative:page;mso-position-vertical-relative:page">
            <w10:wrap type="square" side="both"/>
            <v:fill opacity="1" o:opacity2="1" recolor="f" rotate="f" type="solid"/>
            <v:textbox inset="0pt, 0pt, 0pt, 0pt">
              <w:txbxContent>
                <w:p>
                  <w:pPr>
                    <w:spacing w:before="387" w:after="460" w:line="180" w:lineRule="exact"/>
                    <w:ind w:right="0" w:left="1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3 MAPP 2.0 phases</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324pt;height:203.35pt;z-index:-1;margin-left:77.05pt;margin-top:136.1pt;mso-wrap-distance-left:0pt;mso-wrap-distance-right:0pt;mso-position-horizontal-relative:page;mso-position-vertical-relative:page">
            <w10:wrap type="square" side="both"/>
            <v:fill opacity="1" o:opacity2="1" recolor="f" rotate="f" type="solid"/>
            <v:textbox inset="0pt, 0pt, 0pt, 0pt">
              <w:txbxContent>
                <w:p>
                  <w:pPr>
                    <w:spacing w:before="0" w:after="491" w:line="240" w:lineRule="auto"/>
                    <w:ind w:right="0" w:left="379"/>
                    <w:jc w:val="left"/>
                    <w:textAlignment w:val="baseline"/>
                  </w:pPr>
                  <w:r>
                    <w:drawing>
                      <wp:inline>
                        <wp:extent cx="3874135" cy="227076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3874135" cy="2270760"/>
                                </a:xfrm>
                                <a:prstGeom prst="rect"/>
                              </pic:spPr>
                            </pic:pic>
                          </a:graphicData>
                        </a:graphic>
                      </wp:inline>
                    </w:drawing>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324pt;height:26.8pt;z-index:-1;margin-left:77.05pt;margin-top:339.45pt;mso-wrap-distance-left:0pt;mso-wrap-distance-right:0pt;mso-position-horizontal-relative:page;mso-position-vertical-relative:page">
            <w10:wrap type="square" side="both"/>
            <v:fill opacity="1" o:opacity2="1" recolor="f" rotate="f" type="solid"/>
            <v:textbox inset="0pt, 0pt, 0pt, 0pt">
              <w:txbxContent>
                <w:p>
                  <w:pPr>
                    <w:spacing w:before="20" w:after="326"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NACCHO</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15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9" w:lineRule="exact"/>
        <w:ind w:right="1656"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Each county developed and administered a survey and/or convened focus groups as part of its CPA. Details of the survey development and distribution and focus group administration for each county are noted in the specific county section of this CHA. Responses were then organized qualitatively and quantitatively in an effort to identify strengths, weaknesses, opportunities, and threats as identified by respondents.</w:t>
      </w:r>
    </w:p>
    <w:p>
      <w:pPr>
        <w:spacing w:before="230" w:after="0" w:line="226"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Community Status Assessment (CSA)</w:t>
      </w:r>
    </w:p>
    <w:p>
      <w:pPr>
        <w:spacing w:before="156"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CSA provides quantitative information about the community, such as population characteristics, health conditions, and disparities. Its purpose is to help communities understand inequities that go beyond individual behaviors or health outcomes, including how these issues connect to social determinants of health and broader systems of power and privilege. Ultimately, the CSA is a community-centered effort intended to capture and convey the community’s narrative. The CSA is intended to address the following questions:</w:t>
      </w:r>
    </w:p>
    <w:p>
      <w:pPr>
        <w:numPr>
          <w:ilvl w:val="0"/>
          <w:numId w:val="2"/>
        </w:numPr>
        <w:tabs>
          <w:tab w:val="clear" w:pos="360"/>
          <w:tab w:val="left" w:pos="2160"/>
        </w:tabs>
        <w:spacing w:before="169" w:after="0" w:line="290" w:lineRule="exact"/>
        <w:ind w:right="2376"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does the status of the community look like, including key health, socioeconomic, environmental, and quality-of-life outcomes?</w:t>
      </w:r>
    </w:p>
    <w:p>
      <w:pPr>
        <w:numPr>
          <w:ilvl w:val="0"/>
          <w:numId w:val="2"/>
        </w:numPr>
        <w:tabs>
          <w:tab w:val="clear" w:pos="360"/>
          <w:tab w:val="left" w:pos="2160"/>
        </w:tabs>
        <w:spacing w:before="11" w:after="0" w:line="290" w:lineRule="exact"/>
        <w:ind w:right="1512" w:left="2160" w:hanging="360"/>
        <w:jc w:val="both"/>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populations are experiencing inequities across health, socioeconomic, environmental, and quality-of-life outcomes?</w:t>
      </w:r>
    </w:p>
    <w:p>
      <w:pPr>
        <w:numPr>
          <w:ilvl w:val="0"/>
          <w:numId w:val="2"/>
        </w:numPr>
        <w:tabs>
          <w:tab w:val="clear" w:pos="360"/>
          <w:tab w:val="left" w:pos="2160"/>
        </w:tabs>
        <w:spacing w:before="66" w:after="0" w:line="236" w:lineRule="exact"/>
        <w:ind w:right="0" w:left="2160" w:hanging="360"/>
        <w:jc w:val="both"/>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How do systems influence outcomes?</w:t>
      </w:r>
      <w:r>
        <w:rPr>
          <w:rFonts w:ascii="Calibri" w:hAnsi="Calibri" w:eastAsia="Calibri"/>
          <w:color w:val="000000"/>
          <w:spacing w:val="-1"/>
          <w:w w:val="100"/>
          <w:sz w:val="22"/>
          <w:vertAlign w:val="superscript"/>
          <w:lang w:val="en-US"/>
        </w:rPr>
        <w:t xml:space="preserve">2</w:t>
      </w:r>
      <w:r>
        <w:rPr>
          <w:rFonts w:ascii="Calibri" w:hAnsi="Calibri" w:eastAsia="Calibri"/>
          <w:color w:val="000000"/>
          <w:spacing w:val="-1"/>
          <w:w w:val="100"/>
          <w:sz w:val="14"/>
          <w:vertAlign w:val="baseline"/>
          <w:lang w:val="en-US"/>
        </w:rPr>
        <w:t xml:space="preserve">
</w:t>
      </w:r>
    </w:p>
    <w:p>
      <w:pPr>
        <w:spacing w:before="158" w:after="0" w:line="290" w:lineRule="exact"/>
        <w:ind w:right="223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Data for each county was collected and compiled using Clear Impact performance management software. Data sources included:</w:t>
      </w:r>
    </w:p>
    <w:p>
      <w:pPr>
        <w:numPr>
          <w:ilvl w:val="0"/>
          <w:numId w:val="2"/>
        </w:numPr>
        <w:tabs>
          <w:tab w:val="clear" w:pos="360"/>
          <w:tab w:val="left" w:pos="2160"/>
        </w:tabs>
        <w:spacing w:before="175" w:after="0" w:line="290" w:lineRule="exact"/>
        <w:ind w:right="2232"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United States Census Bureau</w:t>
      </w:r>
      <w:r>
        <w:rPr>
          <w:rFonts w:ascii="Calibri" w:hAnsi="Calibri" w:eastAsia="Calibri"/>
          <w:color w:val="467885"/>
          <w:spacing w:val="0"/>
          <w:w w:val="100"/>
          <w:sz w:val="22"/>
          <w:vertAlign w:val="baseline"/>
          <w:lang w:val="en-US"/>
        </w:rPr>
        <w:t xml:space="preserve"> </w:t>
      </w:r>
      <w:hyperlink r:id="dhId2">
        <w:r>
          <w:rPr>
            <w:rFonts w:ascii="Calibri" w:hAnsi="Calibri" w:eastAsia="Calibri"/>
            <w:color w:val="0000FF"/>
            <w:spacing w:val="0"/>
            <w:w w:val="100"/>
            <w:sz w:val="22"/>
            <w:u w:val="single"/>
            <w:vertAlign w:val="baseline"/>
            <w:lang w:val="en-US"/>
          </w:rPr>
          <w:t xml:space="preserve">(</w:t>
        </w:r>
      </w:hyperlink>
      <w:hyperlink r:id="dhId2">
        <w:r>
          <w:rPr>
            <w:rFonts w:ascii="Calibri" w:hAnsi="Calibri" w:eastAsia="Calibri"/>
            <w:color w:val="0000FF"/>
            <w:spacing w:val="0"/>
            <w:w w:val="100"/>
            <w:sz w:val="22"/>
            <w:u w:val="single"/>
            <w:vertAlign w:val="baseline"/>
            <w:lang w:val="en-US"/>
          </w:rPr>
          <w:t xml:space="preserve">census.gov</w:t>
        </w:r>
      </w:hyperlink>
      <w:hyperlink r:id="dhId2">
        <w:r>
          <w:rPr>
            <w:rFonts w:ascii="Calibri" w:hAnsi="Calibri" w:eastAsia="Calibri"/>
            <w:color w:val="0000FF"/>
            <w:spacing w:val="0"/>
            <w:w w:val="100"/>
            <w:sz w:val="22"/>
            <w:u w:val="single"/>
            <w:vertAlign w:val="baseline"/>
            <w:lang w:val="en-US"/>
          </w:rPr>
          <w:t xml:space="preserve">)</w:t>
        </w:r>
      </w:hyperlink>
      <w:r>
        <w:rPr>
          <w:rFonts w:ascii="Calibri" w:hAnsi="Calibri" w:eastAsia="Calibri"/>
          <w:color w:val="000000"/>
          <w:spacing w:val="0"/>
          <w:w w:val="100"/>
          <w:sz w:val="22"/>
          <w:vertAlign w:val="baseline"/>
          <w:lang w:val="en-US"/>
        </w:rPr>
        <w:t xml:space="preserve"> and the American Community Survey (5-year estimates)</w:t>
      </w:r>
    </w:p>
    <w:p>
      <w:pPr>
        <w:numPr>
          <w:ilvl w:val="0"/>
          <w:numId w:val="2"/>
        </w:numPr>
        <w:tabs>
          <w:tab w:val="clear" w:pos="360"/>
          <w:tab w:val="left" w:pos="2160"/>
        </w:tabs>
        <w:spacing w:before="69" w:after="0" w:line="233" w:lineRule="exact"/>
        <w:ind w:right="0" w:left="2160" w:hanging="36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New York State Prevention Agenda Dashboard</w:t>
      </w:r>
    </w:p>
    <w:p>
      <w:pPr>
        <w:numPr>
          <w:ilvl w:val="0"/>
          <w:numId w:val="2"/>
        </w:numPr>
        <w:tabs>
          <w:tab w:val="clear" w:pos="360"/>
          <w:tab w:val="left" w:pos="2160"/>
        </w:tabs>
        <w:spacing w:before="64"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New York State Community Health Indicator Dashboard</w:t>
      </w:r>
    </w:p>
    <w:p>
      <w:pPr>
        <w:numPr>
          <w:ilvl w:val="0"/>
          <w:numId w:val="2"/>
        </w:numPr>
        <w:tabs>
          <w:tab w:val="clear" w:pos="360"/>
          <w:tab w:val="left" w:pos="2160"/>
        </w:tabs>
        <w:spacing w:before="69"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County Health Rankings</w:t>
      </w:r>
    </w:p>
    <w:p>
      <w:pPr>
        <w:numPr>
          <w:ilvl w:val="0"/>
          <w:numId w:val="2"/>
        </w:numPr>
        <w:tabs>
          <w:tab w:val="clear" w:pos="360"/>
          <w:tab w:val="left" w:pos="2160"/>
        </w:tabs>
        <w:spacing w:before="69"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Centers for Disease Control and Prevention (CDC)</w:t>
      </w:r>
    </w:p>
    <w:p>
      <w:pPr>
        <w:numPr>
          <w:ilvl w:val="0"/>
          <w:numId w:val="2"/>
        </w:numPr>
        <w:tabs>
          <w:tab w:val="clear" w:pos="360"/>
          <w:tab w:val="left" w:pos="2160"/>
        </w:tabs>
        <w:spacing w:before="69"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Behavioral Risk Factor Surveillance System</w:t>
      </w:r>
    </w:p>
    <w:p>
      <w:pPr>
        <w:numPr>
          <w:ilvl w:val="0"/>
          <w:numId w:val="2"/>
        </w:numPr>
        <w:tabs>
          <w:tab w:val="clear" w:pos="360"/>
          <w:tab w:val="left" w:pos="2160"/>
        </w:tabs>
        <w:spacing w:before="64"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NYSDOH Vital Records (Vital Statistics); New York State Department of Health</w:t>
      </w:r>
    </w:p>
    <w:p>
      <w:pPr>
        <w:numPr>
          <w:ilvl w:val="0"/>
          <w:numId w:val="2"/>
        </w:numPr>
        <w:tabs>
          <w:tab w:val="clear" w:pos="360"/>
          <w:tab w:val="left" w:pos="2160"/>
        </w:tabs>
        <w:spacing w:before="73"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New York State’s Statewide Planning and Research Cooperative System (SPARCS)</w:t>
      </w:r>
    </w:p>
    <w:p>
      <w:pPr>
        <w:numPr>
          <w:ilvl w:val="0"/>
          <w:numId w:val="2"/>
        </w:numPr>
        <w:tabs>
          <w:tab w:val="clear" w:pos="360"/>
          <w:tab w:val="left" w:pos="2160"/>
        </w:tabs>
        <w:spacing w:before="64"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Graduation Rate Data, 4-year outcomes; New York State Education Department (NYSED)</w:t>
      </w:r>
    </w:p>
    <w:p>
      <w:pPr>
        <w:numPr>
          <w:ilvl w:val="0"/>
          <w:numId w:val="2"/>
        </w:numPr>
        <w:tabs>
          <w:tab w:val="clear" w:pos="360"/>
          <w:tab w:val="left" w:pos="2160"/>
        </w:tabs>
        <w:spacing w:before="69"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NYS Perinatal Data Profile; Statewide Perinatal Data System</w:t>
      </w:r>
    </w:p>
    <w:p>
      <w:pPr>
        <w:numPr>
          <w:ilvl w:val="0"/>
          <w:numId w:val="2"/>
        </w:numPr>
        <w:tabs>
          <w:tab w:val="clear" w:pos="360"/>
          <w:tab w:val="left" w:pos="2160"/>
        </w:tabs>
        <w:spacing w:before="69"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People 2020; US Dept of Health and Human Services</w:t>
      </w:r>
    </w:p>
    <w:p>
      <w:pPr>
        <w:numPr>
          <w:ilvl w:val="0"/>
          <w:numId w:val="2"/>
        </w:numPr>
        <w:tabs>
          <w:tab w:val="clear" w:pos="360"/>
          <w:tab w:val="left" w:pos="2160"/>
        </w:tabs>
        <w:spacing w:before="69" w:after="0" w:line="234"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Environmental Protection Agency (EPA) Office of Community Revitalization</w:t>
      </w:r>
    </w:p>
    <w:p>
      <w:pPr>
        <w:numPr>
          <w:ilvl w:val="0"/>
          <w:numId w:val="2"/>
        </w:numPr>
        <w:tabs>
          <w:tab w:val="clear" w:pos="360"/>
          <w:tab w:val="left" w:pos="2160"/>
        </w:tabs>
        <w:spacing w:before="69"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Neighborhood Atlas | Center for Health Disparities Research</w:t>
      </w:r>
    </w:p>
    <w:p>
      <w:pPr>
        <w:numPr>
          <w:ilvl w:val="0"/>
          <w:numId w:val="2"/>
        </w:numPr>
        <w:tabs>
          <w:tab w:val="clear" w:pos="360"/>
          <w:tab w:val="left" w:pos="2160"/>
        </w:tabs>
        <w:spacing w:before="10" w:after="0" w:line="290" w:lineRule="exact"/>
        <w:ind w:right="144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area unemployment Statistics (LAUS); U.S. Bureau of Labor Statistics, Office of Employment and Unemployment Statistics</w:t>
      </w:r>
    </w:p>
    <w:p>
      <w:pPr>
        <w:numPr>
          <w:ilvl w:val="0"/>
          <w:numId w:val="2"/>
        </w:numPr>
        <w:tabs>
          <w:tab w:val="clear" w:pos="360"/>
          <w:tab w:val="left" w:pos="2160"/>
        </w:tabs>
        <w:spacing w:before="65" w:after="0" w:line="233" w:lineRule="exact"/>
        <w:ind w:right="0"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Evalumetrics Youth Survey (EYS) Reports</w:t>
      </w:r>
    </w:p>
    <w:p>
      <w:pPr>
        <w:numPr>
          <w:ilvl w:val="0"/>
          <w:numId w:val="2"/>
        </w:numPr>
        <w:tabs>
          <w:tab w:val="clear" w:pos="360"/>
          <w:tab w:val="left" w:pos="2160"/>
        </w:tabs>
        <w:spacing w:before="14" w:after="246" w:line="290" w:lineRule="exact"/>
        <w:ind w:right="1656" w:left="2160" w:hanging="360"/>
        <w:jc w:val="both"/>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Wilmot Cancer Institute, Cancer in Focus State Cancer Profiles; National Vital Statistics System | SEER</w:t>
      </w:r>
    </w:p>
    <w:p>
      <w:pPr>
        <w:spacing w:before="144" w:after="302" w:line="199" w:lineRule="exact"/>
        <w:ind w:right="0" w:left="1440" w:firstLine="0"/>
        <w:jc w:val="left"/>
        <w:textAlignment w:val="baseline"/>
        <w:rPr>
          <w:rFonts w:ascii="Calibri" w:hAnsi="Calibri" w:eastAsia="Calibri"/>
          <w:color w:val="000000"/>
          <w:spacing w:val="3"/>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3"/>
          <w:w w:val="100"/>
          <w:sz w:val="13"/>
          <w:vertAlign w:val="superscript"/>
          <w:lang w:val="en-US"/>
        </w:rPr>
        <w:t xml:space="preserve">2</w:t>
      </w:r>
      <w:r>
        <w:rPr>
          <w:rFonts w:ascii="Calibri" w:hAnsi="Calibri" w:eastAsia="Calibri"/>
          <w:color w:val="000000"/>
          <w:spacing w:val="3"/>
          <w:w w:val="100"/>
          <w:sz w:val="19"/>
          <w:vertAlign w:val="baseline"/>
          <w:lang w:val="en-US"/>
        </w:rPr>
        <w:t xml:space="preserve"> NACCHO Community Status Assessment Tool, </w:t>
      </w:r>
      <w:hyperlink r:id="dhId3">
        <w:r>
          <w:rPr>
            <w:rFonts w:ascii="Calibri" w:hAnsi="Calibri" w:eastAsia="Calibri"/>
            <w:color w:val="0000FF"/>
            <w:spacing w:val="3"/>
            <w:w w:val="100"/>
            <w:sz w:val="19"/>
            <w:u w:val="single"/>
            <w:vertAlign w:val="baseline"/>
            <w:lang w:val="en-US"/>
          </w:rPr>
          <w:t xml:space="preserve">www.naccho.org</w:t>
        </w:r>
      </w:hyperlink>
      <w:r>
        <w:rPr>
          <w:rFonts w:ascii="Calibri" w:hAnsi="Calibri" w:eastAsia="Calibri"/>
          <w:color w:val="000000"/>
          <w:spacing w:val="3"/>
          <w:w w:val="100"/>
          <w:sz w:val="19"/>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16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numPr>
          <w:ilvl w:val="0"/>
          <w:numId w:val="2"/>
        </w:numPr>
        <w:tabs>
          <w:tab w:val="clear" w:pos="360"/>
          <w:tab w:val="left" w:pos="2160"/>
        </w:tabs>
        <w:spacing w:before="140" w:after="0" w:line="233" w:lineRule="exact"/>
        <w:ind w:right="0" w:left="1800" w:firstLine="0"/>
        <w:jc w:val="left"/>
        <w:textAlignment w:val="baseline"/>
        <w:rPr>
          <w:rFonts w:ascii="Calibri" w:hAnsi="Calibri" w:eastAsia="Calibri"/>
          <w:color w:val="000000"/>
          <w:spacing w:val="0"/>
          <w:w w:val="100"/>
          <w:sz w:val="22"/>
          <w:vertAlign w:val="baseline"/>
          <w:lang w:val="en-US"/>
        </w:rPr>
      </w:pPr>
      <w:r>
        <w:pict>
          <v:line strokeweight="1.7pt" strokecolor="#145F82" from="0pt,-3.4pt" to="612.05pt,-3.4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NYSIIS Performance Report; New York State Immunization Information System</w:t>
      </w:r>
    </w:p>
    <w:p>
      <w:pPr>
        <w:numPr>
          <w:ilvl w:val="0"/>
          <w:numId w:val="2"/>
        </w:numPr>
        <w:tabs>
          <w:tab w:val="clear" w:pos="360"/>
          <w:tab w:val="left" w:pos="2160"/>
        </w:tabs>
        <w:spacing w:before="69"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Immunization Action Plan (IAP) Baseline Reports</w:t>
      </w:r>
    </w:p>
    <w:p>
      <w:pPr>
        <w:spacing w:before="229" w:after="0" w:line="227"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Community Context Assessment (CCA)</w:t>
      </w:r>
    </w:p>
    <w:p>
      <w:pPr>
        <w:spacing w:before="157"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Community Context Assessment is a qualitative and quantitative tool used to assess a community’s strengths, weaknesses, assets, and challenges specific to each community. It is based on three areas: Community Strengths and Assets, Built Environment, and Forces of Change. The MAPP 2.0 Framework CCA guiding questions were developed collaboratively by participating health departments to ensure continuity in data collection and analysis. Each county had the option of adding additional questions, but all counties asked the following seven questions:</w:t>
      </w:r>
    </w:p>
    <w:p>
      <w:pPr>
        <w:numPr>
          <w:ilvl w:val="0"/>
          <w:numId w:val="12"/>
        </w:numPr>
        <w:tabs>
          <w:tab w:val="clear" w:pos="360"/>
          <w:tab w:val="left" w:pos="1800"/>
        </w:tabs>
        <w:spacing w:before="230" w:after="0" w:line="221" w:lineRule="exact"/>
        <w:ind w:right="0"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Which health issues have the biggest impact on you and/or your community?</w:t>
      </w:r>
    </w:p>
    <w:p>
      <w:pPr>
        <w:numPr>
          <w:ilvl w:val="0"/>
          <w:numId w:val="12"/>
        </w:numPr>
        <w:tabs>
          <w:tab w:val="clear" w:pos="360"/>
          <w:tab w:val="left" w:pos="1800"/>
        </w:tabs>
        <w:spacing w:before="3" w:after="0" w:line="289" w:lineRule="exact"/>
        <w:ind w:right="2088"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does our community have that helps everyone, no matter their income, background, or language, have a fair chance to be healthy and feel welcome?</w:t>
      </w:r>
    </w:p>
    <w:p>
      <w:pPr>
        <w:numPr>
          <w:ilvl w:val="0"/>
          <w:numId w:val="12"/>
        </w:numPr>
        <w:tabs>
          <w:tab w:val="clear" w:pos="360"/>
          <w:tab w:val="left" w:pos="1800"/>
        </w:tabs>
        <w:spacing w:before="2" w:after="0" w:line="289" w:lineRule="exact"/>
        <w:ind w:right="1728"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How do the streets, buildings, and sidewalks in different parts of our community help support the health of people, especially those with low incomes, people of color, limited English speakers, people with different genders or sexual orientations, or those with disabilities?</w:t>
      </w:r>
    </w:p>
    <w:p>
      <w:pPr>
        <w:numPr>
          <w:ilvl w:val="0"/>
          <w:numId w:val="12"/>
        </w:numPr>
        <w:tabs>
          <w:tab w:val="clear" w:pos="360"/>
          <w:tab w:val="left" w:pos="1800"/>
        </w:tabs>
        <w:spacing w:before="66" w:after="0" w:line="222" w:lineRule="exact"/>
        <w:ind w:right="0"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Where in our community is it easier or harder to be healthy, and why?</w:t>
      </w:r>
    </w:p>
    <w:p>
      <w:pPr>
        <w:numPr>
          <w:ilvl w:val="0"/>
          <w:numId w:val="12"/>
        </w:numPr>
        <w:tabs>
          <w:tab w:val="clear" w:pos="360"/>
          <w:tab w:val="left" w:pos="1800"/>
        </w:tabs>
        <w:spacing w:before="71" w:after="0" w:line="221" w:lineRule="exact"/>
        <w:ind w:right="0"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has occurred recently that may affect the health of our community?</w:t>
      </w:r>
    </w:p>
    <w:p>
      <w:pPr>
        <w:numPr>
          <w:ilvl w:val="0"/>
          <w:numId w:val="12"/>
        </w:numPr>
        <w:tabs>
          <w:tab w:val="clear" w:pos="360"/>
          <w:tab w:val="left" w:pos="1800"/>
        </w:tabs>
        <w:spacing w:before="67" w:after="0" w:line="221" w:lineRule="exact"/>
        <w:ind w:right="0"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What may occur in the future?</w:t>
      </w:r>
    </w:p>
    <w:p>
      <w:pPr>
        <w:numPr>
          <w:ilvl w:val="0"/>
          <w:numId w:val="12"/>
        </w:numPr>
        <w:tabs>
          <w:tab w:val="clear" w:pos="360"/>
          <w:tab w:val="left" w:pos="1800"/>
        </w:tabs>
        <w:spacing w:before="65" w:after="0" w:line="223" w:lineRule="exact"/>
        <w:ind w:right="0" w:left="180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Based on the above – do these things affect some groups more than others?</w:t>
      </w:r>
      <w:r>
        <w:rPr>
          <w:rFonts w:ascii="Calibri" w:hAnsi="Calibri" w:eastAsia="Calibri"/>
          <w:color w:val="000000"/>
          <w:spacing w:val="0"/>
          <w:w w:val="100"/>
          <w:sz w:val="22"/>
          <w:vertAlign w:val="superscript"/>
          <w:lang w:val="en-US"/>
        </w:rPr>
        <w:t xml:space="preserve">3</w:t>
      </w:r>
      <w:r>
        <w:rPr>
          <w:rFonts w:ascii="Calibri" w:hAnsi="Calibri" w:eastAsia="Calibri"/>
          <w:color w:val="000000"/>
          <w:spacing w:val="0"/>
          <w:w w:val="100"/>
          <w:sz w:val="13"/>
          <w:vertAlign w:val="baseline"/>
          <w:lang w:val="en-US"/>
        </w:rPr>
        <w:t xml:space="preserve">
</w:t>
      </w:r>
    </w:p>
    <w:p>
      <w:pPr>
        <w:spacing w:before="164"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Data collected during the Community Context Assessments added residents’ voices and care was taken to engage often underrepresented populations, including migrant farm workers, members of the LGBTQ community, males, and low-income individuals. Data enhanced understanding of the unique needs of each community and aided in establishing the priority areas chosen by each county.</w:t>
      </w:r>
    </w:p>
    <w:p>
      <w:pPr>
        <w:spacing w:before="160" w:after="4216" w:line="289" w:lineRule="exact"/>
        <w:ind w:right="237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For a description of each county’s activities during the CCA, see county-specific chapters in the document.</w:t>
      </w:r>
    </w:p>
    <w:p>
      <w:pPr>
        <w:spacing w:before="160" w:after="4216" w:line="289" w:lineRule="exact"/>
        <w:sectPr>
          <w:type w:val="nextPage"/>
          <w:pgSz w:w="12240" w:h="15840" w:orient="portrait"/>
          <w:pgMar w:bottom="604" w:top="720" w:right="0" w:left="0" w:header="720" w:footer="720"/>
          <w:titlePg w:val="false"/>
          <w:textDirection w:val="lrTb"/>
        </w:sectPr>
      </w:pPr>
    </w:p>
    <w:p>
      <w:pPr>
        <w:spacing w:before="143" w:after="302" w:line="200" w:lineRule="exact"/>
        <w:ind w:right="0" w:left="0" w:firstLine="0"/>
        <w:jc w:val="left"/>
        <w:textAlignment w:val="baseline"/>
        <w:rPr>
          <w:rFonts w:ascii="Calibri" w:hAnsi="Calibri" w:eastAsia="Calibri"/>
          <w:color w:val="000000"/>
          <w:spacing w:val="-2"/>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2"/>
          <w:w w:val="100"/>
          <w:sz w:val="13"/>
          <w:vertAlign w:val="superscript"/>
          <w:lang w:val="en-US"/>
        </w:rPr>
        <w:t xml:space="preserve">3</w:t>
      </w:r>
      <w:r>
        <w:rPr>
          <w:rFonts w:ascii="Calibri" w:hAnsi="Calibri" w:eastAsia="Calibri"/>
          <w:color w:val="000000"/>
          <w:spacing w:val="-2"/>
          <w:w w:val="100"/>
          <w:sz w:val="20"/>
          <w:vertAlign w:val="baseline"/>
          <w:lang w:val="en-US"/>
        </w:rPr>
        <w:t xml:space="preserve"> NACCHO Community Context Assessment Tool, </w:t>
      </w:r>
      <w:hyperlink r:id="dhId4">
        <w:r>
          <w:rPr>
            <w:rFonts w:ascii="Calibri" w:hAnsi="Calibri" w:eastAsia="Calibri"/>
            <w:color w:val="0000FF"/>
            <w:spacing w:val="-2"/>
            <w:w w:val="100"/>
            <w:sz w:val="20"/>
            <w:u w:val="single"/>
            <w:vertAlign w:val="baseline"/>
            <w:lang w:val="en-US"/>
          </w:rPr>
          <w:t xml:space="preserve">www.naccho.org</w:t>
        </w:r>
      </w:hyperlink>
      <w:r>
        <w:rPr>
          <w:rFonts w:ascii="Calibri" w:hAnsi="Calibri" w:eastAsia="Calibri"/>
          <w:color w:val="000000"/>
          <w:spacing w:val="-2"/>
          <w:w w:val="100"/>
          <w:sz w:val="20"/>
          <w:vertAlign w:val="baseline"/>
          <w:lang w:val="en-US"/>
        </w:rPr>
        <w:t xml:space="preserve">
</w:t>
      </w:r>
    </w:p>
    <w:p>
      <w:pPr>
        <w:spacing w:before="143" w:after="302" w:line="200" w:lineRule="exact"/>
        <w:sectPr>
          <w:type w:val="continuous"/>
          <w:pgSz w:w="12240" w:h="15840" w:orient="portrait"/>
          <w:pgMar w:bottom="604" w:top="720" w:right="5400" w:left="1440" w:header="720" w:footer="720"/>
          <w:titlePg w:val="false"/>
          <w:textDirection w:val="lrTb"/>
        </w:sectPr>
      </w:pP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9pt" strokecolor="#145F82" from="0pt,1pt" to="612.05pt,1pt" style="position:absolute;mso-position-horizontal-relative:text;mso-position-vertical-relative:text;">
            <v:stroke dashstyle="solid"/>
          </v:line>
        </w:pict>
      </w:r>
    </w:p>
    <w:p>
      <w:pPr>
        <w:sectPr>
          <w:type w:val="continuous"/>
          <w:pgSz w:w="12240" w:h="15840" w:orient="portrait"/>
          <w:pgMar w:bottom="604" w:top="720" w:right="0" w:left="0" w:header="720" w:footer="720"/>
          <w:titlePg w:val="false"/>
          <w:textDirection w:val="lrTb"/>
        </w:sectPr>
      </w:pP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17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25" w:after="0" w:line="229" w:lineRule="exact"/>
        <w:ind w:right="0" w:left="1440" w:firstLine="0"/>
        <w:jc w:val="left"/>
        <w:textAlignment w:val="baseline"/>
        <w:rPr>
          <w:rFonts w:ascii="Calibri" w:hAnsi="Calibri" w:eastAsia="Calibri"/>
          <w:b w:val="true"/>
          <w:color w:val="000000"/>
          <w:spacing w:val="-6"/>
          <w:w w:val="100"/>
          <w:sz w:val="23"/>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000000"/>
          <w:spacing w:val="-6"/>
          <w:w w:val="100"/>
          <w:sz w:val="23"/>
          <w:vertAlign w:val="baseline"/>
          <w:lang w:val="en-US"/>
        </w:rPr>
        <w:t xml:space="preserve">Data Triangulation</w:t>
      </w:r>
    </w:p>
    <w:p>
      <w:pPr>
        <w:spacing w:before="155" w:after="0" w:line="290" w:lineRule="exact"/>
        <w:ind w:right="201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Counties collaborated with Pivital, Common Ground Health, and their county-specific partners and stakeholders to complete the CPA, CSA and CCA.</w:t>
      </w:r>
    </w:p>
    <w:p>
      <w:pPr>
        <w:spacing w:before="168" w:after="0" w:line="283" w:lineRule="exact"/>
        <w:ind w:right="223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After each county completed the three assessments, Pivital triangulated the data to develop and propose cross-cuffing themes for each county (Figure 4).</w:t>
      </w:r>
    </w:p>
    <w:p>
      <w:pPr>
        <w:spacing w:before="368" w:after="192" w:line="179"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4 Data Triangulation Process</w:t>
      </w:r>
    </w:p>
    <w:p>
      <w:pPr>
        <w:spacing w:before="0" w:after="237" w:line="240" w:lineRule="auto"/>
        <w:ind w:right="1642" w:left="1498"/>
        <w:jc w:val="left"/>
        <w:textAlignment w:val="baseline"/>
      </w:pPr>
      <w:r>
        <w:drawing>
          <wp:inline>
            <wp:extent cx="5778500" cy="2874010"/>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5778500" cy="2874010"/>
                    </a:xfrm>
                    <a:prstGeom prst="rect"/>
                  </pic:spPr>
                </pic:pic>
              </a:graphicData>
            </a:graphic>
          </wp:inline>
        </w:drawing>
      </w:r>
    </w:p>
    <w:p>
      <w:pPr>
        <w:spacing w:before="20" w:after="356" w:line="179"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NACCHO</w:t>
      </w:r>
    </w:p>
    <w:p>
      <w:pPr>
        <w:spacing w:before="52" w:after="0" w:line="20" w:lineRule="exact"/>
      </w:pPr>
    </w:p>
    <w:tbl>
      <w:tblPr>
        <w:jc w:val="left"/>
        <w:tblLayout w:type="fixed"/>
        <w:tblCellMar>
          <w:left w:w="0" w:type="dxa"/>
          <w:right w:w="0" w:type="dxa"/>
        </w:tblCellMar>
      </w:tblPr>
      <w:tblGrid>
        <w:gridCol w:w="5794"/>
        <w:gridCol w:w="6446"/>
      </w:tblGrid>
      <w:tr>
        <w:trPr>
          <w:trHeight w:val="3715" w:hRule="exact"/>
        </w:trPr>
        <w:tc>
          <w:tcPr>
            <w:tcW w:w="5794" w:type="dxa"/>
            <w:tcBorders>
              <w:top w:val="none"/>
              <w:left w:val="none"/>
              <w:bottom w:val="none"/>
              <w:right w:val="none"/>
            </w:tcBorders>
            <w:textDirection w:val="lrTb"/>
            <w:vAlign w:val="top"/>
          </w:tcPr>
          <w:p>
            <w:pPr>
              <w:spacing w:before="0" w:after="14" w:line="284" w:lineRule="exact"/>
              <w:ind w:right="324" w:left="1440" w:firstLine="0"/>
              <w:jc w:val="left"/>
              <w:textAlignment w:val="baseline"/>
              <w:rPr>
                <w:rFonts w:ascii="Calibri" w:hAnsi="Calibri" w:eastAsia="Calibri"/>
                <w:color w:val="0E2841"/>
                <w:spacing w:val="-3"/>
                <w:w w:val="100"/>
                <w:sz w:val="22"/>
                <w:vertAlign w:val="baseline"/>
                <w:lang w:val="en-US"/>
              </w:rPr>
            </w:pPr>
            <w:r>
              <w:rPr>
                <w:rFonts w:ascii="Calibri" w:hAnsi="Calibri" w:eastAsia="Calibri"/>
                <w:color w:val="0E2841"/>
                <w:spacing w:val="-3"/>
                <w:w w:val="100"/>
                <w:sz w:val="22"/>
                <w:vertAlign w:val="baseline"/>
                <w:lang w:val="en-US"/>
              </w:rPr>
              <w:t xml:space="preserve">After data was triangulated, counties</w:t>
            </w:r>
            <w:r>
              <w:rPr>
                <w:rFonts w:ascii="Calibri" w:hAnsi="Calibri" w:eastAsia="Calibri"/>
                <w:color w:val="000000"/>
                <w:spacing w:val="-3"/>
                <w:w w:val="100"/>
                <w:sz w:val="22"/>
                <w:vertAlign w:val="baseline"/>
                <w:lang w:val="en-US"/>
              </w:rPr>
              <w:t xml:space="preserve"> used Fishbone Diagrams to examine the cause and effect of each identified community issue – Figure 5. Using the </w:t>
            </w:r>
            <w:r>
              <w:rPr>
                <w:rFonts w:ascii="Calibri" w:hAnsi="Calibri" w:eastAsia="Calibri"/>
                <w:i w:val="true"/>
                <w:color w:val="000000"/>
                <w:spacing w:val="-3"/>
                <w:w w:val="100"/>
                <w:sz w:val="22"/>
                <w:vertAlign w:val="baseline"/>
                <w:lang w:val="en-US"/>
              </w:rPr>
              <w:t xml:space="preserve">Five Whys </w:t>
            </w:r>
            <w:r>
              <w:rPr>
                <w:rFonts w:ascii="Calibri" w:hAnsi="Calibri" w:eastAsia="Calibri"/>
                <w:color w:val="000000"/>
                <w:spacing w:val="-3"/>
                <w:w w:val="100"/>
                <w:sz w:val="22"/>
                <w:vertAlign w:val="baseline"/>
                <w:lang w:val="en-US"/>
              </w:rPr>
              <w:t xml:space="preserve">- identifying an issue and asking “why” at least five times to get to the root cause - counties were able to narrow the list of priorities and identify upstream root causes on which to focus. Each county then reviewed findings with their stakeholders and community partners and conducted a Health Assessment Prioritization using a prioritization matrix to rank each theme based on five criteria:</w:t>
            </w:r>
          </w:p>
        </w:tc>
        <w:tc>
          <w:tcPr>
            <w:tcW w:w="6446" w:type="dxa"/>
            <w:tcBorders>
              <w:top w:val="none"/>
              <w:left w:val="none"/>
              <w:bottom w:val="none"/>
              <w:right w:val="none"/>
            </w:tcBorders>
            <w:textDirection w:val="lrTb"/>
            <w:vAlign w:val="top"/>
          </w:tcPr>
          <w:p>
            <w:pPr>
              <w:spacing w:before="31" w:after="17" w:line="240" w:lineRule="auto"/>
              <w:ind w:right="547" w:left="0"/>
              <w:jc w:val="left"/>
              <w:textAlignment w:val="baseline"/>
            </w:pPr>
            <w:r>
              <w:drawing>
                <wp:inline>
                  <wp:extent cx="3745865" cy="2264410"/>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3745865" cy="2264410"/>
                          </a:xfrm>
                          <a:prstGeom prst="rect"/>
                        </pic:spPr>
                      </pic:pic>
                    </a:graphicData>
                  </a:graphic>
                </wp:inline>
              </w:drawing>
            </w:r>
          </w:p>
        </w:tc>
      </w:tr>
    </w:tbl>
    <w:p>
      <w:pPr>
        <w:spacing w:before="0" w:after="124" w:line="20" w:lineRule="exact"/>
      </w:pPr>
    </w:p>
    <w:p>
      <w:pPr>
        <w:numPr>
          <w:ilvl w:val="0"/>
          <w:numId w:val="13"/>
        </w:numPr>
        <w:tabs>
          <w:tab w:val="clear" w:pos="432"/>
          <w:tab w:val="left" w:pos="2232"/>
        </w:tabs>
        <w:spacing w:before="69" w:after="0" w:line="221" w:lineRule="exact"/>
        <w:ind w:right="0" w:left="180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Relevance of the issue to community members.</w:t>
      </w:r>
    </w:p>
    <w:p>
      <w:pPr>
        <w:numPr>
          <w:ilvl w:val="0"/>
          <w:numId w:val="13"/>
        </w:numPr>
        <w:tabs>
          <w:tab w:val="clear" w:pos="432"/>
          <w:tab w:val="left" w:pos="2232"/>
        </w:tabs>
        <w:spacing w:before="67" w:after="0" w:line="221" w:lineRule="exact"/>
        <w:ind w:right="0" w:left="180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Magnitude/severity of the issue.</w:t>
      </w:r>
    </w:p>
    <w:p>
      <w:pPr>
        <w:numPr>
          <w:ilvl w:val="0"/>
          <w:numId w:val="13"/>
        </w:numPr>
        <w:tabs>
          <w:tab w:val="clear" w:pos="432"/>
          <w:tab w:val="left" w:pos="2232"/>
        </w:tabs>
        <w:spacing w:before="72" w:after="293" w:line="221" w:lineRule="exact"/>
        <w:ind w:right="0" w:left="180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Impact of the issue on communities impacted by inequities.</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18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numPr>
          <w:ilvl w:val="0"/>
          <w:numId w:val="13"/>
        </w:numPr>
        <w:tabs>
          <w:tab w:val="clear" w:pos="360"/>
          <w:tab w:val="left" w:pos="2160"/>
        </w:tabs>
        <w:spacing w:before="68" w:after="0" w:line="222" w:lineRule="exact"/>
        <w:ind w:right="0" w:left="180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Availability and feasibility of solutions and strategies to address the issue.</w:t>
      </w:r>
    </w:p>
    <w:p>
      <w:pPr>
        <w:numPr>
          <w:ilvl w:val="0"/>
          <w:numId w:val="13"/>
        </w:numPr>
        <w:tabs>
          <w:tab w:val="clear" w:pos="360"/>
          <w:tab w:val="left" w:pos="2160"/>
        </w:tabs>
        <w:spacing w:before="66" w:after="0" w:line="222"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Availability of resources (time, funding, staffing, equipment) to address the issue.</w:t>
      </w:r>
    </w:p>
    <w:p>
      <w:pPr>
        <w:spacing w:before="229"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Each county then identified at least three Prevention Agenda Priorities to address in its CHIP.</w:t>
      </w:r>
    </w:p>
    <w:p>
      <w:pPr>
        <w:spacing w:before="230" w:after="0" w:line="245" w:lineRule="exact"/>
        <w:ind w:right="0" w:left="1440" w:firstLine="0"/>
        <w:jc w:val="left"/>
        <w:textAlignment w:val="baseline"/>
        <w:rPr>
          <w:rFonts w:ascii="Calibri" w:hAnsi="Calibri" w:eastAsia="Calibri"/>
          <w:b w:val="true"/>
          <w:i w:val="true"/>
          <w:color w:val="000000"/>
          <w:spacing w:val="0"/>
          <w:w w:val="100"/>
          <w:sz w:val="24"/>
          <w:vertAlign w:val="baseline"/>
          <w:lang w:val="en-US"/>
        </w:rPr>
      </w:pPr>
      <w:r>
        <w:rPr>
          <w:rFonts w:ascii="Calibri" w:hAnsi="Calibri" w:eastAsia="Calibri"/>
          <w:b w:val="true"/>
          <w:i w:val="true"/>
          <w:color w:val="000000"/>
          <w:spacing w:val="0"/>
          <w:w w:val="100"/>
          <w:sz w:val="24"/>
          <w:vertAlign w:val="baseline"/>
          <w:lang w:val="en-US"/>
        </w:rPr>
        <w:t xml:space="preserve">Phase 3: Continuously Improve the Community</w:t>
      </w:r>
    </w:p>
    <w:p>
      <w:pPr>
        <w:spacing w:before="0" w:after="0" w:line="289"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This phase focuses on using assessment findings and selected priorities to develop, implement, and monitor a Community Health Improvement Plan (CHIP). This phase emphasizes ongoing collaboration, use of evidence</w:t>
      </w:r>
      <w:r>
        <w:rPr>
          <w:rFonts w:ascii="Verdana" w:hAnsi="Verdana" w:eastAsia="Verdana"/>
          <w:color w:val="000000"/>
          <w:spacing w:val="1"/>
          <w:w w:val="100"/>
          <w:sz w:val="16"/>
          <w:vertAlign w:val="baseline"/>
          <w:lang w:val="en-US"/>
        </w:rPr>
        <w:t xml:space="preserve">-</w:t>
      </w:r>
      <w:r>
        <w:rPr>
          <w:rFonts w:ascii="Calibri" w:hAnsi="Calibri" w:eastAsia="Calibri"/>
          <w:color w:val="000000"/>
          <w:spacing w:val="1"/>
          <w:w w:val="100"/>
          <w:sz w:val="22"/>
          <w:vertAlign w:val="baseline"/>
          <w:lang w:val="en-US"/>
        </w:rPr>
        <w:t xml:space="preserve">based strategies, and continuous quality improvement to advance health equity and strengthen community conditions over time. After the selection of focused Prevention Agenda priorities to be included in the CHIP, local health departments and community partners will identify evidence</w:t>
      </w:r>
      <w:r>
        <w:rPr>
          <w:rFonts w:ascii="Verdana" w:hAnsi="Verdana" w:eastAsia="Verdana"/>
          <w:color w:val="000000"/>
          <w:spacing w:val="1"/>
          <w:w w:val="100"/>
          <w:sz w:val="16"/>
          <w:vertAlign w:val="baseline"/>
          <w:lang w:val="en-US"/>
        </w:rPr>
        <w:t xml:space="preserve">-</w:t>
      </w:r>
      <w:r>
        <w:rPr>
          <w:rFonts w:ascii="Calibri" w:hAnsi="Calibri" w:eastAsia="Calibri"/>
          <w:color w:val="000000"/>
          <w:spacing w:val="1"/>
          <w:w w:val="100"/>
          <w:sz w:val="22"/>
          <w:vertAlign w:val="baseline"/>
          <w:lang w:val="en-US"/>
        </w:rPr>
        <w:t xml:space="preserve">based and promising practices that address the root causes and key drivers of each priority area. Local county committees will then select strategies that are realistic and feasible for implementation, taking into account local capacity, existing and potential partners, and available resources. Following the selection of strategies, partners will identify clear performance measures and selected Prevention Agenda objectives to monitor implementation, track progress, and assess impact over time, supporting a continuous quality improvement approach to community health.</w:t>
      </w:r>
    </w:p>
    <w:p>
      <w:pPr>
        <w:spacing w:before="225" w:after="0" w:line="226" w:lineRule="exact"/>
        <w:ind w:right="0" w:left="1440" w:firstLine="0"/>
        <w:jc w:val="left"/>
        <w:textAlignment w:val="baseline"/>
        <w:rPr>
          <w:rFonts w:ascii="Calibri" w:hAnsi="Calibri" w:eastAsia="Calibri"/>
          <w:b w:val="true"/>
          <w:color w:val="000000"/>
          <w:spacing w:val="-1"/>
          <w:w w:val="100"/>
          <w:sz w:val="22"/>
          <w:vertAlign w:val="baseline"/>
          <w:lang w:val="en-US"/>
        </w:rPr>
      </w:pPr>
      <w:r>
        <w:rPr>
          <w:rFonts w:ascii="Calibri" w:hAnsi="Calibri" w:eastAsia="Calibri"/>
          <w:b w:val="true"/>
          <w:color w:val="000000"/>
          <w:spacing w:val="-1"/>
          <w:w w:val="100"/>
          <w:sz w:val="22"/>
          <w:vertAlign w:val="baseline"/>
          <w:lang w:val="en-US"/>
        </w:rPr>
        <w:t xml:space="preserve">Partner Engagement</w:t>
      </w:r>
    </w:p>
    <w:p>
      <w:pPr>
        <w:spacing w:before="157" w:after="0" w:line="290"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Community partners played a key role throughout the CHA and during the development of the CHIP. Each partner completed the Community Partner Assessment (CPA), providing valuable organizational data and insights. They also helped identify and engage community members and organizations for focus groups as part of the Community Context Assessment (CCA), ensuring diverse perspectives were included.</w:t>
      </w:r>
    </w:p>
    <w:p>
      <w:pPr>
        <w:spacing w:before="161" w:after="0" w:line="290"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Throughout the process, each county’s stakeholders and partners participated in regular meetings where findings from all three assessments were presented. These sessions encouraged questions, feedback, and shared interpretation of the data. These work groups collaboratively reviewed and discussed the triangulated results, allowing partners to validate findings and contribute to identifying key themes.</w:t>
      </w:r>
    </w:p>
    <w:p>
      <w:pPr>
        <w:spacing w:before="160"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Finally, partners participated in the prioritization process, ensuring that shared priorities reflected both data and community voice.</w:t>
      </w:r>
    </w:p>
    <w:p>
      <w:pPr>
        <w:spacing w:before="229" w:after="0" w:line="227"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Regional Access to Care Report</w:t>
      </w:r>
    </w:p>
    <w:p>
      <w:pPr>
        <w:spacing w:before="154" w:after="83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addition to the MAPP 2.0 Framework process, Pivital Public Health Partnership, in collaboration with the eight local health departments, administered the</w:t>
      </w:r>
      <w:hyperlink r:id="dhId5">
        <w:r>
          <w:rPr>
            <w:rFonts w:ascii="Calibri" w:hAnsi="Calibri" w:eastAsia="Calibri"/>
            <w:color w:val="0000FF"/>
            <w:spacing w:val="0"/>
            <w:w w:val="100"/>
            <w:sz w:val="22"/>
            <w:u w:val="single"/>
            <w:vertAlign w:val="baseline"/>
            <w:lang w:val="en-US"/>
          </w:rPr>
          <w:t xml:space="preserve"> Access to Care Survey</w:t>
        </w:r>
      </w:hyperlink>
      <w:hyperlink r:id="dhId5">
        <w:r>
          <w:rPr>
            <w:rFonts w:ascii="Calibri" w:hAnsi="Calibri" w:eastAsia="Calibri"/>
            <w:color w:val="0000FF"/>
            <w:spacing w:val="0"/>
            <w:w w:val="100"/>
            <w:sz w:val="22"/>
            <w:u w:val="single"/>
            <w:vertAlign w:val="superscript"/>
            <w:lang w:val="en-US"/>
          </w:rPr>
          <w:t xml:space="preserve">4</w:t>
        </w:r>
      </w:hyperlink>
      <w:r>
        <w:rPr>
          <w:rFonts w:ascii="Calibri" w:hAnsi="Calibri" w:eastAsia="Calibri"/>
          <w:color w:val="000000"/>
          <w:spacing w:val="0"/>
          <w:w w:val="100"/>
          <w:sz w:val="22"/>
          <w:vertAlign w:val="baseline"/>
          <w:lang w:val="en-US"/>
        </w:rPr>
        <w:t xml:space="preserve"> between July and November 2024 to obtain primary, population-based data on access and barriers to care across the region. The survey, offered in multiple formats and languages, included questions on having a usual source of care, use of routine and preventive services, delays in care due to cost or transportation, experiences with behavioral health care, insurance status, and key demographic characteristics, and yielded more than 1,700 completed responses from residents of the eight counties.</w:t>
      </w:r>
    </w:p>
    <w:p>
      <w:pPr>
        <w:spacing w:before="95" w:after="58" w:line="246"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4</w:t>
      </w:r>
      <w:r>
        <w:rPr>
          <w:rFonts w:ascii="Calibri" w:hAnsi="Calibri" w:eastAsia="Calibri"/>
          <w:color w:val="000000"/>
          <w:spacing w:val="0"/>
          <w:w w:val="100"/>
          <w:sz w:val="20"/>
          <w:vertAlign w:val="baseline"/>
          <w:lang w:val="en-US"/>
        </w:rPr>
        <w:t xml:space="preserve"> Source: Access to Care in the Finger Lakes Region, Collaborative Assessment Report, 2025</w:t>
        <w:br/>
      </w:r>
      <w:hyperlink r:id="dhId6">
        <w:r>
          <w:rPr>
            <w:rFonts w:ascii="Calibri" w:hAnsi="Calibri" w:eastAsia="Calibri"/>
            <w:color w:val="0000FF"/>
            <w:spacing w:val="0"/>
            <w:w w:val="100"/>
            <w:sz w:val="20"/>
            <w:u w:val="single"/>
            <w:vertAlign w:val="baseline"/>
            <w:lang w:val="en-US"/>
          </w:rPr>
          <w:t xml:space="preserve">https://pivitalphp.org/reports/access-to-care/</w:t>
        </w:r>
      </w:hyperlink>
      <w:r>
        <w:rPr>
          <w:rFonts w:ascii="Calibri" w:hAnsi="Calibri" w:eastAsia="Calibri"/>
          <w:color w:val="000000"/>
          <w:spacing w:val="0"/>
          <w:w w:val="100"/>
          <w:sz w:val="20"/>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19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4" w:after="0" w:line="289" w:lineRule="exact"/>
        <w:ind w:right="1440"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Survey data were cleaned, weighted to reflect the regional population using Census-based distributions, and analyzed using descriptive statistics to characterize access indicators and chi-square tests and logistic regression models to examine differences and disparities by factors such as race, insurance type, geography, and Plain Community status. Findings from this analysis were integrated with MAPP 2.0 assessments and qualitative input from focus groups to identify populations facing the greatest barriers, and were used to inform health issue prioritization.</w:t>
      </w:r>
    </w:p>
    <w:p>
      <w:pPr>
        <w:spacing w:before="118"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Key findings from the Survey showed that people in the eight counties still face problems when trying to get health care:</w:t>
      </w:r>
    </w:p>
    <w:p>
      <w:pPr>
        <w:numPr>
          <w:ilvl w:val="0"/>
          <w:numId w:val="2"/>
        </w:numPr>
        <w:tabs>
          <w:tab w:val="clear" w:pos="360"/>
          <w:tab w:val="left" w:pos="2160"/>
        </w:tabs>
        <w:spacing w:before="176"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Not enough providers</w:t>
      </w:r>
      <w:r>
        <w:rPr>
          <w:rFonts w:ascii="Calibri" w:hAnsi="Calibri" w:eastAsia="Calibri"/>
          <w:color w:val="000000"/>
          <w:spacing w:val="0"/>
          <w:w w:val="100"/>
          <w:sz w:val="22"/>
          <w:vertAlign w:val="baseline"/>
          <w:lang w:val="en-US"/>
        </w:rPr>
        <w:t xml:space="preserve">: It is difficult for many people to find a doctor, dentist or mental health provider, especially in rural areas.</w:t>
      </w:r>
    </w:p>
    <w:p>
      <w:pPr>
        <w:numPr>
          <w:ilvl w:val="0"/>
          <w:numId w:val="2"/>
        </w:numPr>
        <w:tabs>
          <w:tab w:val="clear" w:pos="360"/>
          <w:tab w:val="left" w:pos="2160"/>
        </w:tabs>
        <w:spacing w:before="12" w:after="0" w:line="289" w:lineRule="exact"/>
        <w:ind w:right="1512" w:left="2160" w:hanging="360"/>
        <w:jc w:val="both"/>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Transportation issues</w:t>
      </w:r>
      <w:r>
        <w:rPr>
          <w:rFonts w:ascii="Calibri" w:hAnsi="Calibri" w:eastAsia="Calibri"/>
          <w:color w:val="000000"/>
          <w:spacing w:val="0"/>
          <w:w w:val="100"/>
          <w:sz w:val="22"/>
          <w:vertAlign w:val="baseline"/>
          <w:lang w:val="en-US"/>
        </w:rPr>
        <w:t xml:space="preserve">: Many people do not have reliable ways to get to appointments, especially if they do not own a car or if they live far away from care.</w:t>
      </w:r>
    </w:p>
    <w:p>
      <w:pPr>
        <w:numPr>
          <w:ilvl w:val="0"/>
          <w:numId w:val="2"/>
        </w:numPr>
        <w:tabs>
          <w:tab w:val="clear" w:pos="360"/>
          <w:tab w:val="left" w:pos="2160"/>
        </w:tabs>
        <w:spacing w:before="13" w:after="0" w:line="289" w:lineRule="exact"/>
        <w:ind w:right="208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Insurance problems</w:t>
      </w:r>
      <w:r>
        <w:rPr>
          <w:rFonts w:ascii="Calibri" w:hAnsi="Calibri" w:eastAsia="Calibri"/>
          <w:color w:val="000000"/>
          <w:spacing w:val="0"/>
          <w:w w:val="100"/>
          <w:sz w:val="22"/>
          <w:vertAlign w:val="baseline"/>
          <w:lang w:val="en-US"/>
        </w:rPr>
        <w:t xml:space="preserve">: People without insurance and those who have Medicaid often have a harder time getting care. They may have to wait longer or travel farther.</w:t>
      </w:r>
    </w:p>
    <w:p>
      <w:pPr>
        <w:numPr>
          <w:ilvl w:val="0"/>
          <w:numId w:val="2"/>
        </w:numPr>
        <w:tabs>
          <w:tab w:val="clear" w:pos="360"/>
          <w:tab w:val="left" w:pos="2160"/>
        </w:tabs>
        <w:spacing w:before="16"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Unequal access</w:t>
      </w:r>
      <w:r>
        <w:rPr>
          <w:rFonts w:ascii="Calibri" w:hAnsi="Calibri" w:eastAsia="Calibri"/>
          <w:color w:val="000000"/>
          <w:spacing w:val="0"/>
          <w:w w:val="100"/>
          <w:sz w:val="22"/>
          <w:vertAlign w:val="baseline"/>
          <w:lang w:val="en-US"/>
        </w:rPr>
        <w:t xml:space="preserve">: Non-White, rural and Plain community (Amish/Mennonite) members face compounded barriers, with reduced routine/preventive care and higher rates of appointment access challenges.</w:t>
      </w:r>
    </w:p>
    <w:p>
      <w:pPr>
        <w:numPr>
          <w:ilvl w:val="0"/>
          <w:numId w:val="2"/>
        </w:numPr>
        <w:tabs>
          <w:tab w:val="clear" w:pos="360"/>
          <w:tab w:val="left" w:pos="2160"/>
        </w:tabs>
        <w:spacing w:before="12"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Community strength</w:t>
      </w:r>
      <w:r>
        <w:rPr>
          <w:rFonts w:ascii="Calibri" w:hAnsi="Calibri" w:eastAsia="Calibri"/>
          <w:color w:val="000000"/>
          <w:spacing w:val="0"/>
          <w:w w:val="100"/>
          <w:sz w:val="22"/>
          <w:vertAlign w:val="baseline"/>
          <w:lang w:val="en-US"/>
        </w:rPr>
        <w:t xml:space="preserve">: People also shared many positive things, like strong local groups, caring volunteers, helpful nonprofit organizations, and local hospitals.</w:t>
      </w:r>
    </w:p>
    <w:p>
      <w:pPr>
        <w:spacing w:before="225"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report also identified emerging issues within the Finger Lakes region:</w:t>
      </w:r>
    </w:p>
    <w:p>
      <w:pPr>
        <w:numPr>
          <w:ilvl w:val="0"/>
          <w:numId w:val="2"/>
        </w:numPr>
        <w:tabs>
          <w:tab w:val="clear" w:pos="360"/>
          <w:tab w:val="left" w:pos="2160"/>
        </w:tabs>
        <w:spacing w:before="179"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Health care workforce shortages</w:t>
      </w:r>
      <w:r>
        <w:rPr>
          <w:rFonts w:ascii="Calibri" w:hAnsi="Calibri" w:eastAsia="Calibri"/>
          <w:color w:val="000000"/>
          <w:spacing w:val="0"/>
          <w:w w:val="100"/>
          <w:sz w:val="22"/>
          <w:vertAlign w:val="baseline"/>
          <w:lang w:val="en-US"/>
        </w:rPr>
        <w:t xml:space="preserve">: Behavioral health, in particular, along with other health care workers are in demand. Rural communities have a difficult time attracting talent because of aging infrastructure and rate of pay.</w:t>
      </w:r>
    </w:p>
    <w:p>
      <w:pPr>
        <w:numPr>
          <w:ilvl w:val="0"/>
          <w:numId w:val="2"/>
        </w:numPr>
        <w:tabs>
          <w:tab w:val="clear" w:pos="360"/>
          <w:tab w:val="left" w:pos="2160"/>
        </w:tabs>
        <w:spacing w:before="12"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Telehealth expansion</w:t>
      </w:r>
      <w:r>
        <w:rPr>
          <w:rFonts w:ascii="Calibri" w:hAnsi="Calibri" w:eastAsia="Calibri"/>
          <w:color w:val="000000"/>
          <w:spacing w:val="0"/>
          <w:w w:val="100"/>
          <w:sz w:val="22"/>
          <w:vertAlign w:val="baseline"/>
          <w:lang w:val="en-US"/>
        </w:rPr>
        <w:t xml:space="preserve">: While telehealth may be expanding in many areas of the country, limited broadband access makes its dissemination problematic in rural areas.</w:t>
      </w:r>
    </w:p>
    <w:p>
      <w:pPr>
        <w:numPr>
          <w:ilvl w:val="0"/>
          <w:numId w:val="2"/>
        </w:numPr>
        <w:tabs>
          <w:tab w:val="clear" w:pos="360"/>
          <w:tab w:val="left" w:pos="2160"/>
        </w:tabs>
        <w:spacing w:before="13" w:after="0" w:line="289" w:lineRule="exact"/>
        <w:ind w:right="1728" w:left="2160" w:hanging="360"/>
        <w:jc w:val="both"/>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Insurance policy changes</w:t>
      </w:r>
      <w:r>
        <w:rPr>
          <w:rFonts w:ascii="Calibri" w:hAnsi="Calibri" w:eastAsia="Calibri"/>
          <w:color w:val="000000"/>
          <w:spacing w:val="0"/>
          <w:w w:val="100"/>
          <w:sz w:val="22"/>
          <w:vertAlign w:val="baseline"/>
          <w:lang w:val="en-US"/>
        </w:rPr>
        <w:t xml:space="preserve">: Impending cuts to Medicaid may impact access to care and increase out-of-pocket costs.</w:t>
      </w:r>
    </w:p>
    <w:p>
      <w:pPr>
        <w:numPr>
          <w:ilvl w:val="0"/>
          <w:numId w:val="2"/>
        </w:numPr>
        <w:tabs>
          <w:tab w:val="clear" w:pos="360"/>
          <w:tab w:val="left" w:pos="2160"/>
        </w:tabs>
        <w:spacing w:before="12" w:after="0" w:line="289" w:lineRule="exact"/>
        <w:ind w:right="1728" w:left="2160" w:hanging="360"/>
        <w:jc w:val="left"/>
        <w:textAlignment w:val="baseline"/>
        <w:rPr>
          <w:rFonts w:ascii="Calibri" w:hAnsi="Calibri" w:eastAsia="Calibri"/>
          <w:i w:val="true"/>
          <w:color w:val="000000"/>
          <w:spacing w:val="-1"/>
          <w:w w:val="100"/>
          <w:sz w:val="22"/>
          <w:vertAlign w:val="baseline"/>
          <w:lang w:val="en-US"/>
        </w:rPr>
      </w:pPr>
      <w:r>
        <w:rPr>
          <w:rFonts w:ascii="Calibri" w:hAnsi="Calibri" w:eastAsia="Calibri"/>
          <w:i w:val="true"/>
          <w:color w:val="000000"/>
          <w:spacing w:val="-1"/>
          <w:w w:val="100"/>
          <w:sz w:val="22"/>
          <w:vertAlign w:val="baseline"/>
          <w:lang w:val="en-US"/>
        </w:rPr>
        <w:t xml:space="preserve">Supplemental Nutrition Assistance Program (SNAP): </w:t>
      </w:r>
      <w:r>
        <w:rPr>
          <w:rFonts w:ascii="Calibri" w:hAnsi="Calibri" w:eastAsia="Calibri"/>
          <w:color w:val="000000"/>
          <w:spacing w:val="-1"/>
          <w:w w:val="100"/>
          <w:sz w:val="22"/>
          <w:vertAlign w:val="baseline"/>
          <w:lang w:val="en-US"/>
        </w:rPr>
        <w:t xml:space="preserve">Expected changes to eligibility may mean residents are forced to choose between food and medical care, including prescriptions.</w:t>
      </w:r>
    </w:p>
    <w:p>
      <w:pPr>
        <w:numPr>
          <w:ilvl w:val="0"/>
          <w:numId w:val="2"/>
        </w:numPr>
        <w:tabs>
          <w:tab w:val="clear" w:pos="360"/>
          <w:tab w:val="left" w:pos="2160"/>
        </w:tabs>
        <w:spacing w:before="13" w:after="0" w:line="289" w:lineRule="exact"/>
        <w:ind w:right="1728"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Integration of care</w:t>
      </w:r>
      <w:r>
        <w:rPr>
          <w:rFonts w:ascii="Calibri" w:hAnsi="Calibri" w:eastAsia="Calibri"/>
          <w:color w:val="000000"/>
          <w:spacing w:val="0"/>
          <w:w w:val="100"/>
          <w:sz w:val="22"/>
          <w:vertAlign w:val="baseline"/>
          <w:lang w:val="en-US"/>
        </w:rPr>
        <w:t xml:space="preserve">: New models of care are being piloted in many areas but face funding and coordination challenges in the Finger Lakes region.</w:t>
      </w:r>
    </w:p>
    <w:p>
      <w:pPr>
        <w:numPr>
          <w:ilvl w:val="0"/>
          <w:numId w:val="2"/>
        </w:numPr>
        <w:tabs>
          <w:tab w:val="clear" w:pos="360"/>
          <w:tab w:val="left" w:pos="2160"/>
        </w:tabs>
        <w:spacing w:before="16" w:after="0" w:line="289" w:lineRule="exact"/>
        <w:ind w:right="1944" w:left="2160" w:hanging="36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Equity gaps</w:t>
      </w:r>
      <w:r>
        <w:rPr>
          <w:rFonts w:ascii="Calibri" w:hAnsi="Calibri" w:eastAsia="Calibri"/>
          <w:color w:val="000000"/>
          <w:spacing w:val="0"/>
          <w:w w:val="100"/>
          <w:sz w:val="22"/>
          <w:vertAlign w:val="baseline"/>
          <w:lang w:val="en-US"/>
        </w:rPr>
        <w:t xml:space="preserve">: Mortality rates among minority populations are higher than other groups. Additionally, higher Medicaid-dependence is linked with higher food insecurity issues which impact overall health.</w:t>
      </w:r>
    </w:p>
    <w:p>
      <w:pPr>
        <w:numPr>
          <w:ilvl w:val="0"/>
          <w:numId w:val="2"/>
        </w:numPr>
        <w:tabs>
          <w:tab w:val="clear" w:pos="360"/>
          <w:tab w:val="left" w:pos="2160"/>
        </w:tabs>
        <w:spacing w:before="11" w:after="1758" w:line="289" w:lineRule="exact"/>
        <w:ind w:right="1728" w:left="2160" w:hanging="360"/>
        <w:jc w:val="both"/>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Innovative care models</w:t>
      </w:r>
      <w:r>
        <w:rPr>
          <w:rFonts w:ascii="Calibri" w:hAnsi="Calibri" w:eastAsia="Calibri"/>
          <w:color w:val="000000"/>
          <w:spacing w:val="0"/>
          <w:w w:val="100"/>
          <w:sz w:val="22"/>
          <w:vertAlign w:val="baseline"/>
          <w:lang w:val="en-US"/>
        </w:rPr>
        <w:t xml:space="preserve">: Social Care Networks and Urgent Care expansion will help to alleviate some rural health concerns and issues.</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20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145F82"/>
          <w:spacing w:val="0"/>
          <w:w w:val="100"/>
          <w:sz w:val="28"/>
          <w:vertAlign w:val="baseline"/>
          <w:lang w:val="en-US"/>
        </w:rPr>
        <w:t xml:space="preserve">Comprehensive Regional Community Health Assessment</w:t>
      </w:r>
    </w:p>
    <w:p>
      <w:pPr>
        <w:shd w:val="solid" w:color="145F82" w:fill="145F82"/>
        <w:spacing w:before="752" w:after="1363" w:line="407" w:lineRule="exact"/>
        <w:ind w:right="240" w:left="0" w:firstLine="0"/>
        <w:jc w:val="center"/>
        <w:textAlignment w:val="baseline"/>
        <w:rPr>
          <w:rFonts w:ascii="Calibri" w:hAnsi="Calibri" w:eastAsia="Calibri"/>
          <w:b w:val="true"/>
          <w:color w:val="FFFFFF"/>
          <w:spacing w:val="0"/>
          <w:w w:val="100"/>
          <w:sz w:val="40"/>
          <w:vertAlign w:val="baseline"/>
          <w:lang w:val="en-US"/>
        </w:rPr>
      </w:pPr>
      <w:r>
        <w:rPr>
          <w:rFonts w:ascii="Calibri" w:hAnsi="Calibri" w:eastAsia="Calibri"/>
          <w:b w:val="true"/>
          <w:color w:val="FFFFFF"/>
          <w:spacing w:val="0"/>
          <w:w w:val="100"/>
          <w:sz w:val="40"/>
          <w:vertAlign w:val="baseline"/>
          <w:lang w:val="en-US"/>
        </w:rPr>
        <w:t xml:space="preserve">Comprehensive Regional Community Health Assessment</w:t>
      </w:r>
    </w:p>
    <w:p>
      <w:pPr>
        <w:spacing w:before="33" w:after="0" w:line="287" w:lineRule="exact"/>
        <w:ind w:right="0" w:left="1440" w:firstLine="0"/>
        <w:jc w:val="left"/>
        <w:textAlignment w:val="baseline"/>
        <w:rPr>
          <w:rFonts w:ascii="Calibri" w:hAnsi="Calibri" w:eastAsia="Calibri"/>
          <w:b w:val="true"/>
          <w:color w:val="000000"/>
          <w:spacing w:val="0"/>
          <w:w w:val="100"/>
          <w:sz w:val="28"/>
          <w:vertAlign w:val="baseline"/>
          <w:lang w:val="en-US"/>
        </w:rPr>
      </w:pPr>
      <w:r>
        <w:pict>
          <v:shapetype id="_x0000_t44" coordsize="21600,21600" o:spt="202" path="m,l,21600r21600,l21600,xe">
            <v:stroke joinstyle="miter"/>
            <v:path gradientshapeok="t" o:connecttype="rect"/>
          </v:shapetype>
          <v:shape id="_x0000_s43" type="#_x0000_t44" filled="f" stroked="f" style="position:absolute;width:612pt;height:57.7pt;z-index:-1;margin-left:0pt;margin-top:195.1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45" coordsize="21600,21600" o:spt="202" path="m,l,21600r21600,l21600,xe">
            <v:stroke joinstyle="miter"/>
            <v:path gradientshapeok="t" o:connecttype="rect"/>
          </v:shapetype>
          <v:shape id="_x0000_s44" type="#_x0000_t45" filled="f" stroked="f" style="position:absolute;width:611.05pt;height:34.6pt;z-index:-1;margin-left:0pt;margin-top:195.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0335" cy="439420"/>
                        <wp:docPr name="Picture" id="16"/>
                        <a:graphic>
                          <a:graphicData uri="http://schemas.openxmlformats.org/drawingml/2006/picture">
                            <pic:pic>
                              <pic:nvPicPr>
                                <pic:cNvPr id="16" name="Picture"/>
                                <pic:cNvPicPr preferRelativeResize="false"/>
                              </pic:nvPicPr>
                              <pic:blipFill>
                                <a:blip r:embed="prId16"/>
                                <a:stretch>
                                  <a:fillRect/>
                                </a:stretch>
                              </pic:blipFill>
                              <pic:spPr>
                                <a:xfrm>
                                  <a:off x="0" y="0"/>
                                  <a:ext cx="7760335" cy="439420"/>
                                </a:xfrm>
                                <a:prstGeom prst="rect"/>
                              </pic:spPr>
                            </pic:pic>
                          </a:graphicData>
                        </a:graphic>
                      </wp:inline>
                    </w:drawing>
                  </w:r>
                </w:p>
              </w:txbxContent>
            </v:textbox>
          </v:shape>
        </w:pict>
      </w:r>
      <w:r>
        <w:pict>
          <v:shapetype id="_x0000_t46" coordsize="21600,21600" o:spt="202" path="m,l,21600r21600,l21600,xe">
            <v:stroke joinstyle="miter"/>
            <v:path gradientshapeok="t" o:connecttype="rect"/>
          </v:shapetype>
          <v:shape id="_x0000_s45" type="#_x0000_t46" filled="f" stroked="f" style="position:absolute;width:81.6pt;height:16.25pt;z-index:-1;margin-left:264.95pt;margin-top:200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0" w:firstLine="0"/>
                    <w:jc w:val="center"/>
                    <w:textAlignment w:val="baseline"/>
                    <w:rPr>
                      <w:rFonts w:ascii="Calibri" w:hAnsi="Calibri" w:eastAsia="Calibri"/>
                      <w:b w:val="true"/>
                      <w:color w:val="FFFFFF"/>
                      <w:spacing w:val="-12"/>
                      <w:w w:val="100"/>
                      <w:sz w:val="28"/>
                      <w:vertAlign w:val="baseline"/>
                      <w:lang w:val="en-US"/>
                    </w:rPr>
                  </w:pPr>
                  <w:r>
                    <w:rPr>
                      <w:rFonts w:ascii="Calibri" w:hAnsi="Calibri" w:eastAsia="Calibri"/>
                      <w:b w:val="true"/>
                      <w:color w:val="FFFFFF"/>
                      <w:spacing w:val="-12"/>
                      <w:w w:val="100"/>
                      <w:sz w:val="28"/>
                      <w:vertAlign w:val="baseline"/>
                      <w:lang w:val="en-US"/>
                    </w:rPr>
                    <w:t xml:space="preserve">Demographics</w:t>
                  </w:r>
                </w:p>
              </w:txbxContent>
            </v:textbox>
          </v:shape>
        </w:pict>
      </w:r>
      <w:r>
        <w:rPr>
          <w:rFonts w:ascii="Calibri" w:hAnsi="Calibri" w:eastAsia="Calibri"/>
          <w:b w:val="true"/>
          <w:color w:val="000000"/>
          <w:spacing w:val="0"/>
          <w:w w:val="100"/>
          <w:sz w:val="28"/>
          <w:vertAlign w:val="baseline"/>
          <w:lang w:val="en-US"/>
        </w:rPr>
        <w:t xml:space="preserve">Community Description: The Finger Lakes Region</w:t>
      </w:r>
    </w:p>
    <w:p>
      <w:pPr>
        <w:spacing w:before="174"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Finger Lakes get their name from the series of 11 lakes in central and western New York that resemble the fingers on a hand. Native American lore explains that the lakes were formed when the Great Spirit laid his hand down on the region. The lakes were formed as an impression of his hand blessing the landscape.</w:t>
      </w:r>
      <w:r>
        <w:rPr>
          <w:rFonts w:ascii="Calibri" w:hAnsi="Calibri" w:eastAsia="Calibri"/>
          <w:color w:val="000000"/>
          <w:spacing w:val="0"/>
          <w:w w:val="100"/>
          <w:sz w:val="22"/>
          <w:vertAlign w:val="superscript"/>
          <w:lang w:val="en-US"/>
        </w:rPr>
        <w:t xml:space="preserve">5</w:t>
      </w:r>
      <w:r>
        <w:rPr>
          <w:rFonts w:ascii="Calibri" w:hAnsi="Calibri" w:eastAsia="Calibri"/>
          <w:color w:val="000000"/>
          <w:spacing w:val="0"/>
          <w:w w:val="100"/>
          <w:sz w:val="22"/>
          <w:vertAlign w:val="baseline"/>
          <w:lang w:val="en-US"/>
        </w:rPr>
        <w:t xml:space="preserve"> Scientifically speaking, the lakes were formed by receding glaciers over two million years ago.</w:t>
      </w:r>
      <w:r>
        <w:rPr>
          <w:rFonts w:ascii="Calibri" w:hAnsi="Calibri" w:eastAsia="Calibri"/>
          <w:color w:val="000000"/>
          <w:spacing w:val="0"/>
          <w:w w:val="100"/>
          <w:sz w:val="22"/>
          <w:vertAlign w:val="superscript"/>
          <w:lang w:val="en-US"/>
        </w:rPr>
        <w:t xml:space="preserve">6</w:t>
      </w:r>
      <w:r>
        <w:rPr>
          <w:rFonts w:ascii="Calibri" w:hAnsi="Calibri" w:eastAsia="Calibri"/>
          <w:color w:val="000000"/>
          <w:spacing w:val="0"/>
          <w:w w:val="100"/>
          <w:sz w:val="22"/>
          <w:vertAlign w:val="baseline"/>
          <w:lang w:val="en-US"/>
        </w:rPr>
        <w:t xml:space="preserve"> The area now serves as an idyllic recreational spot with abundant outdoor activities, award-winning wineries, historic and quaint towns, and vast agricultural farmland. While smaller urban areas do exist within the counties, this mostly rural region of New York State shares the health-related issues and illnesses of many rural areas in New York and the United States.</w:t>
      </w:r>
    </w:p>
    <w:p>
      <w:pPr>
        <w:spacing w:before="161"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Though the Finger Lakes Region encompasses a larger swath of the state, the eight Finger Lakes counties represented in this Community Health Assessment, include: Chemung, Livingston, Ontario, Schuyler, Seneca, Steuben, Wayne, and Yates. (Map 1)</w:t>
      </w:r>
    </w:p>
    <w:p>
      <w:pPr>
        <w:spacing w:before="185" w:after="178" w:line="179" w:lineRule="exact"/>
        <w:ind w:right="0" w:left="158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1: The Finger Lakes Region of New York State</w:t>
      </w:r>
    </w:p>
    <w:p>
      <w:pPr>
        <w:spacing w:before="0" w:after="282" w:line="240" w:lineRule="auto"/>
        <w:ind w:right="2362" w:left="1651"/>
        <w:jc w:val="left"/>
        <w:textAlignment w:val="baseline"/>
      </w:pPr>
      <w:r>
        <w:drawing>
          <wp:inline>
            <wp:extent cx="5224145" cy="2362200"/>
            <wp:docPr name="Picture" id="17"/>
            <a:graphic>
              <a:graphicData uri="http://schemas.openxmlformats.org/drawingml/2006/picture">
                <pic:pic>
                  <pic:nvPicPr>
                    <pic:cNvPr id="17" name="Picture"/>
                    <pic:cNvPicPr preferRelativeResize="false"/>
                  </pic:nvPicPr>
                  <pic:blipFill>
                    <a:blip r:embed="prId17"/>
                    <a:stretch>
                      <a:fillRect/>
                    </a:stretch>
                  </pic:blipFill>
                  <pic:spPr>
                    <a:xfrm>
                      <a:off x="0" y="0"/>
                      <a:ext cx="5224145" cy="2362200"/>
                    </a:xfrm>
                    <a:prstGeom prst="rect"/>
                  </pic:spPr>
                </pic:pic>
              </a:graphicData>
            </a:graphic>
          </wp:inline>
        </w:drawing>
      </w:r>
    </w:p>
    <w:p>
      <w:pPr>
        <w:spacing w:before="147" w:after="0" w:line="200"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72.5pt" to="216.3pt,672.5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5</w:t>
      </w:r>
      <w:r>
        <w:rPr>
          <w:rFonts w:ascii="Calibri" w:hAnsi="Calibri" w:eastAsia="Calibri"/>
          <w:color w:val="000000"/>
          <w:spacing w:val="0"/>
          <w:w w:val="100"/>
          <w:sz w:val="20"/>
          <w:vertAlign w:val="baseline"/>
          <w:lang w:val="en-US"/>
        </w:rPr>
        <w:t xml:space="preserve"> Source: </w:t>
      </w:r>
      <w:hyperlink r:id="dhId7">
        <w:r>
          <w:rPr>
            <w:rFonts w:ascii="Calibri" w:hAnsi="Calibri" w:eastAsia="Calibri"/>
            <w:color w:val="0000FF"/>
            <w:spacing w:val="0"/>
            <w:w w:val="100"/>
            <w:sz w:val="20"/>
            <w:u w:val="single"/>
            <w:vertAlign w:val="baseline"/>
            <w:lang w:val="en-US"/>
          </w:rPr>
          <w:t xml:space="preserve">FingerLakesTravelNY.com:</w:t>
        </w:r>
      </w:hyperlink>
      <w:r>
        <w:rPr>
          <w:rFonts w:ascii="Calibri" w:hAnsi="Calibri" w:eastAsia="Calibri"/>
          <w:color w:val="000000"/>
          <w:spacing w:val="0"/>
          <w:w w:val="100"/>
          <w:sz w:val="20"/>
          <w:vertAlign w:val="baseline"/>
          <w:lang w:val="en-US"/>
        </w:rPr>
        <w:t xml:space="preserve"> History of the Finger Lakes</w:t>
      </w:r>
    </w:p>
    <w:p>
      <w:pPr>
        <w:spacing w:before="0" w:after="58" w:line="242" w:lineRule="exact"/>
        <w:ind w:right="1584"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w:t>
      </w:r>
      <w:r>
        <w:rPr>
          <w:rFonts w:ascii="Calibri" w:hAnsi="Calibri" w:eastAsia="Calibri"/>
          <w:color w:val="467885"/>
          <w:spacing w:val="0"/>
          <w:w w:val="100"/>
          <w:sz w:val="20"/>
          <w:vertAlign w:val="baseline"/>
          <w:lang w:val="en-US"/>
        </w:rPr>
        <w:t xml:space="preserve"> </w:t>
      </w:r>
      <w:hyperlink r:id="dhId8">
        <w:r>
          <w:rPr>
            <w:rFonts w:ascii="Calibri" w:hAnsi="Calibri" w:eastAsia="Calibri"/>
            <w:color w:val="0000FF"/>
            <w:spacing w:val="0"/>
            <w:w w:val="100"/>
            <w:sz w:val="20"/>
            <w:u w:val="single"/>
            <w:vertAlign w:val="baseline"/>
            <w:lang w:val="en-US"/>
          </w:rPr>
          <w:t xml:space="preserve">"</w:t>
        </w:r>
      </w:hyperlink>
      <w:hyperlink r:id="dhId8">
        <w:r>
          <w:rPr>
            <w:rFonts w:ascii="Calibri" w:hAnsi="Calibri" w:eastAsia="Calibri"/>
            <w:i w:val="true"/>
            <w:color w:val="0000FF"/>
            <w:spacing w:val="0"/>
            <w:w w:val="100"/>
            <w:sz w:val="19"/>
            <w:u w:val="single"/>
            <w:vertAlign w:val="baseline"/>
            <w:lang w:val="en-US"/>
          </w:rPr>
          <w:t xml:space="preserve">Ithaca is Gorges: A Guide to the Geology of the Ithaca Area, Fourth Edition</w:t>
        </w:r>
      </w:hyperlink>
      <w:hyperlink r:id="dhId8">
        <w:r>
          <w:rPr>
            <w:rFonts w:ascii="Calibri" w:hAnsi="Calibri" w:eastAsia="Calibri"/>
            <w:color w:val="0000FF"/>
            <w:spacing w:val="0"/>
            <w:w w:val="100"/>
            <w:sz w:val="20"/>
            <w:u w:val="single"/>
            <w:vertAlign w:val="baseline"/>
            <w:lang w:val="en-US"/>
          </w:rPr>
          <w:t xml:space="preserve">"</w:t>
        </w:r>
      </w:hyperlink>
      <w:r>
        <w:rPr>
          <w:rFonts w:ascii="Calibri" w:hAnsi="Calibri" w:eastAsia="Calibri"/>
          <w:color w:val="000000"/>
          <w:spacing w:val="0"/>
          <w:w w:val="100"/>
          <w:sz w:val="20"/>
          <w:vertAlign w:val="baseline"/>
          <w:lang w:val="en-US"/>
        </w:rPr>
        <w:t xml:space="preserve"> by Warren D. Allmon and Robert M. Ross, published in 2007 by the Paleontological Research Institution</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21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7" coordsize="21600,21600" o:spt="202" path="m,l,21600r21600,l21600,xe">
            <v:stroke joinstyle="miter"/>
            <v:path gradientshapeok="t" o:connecttype="rect"/>
          </v:shapetype>
          <v:shape id="_x0000_s46" type="#_x0000_t47" filled="f" stroked="f" style="position:absolute;width:486pt;height:232.15pt;z-index:-1;margin-left:70.8pt;margin-top:216pt;mso-wrap-distance-left:0pt;mso-wrap-distance-right:0pt;mso-position-horizontal-relative:page;mso-position-vertical-relative:page">
            <w10:wrap type="square"/>
            <v:fill opacity="1" o:opacity2="1" recolor="f" rotate="f" type="solid"/>
            <v:textbox inset="0pt, 0pt, 0pt, 0pt">
              <w:txbxContent>
                <w:p>
                  <w:pPr>
                    <w:pBdr>
                      <w:top w:sz="5" w:space="0" w:color="D8D8D8" w:val="single"/>
                      <w:left w:sz="5" w:space="0" w:color="D8D8D8" w:val="single"/>
                      <w:bottom w:sz="5" w:space="0" w:color="D8D8D8" w:val="single"/>
                      <w:right w:sz="5" w:space="0" w:color="D8D8D8" w:val="single"/>
                    </w:pBdr>
                  </w:pPr>
                </w:p>
              </w:txbxContent>
            </v:textbox>
          </v:shape>
        </w:pict>
      </w:r>
      <w:r>
        <w:pict>
          <v:shapetype id="_x0000_t48" coordsize="21600,21600" o:spt="202" path="m,l,21600r21600,l21600,xe">
            <v:stroke joinstyle="miter"/>
            <v:path gradientshapeok="t" o:connecttype="rect"/>
          </v:shapetype>
          <v:shape id="_x0000_s47" type="#_x0000_t48"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49" coordsize="21600,21600" o:spt="202" path="m,l,21600r21600,l21600,xe">
            <v:stroke joinstyle="miter"/>
            <v:path gradientshapeok="t" o:connecttype="rect"/>
          </v:shapetype>
          <v:shape id="_x0000_s48" type="#_x0000_t49" filled="f" stroked="f" style="position:absolute;width:486pt;height:143.9pt;z-index:1;margin-left:70.8pt;margin-top:72.1pt;mso-wrap-distance-left:0pt;mso-wrap-distance-right:0pt;mso-position-horizontal-relative:page;mso-position-vertical-relative:page">
            <w10:wrap anchorx="page" anchory="page"/>
            <v:fill opacity="1" o:opacity2="1" recolor="f" rotate="f" type="solid"/>
            <v:textbox inset="0pt, 0pt, 0pt, 0pt">
              <w:txbxContent>
                <w:p>
                  <w:pPr>
                    <w:spacing w:before="33" w:after="0" w:line="287" w:lineRule="exact"/>
                    <w:ind w:right="0" w:left="0" w:firstLine="0"/>
                    <w:jc w:val="left"/>
                    <w:textAlignment w:val="baseline"/>
                    <w:rPr>
                      <w:rFonts w:ascii="Calibri" w:hAnsi="Calibri" w:eastAsia="Calibri"/>
                      <w:b w:val="true"/>
                      <w:color w:val="000000"/>
                      <w:spacing w:val="-2"/>
                      <w:w w:val="100"/>
                      <w:sz w:val="28"/>
                      <w:vertAlign w:val="baseline"/>
                      <w:lang w:val="en-US"/>
                    </w:rPr>
                  </w:pPr>
                  <w:r>
                    <w:rPr>
                      <w:rFonts w:ascii="Calibri" w:hAnsi="Calibri" w:eastAsia="Calibri"/>
                      <w:b w:val="true"/>
                      <w:color w:val="000000"/>
                      <w:spacing w:val="-2"/>
                      <w:w w:val="100"/>
                      <w:sz w:val="28"/>
                      <w:vertAlign w:val="baseline"/>
                      <w:lang w:val="en-US"/>
                    </w:rPr>
                    <w:t xml:space="preserve">Population Estimates</w:t>
                  </w:r>
                </w:p>
                <w:p>
                  <w:pPr>
                    <w:spacing w:before="234" w:after="0" w:line="222" w:lineRule="exact"/>
                    <w:ind w:right="0" w:left="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Overall Population Estimates</w:t>
                  </w:r>
                </w:p>
                <w:p>
                  <w:pPr>
                    <w:spacing w:before="168" w:after="0" w:line="288" w:lineRule="exact"/>
                    <w:ind w:right="504"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There are 515,563 people living in the 8-county Finger Lakes Region. Estimates projecting into the year 2040 demonstrate a slight decrease in the population for most counties, with the exceptions of Livingston and Ontario. Stratified by county (Figure 6) are the projected population differences over the next 20 years. Some of the largest changes are expected in Chemung, Steuben and Wayne Counties.</w:t>
                  </w:r>
                </w:p>
                <w:p>
                  <w:pPr>
                    <w:spacing w:before="429" w:after="173"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6: Percent Change in Population from 2020- 2040</w:t>
                  </w:r>
                </w:p>
              </w:txbxContent>
            </v:textbox>
          </v:shape>
        </w:pict>
      </w:r>
      <w:r>
        <w:pict>
          <v:shapetype id="_x0000_t50" coordsize="21600,21600" o:spt="202" path="m,l,21600r21600,l21600,xe">
            <v:stroke joinstyle="miter"/>
            <v:path gradientshapeok="t" o:connecttype="rect"/>
          </v:shapetype>
          <v:shape id="_x0000_s49" type="#_x0000_t50" filled="f" stroked="f" style="position:absolute;width:486pt;height:268.7pt;z-index:1;margin-left:70.8pt;margin-top:448.1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County Health Rankings, Census Population Estimates, Cornell Program on Applied Demographics</w:t>
                  </w:r>
                </w:p>
                <w:p>
                  <w:pPr>
                    <w:spacing w:before="691" w:after="0" w:line="221" w:lineRule="exact"/>
                    <w:ind w:right="0" w:left="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Age Group Projections</w:t>
                  </w:r>
                </w:p>
                <w:p>
                  <w:pPr>
                    <w:spacing w:before="173" w:after="1776" w:line="288" w:lineRule="exact"/>
                    <w:ind w:right="43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Over the next five years (2025–2030), the population of residents aged 65 and older is projected to increase in all Finger Lakes counties, while younger age groups (under 18, 18–39, and 40–64) are expected to decline in most counties. Exceptions include: Ontario County, which is projected to see a slight increase in the under-18 population; Seneca County, which is expected to gain residents aged 40– 64; and Yates County, which is projected to experience growth in the 18–39 age group. The overall growth in the older adult population will likely increase demand for geriatric care and chronic disease management across the region. Figure 7 illustrates the projected percent change in each age group by county.</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483.35pt;height:227.5pt;z-index:-1;margin-left:70.8pt;margin-top:216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6138545" cy="2889250"/>
                        <wp:docPr name="Picture" id="18"/>
                        <a:graphic>
                          <a:graphicData uri="http://schemas.openxmlformats.org/drawingml/2006/picture">
                            <pic:pic>
                              <pic:nvPicPr>
                                <pic:cNvPr id="18" name="Picture"/>
                                <pic:cNvPicPr preferRelativeResize="false"/>
                              </pic:nvPicPr>
                              <pic:blipFill>
                                <a:blip r:embed="prId18"/>
                                <a:stretch>
                                  <a:fillRect/>
                                </a:stretch>
                              </pic:blipFill>
                              <pic:spPr>
                                <a:xfrm>
                                  <a:off x="0" y="0"/>
                                  <a:ext cx="6138545" cy="2889250"/>
                                </a:xfrm>
                                <a:prstGeom prst="rect"/>
                              </pic:spPr>
                            </pic:pic>
                          </a:graphicData>
                        </a:graphic>
                      </wp:inline>
                    </w:drawing>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42.5pt;height:10.75pt;z-index:-1;margin-left:372.35pt;margin-top:419.6pt;mso-wrap-distance-left:0pt;mso-wrap-distance-right:0pt;mso-position-horizontal-relative:page;mso-position-vertical-relative:page">
            <w10:wrap type="square" side="both"/>
            <v:fill opacity="1" o:opacity2="1" recolor="f" rotate="f" type="solid"/>
            <v:textbox inset="0pt, 0pt, 0pt, 0pt">
              <w:txbxContent>
                <w:p>
                  <w:pPr>
                    <w:spacing w:before="18" w:after="0" w:line="186" w:lineRule="exact"/>
                    <w:ind w:right="0" w:left="0" w:firstLine="0"/>
                    <w:jc w:val="left"/>
                    <w:textAlignment w:val="baseline"/>
                    <w:rPr>
                      <w:rFonts w:ascii="Calibri" w:hAnsi="Calibri" w:eastAsia="Calibri"/>
                      <w:color w:val="000000"/>
                      <w:spacing w:val="15"/>
                      <w:w w:val="100"/>
                      <w:sz w:val="19"/>
                      <w:vertAlign w:val="baseline"/>
                      <w:lang w:val="en-US"/>
                    </w:rPr>
                  </w:pPr>
                  <w:r>
                    <w:rPr>
                      <w:rFonts w:ascii="Calibri" w:hAnsi="Calibri" w:eastAsia="Calibri"/>
                      <w:color w:val="000000"/>
                      <w:spacing w:val="15"/>
                      <w:w w:val="100"/>
                      <w:sz w:val="19"/>
                      <w:vertAlign w:val="baseline"/>
                      <w:lang w:val="en-US"/>
                    </w:rPr>
                    <w:t xml:space="preserve">Steuben</w:t>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34.4pt;height:10.95pt;z-index:-1;margin-left:440pt;margin-top:415.3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-7.00%</w:t>
                  </w:r>
                </w:p>
              </w:txbxContent>
            </v:textbox>
          </v:shape>
        </w:pict>
      </w:r>
      <w:r>
        <w:pict>
          <v:shapetype id="_x0000_t54" coordsize="21600,21600" o:spt="202" path="m,l,21600r21600,l21600,xe">
            <v:stroke joinstyle="miter"/>
            <v:path gradientshapeok="t" o:connecttype="rect"/>
          </v:shapetype>
          <v:shape id="_x0000_s53" type="#_x0000_t54" filled="f" stroked="f" style="position:absolute;width:37.75pt;height:11pt;z-index:-1;margin-left:426.55pt;margin-top:427.5pt;mso-wrap-distance-left:0pt;mso-wrap-distance-right:0pt;mso-position-horizontal-relative:page;mso-position-vertical-relative:page">
            <w10:wrap type="square" side="both"/>
            <v:fill opacity="1" o:opacity2="1" recolor="f" rotate="f" type="solid"/>
            <v:textbox inset="0pt, 0pt, 0pt, 0pt">
              <w:txbxContent>
                <w:p>
                  <w:pPr>
                    <w:spacing w:before="18" w:after="4" w:line="197" w:lineRule="exact"/>
                    <w:ind w:right="0" w:left="0" w:firstLine="0"/>
                    <w:jc w:val="left"/>
                    <w:textAlignment w:val="baseline"/>
                    <w:rPr>
                      <w:rFonts w:ascii="Calibri" w:hAnsi="Calibri" w:eastAsia="Calibri"/>
                      <w:color w:val="000000"/>
                      <w:spacing w:val="22"/>
                      <w:w w:val="100"/>
                      <w:sz w:val="19"/>
                      <w:vertAlign w:val="baseline"/>
                      <w:lang w:val="en-US"/>
                    </w:rPr>
                  </w:pPr>
                  <w:r>
                    <w:rPr>
                      <w:rFonts w:ascii="Calibri" w:hAnsi="Calibri" w:eastAsia="Calibri"/>
                      <w:color w:val="000000"/>
                      <w:spacing w:val="22"/>
                      <w:w w:val="100"/>
                      <w:sz w:val="19"/>
                      <w:vertAlign w:val="baseline"/>
                      <w:lang w:val="en-US"/>
                    </w:rPr>
                    <w:t xml:space="preserve">Wayne</w:t>
                  </w:r>
                </w:p>
              </w:txbxContent>
            </v:textbox>
          </v:shape>
        </w:pict>
      </w:r>
      <w:r>
        <w:pict>
          <v:shapetype id="_x0000_t55" coordsize="21600,21600" o:spt="202" path="m,l,21600r21600,l21600,xe">
            <v:stroke joinstyle="miter"/>
            <v:path gradientshapeok="t" o:connecttype="rect"/>
          </v:shapetype>
          <v:shape id="_x0000_s54" type="#_x0000_t55" filled="f" stroked="f" style="position:absolute;width:31.25pt;height:10.95pt;z-index:-1;margin-left:158pt;margin-top:266.25pt;mso-wrap-distance-left:0pt;mso-wrap-distance-right:0pt;mso-position-horizontal-relative:page;mso-position-vertical-relative:page">
            <w10:wrap type="square" side="both"/>
            <v:fill opacity="1" o:opacity2="1" recolor="f" rotate="f" type="solid"/>
            <v:textbox inset="0pt, 0pt, 0pt, 0pt">
              <w:txbxContent>
                <w:p>
                  <w:pPr>
                    <w:spacing w:before="20" w:after="0" w:line="19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2.50%</w:t>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91.9pt;height:11pt;z-index:-1;margin-left:146.65pt;margin-top:31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872"/>
                    </w:tabs>
                    <w:spacing w:before="18" w:after="4" w:line="197" w:lineRule="exact"/>
                    <w:ind w:right="0" w:left="0" w:firstLine="0"/>
                    <w:jc w:val="left"/>
                    <w:textAlignment w:val="baseline"/>
                    <w:rPr>
                      <w:rFonts w:ascii="Calibri" w:hAnsi="Calibri" w:eastAsia="Calibri"/>
                      <w:color w:val="000000"/>
                      <w:spacing w:val="0"/>
                      <w:w w:val="100"/>
                      <w:sz w:val="19"/>
                      <w:vertAlign w:val="baseline"/>
                      <w:lang w:val="en-US"/>
                    </w:rPr>
                  </w:pPr>
                  <w:r>
                    <w:rPr>
                      <w:rFonts w:ascii="Calibri" w:hAnsi="Calibri" w:eastAsia="Calibri"/>
                      <w:color w:val="000000"/>
                      <w:spacing w:val="0"/>
                      <w:w w:val="100"/>
                      <w:sz w:val="19"/>
                      <w:vertAlign w:val="baseline"/>
                      <w:lang w:val="en-US"/>
                    </w:rPr>
                    <w:t xml:space="preserve">Livingston	</w:t>
                  </w:r>
                  <w:r>
                    <w:rPr>
                      <w:rFonts w:ascii="Calibri" w:hAnsi="Calibri" w:eastAsia="Calibri"/>
                      <w:color w:val="000000"/>
                      <w:spacing w:val="0"/>
                      <w:w w:val="100"/>
                      <w:sz w:val="19"/>
                      <w:vertAlign w:val="baseline"/>
                      <w:lang w:val="en-US"/>
                    </w:rPr>
                    <w:t xml:space="preserve">Ontario</w:t>
                  </w:r>
                </w:p>
              </w:txbxContent>
            </v:textbox>
          </v:shape>
        </w:pict>
      </w:r>
      <w:r>
        <w:pict>
          <v:shapetype id="_x0000_t57" coordsize="21600,21600" o:spt="202" path="m,l,21600r21600,l21600,xe">
            <v:stroke joinstyle="miter"/>
            <v:path gradientshapeok="t" o:connecttype="rect"/>
          </v:shapetype>
          <v:shape id="_x0000_s56" type="#_x0000_t57" filled="f" stroked="f" style="position:absolute;width:34.35pt;height:10.95pt;z-index:-1;margin-left:99.7pt;margin-top:382.65pt;mso-wrap-distance-left:0pt;mso-wrap-distance-right:0pt;mso-position-horizontal-relative:page;mso-position-vertical-relative:page">
            <w10:wrap type="square" side="both"/>
            <v:fill opacity="1" o:opacity2="1" recolor="f" rotate="f" type="solid"/>
            <v:textbox inset="0pt, 0pt, 0pt, 0pt">
              <w:txbxContent>
                <w:p>
                  <w:pPr>
                    <w:spacing w:before="20" w:after="0" w:line="18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-4.60%</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38.15pt;height:10.95pt;z-index:-1;margin-left:90.25pt;margin-top:395.35pt;mso-wrap-distance-left:0pt;mso-wrap-distance-right:0pt;mso-position-horizontal-relative:page;mso-position-vertical-relative:page">
            <w10:wrap type="square" side="both"/>
            <v:fill opacity="1" o:opacity2="1" recolor="f" rotate="f" type="solid"/>
            <v:textbox inset="0pt, 0pt, 0pt, 0pt">
              <w:txbxContent>
                <w:p>
                  <w:pPr>
                    <w:spacing w:before="18" w:after="0" w:line="196" w:lineRule="exact"/>
                    <w:ind w:right="0" w:left="0" w:firstLine="0"/>
                    <w:jc w:val="left"/>
                    <w:textAlignment w:val="baseline"/>
                    <w:rPr>
                      <w:rFonts w:ascii="Calibri" w:hAnsi="Calibri" w:eastAsia="Calibri"/>
                      <w:color w:val="000000"/>
                      <w:spacing w:val="-7"/>
                      <w:w w:val="100"/>
                      <w:sz w:val="19"/>
                      <w:vertAlign w:val="baseline"/>
                      <w:lang w:val="en-US"/>
                    </w:rPr>
                  </w:pPr>
                  <w:r>
                    <w:rPr>
                      <w:rFonts w:ascii="Calibri" w:hAnsi="Calibri" w:eastAsia="Calibri"/>
                      <w:color w:val="000000"/>
                      <w:spacing w:val="-7"/>
                      <w:w w:val="100"/>
                      <w:sz w:val="19"/>
                      <w:vertAlign w:val="baseline"/>
                      <w:lang w:val="en-US"/>
                    </w:rPr>
                    <w:t xml:space="preserve">Chemung</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31.75pt;height:10.95pt;z-index:-1;margin-left:214.4pt;margin-top:241.75pt;mso-wrap-distance-left:0pt;mso-wrap-distance-right:0pt;mso-position-horizontal-relative:page;mso-position-vertical-relative:page">
            <w10:wrap type="square" side="both"/>
            <v:fill opacity="1" o:opacity2="1" recolor="f" rotate="f" type="solid"/>
            <v:textbox inset="0pt, 0pt, 0pt, 0pt">
              <w:txbxContent>
                <w:p>
                  <w:pPr>
                    <w:spacing w:before="20" w:after="0" w:line="185"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4.30%</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260.95pt;height:10.45pt;z-index:-1;margin-left:269.85pt;margin-top:324.3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24"/>
                      <w:tab w:val="right" w:leader="none" w:pos="5256"/>
                    </w:tabs>
                    <w:spacing w:before="51" w:after="38" w:line="235"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-0.70%	</w:t>
                  </w:r>
                  <w:r>
                    <w:rPr>
                      <w:rFonts w:ascii="Calibri" w:hAnsi="Calibri" w:eastAsia="Calibri"/>
                      <w:color w:val="404040"/>
                      <w:spacing w:val="0"/>
                      <w:w w:val="100"/>
                      <w:sz w:val="18"/>
                      <w:vertAlign w:val="baseline"/>
                      <w:lang w:val="en-US"/>
                    </w:rPr>
                    <w:t xml:space="preserve">-0.40%	</w:t>
                  </w:r>
                  <w:r>
                    <w:rPr>
                      <w:rFonts w:ascii="Calibri" w:hAnsi="Calibri" w:eastAsia="Calibri"/>
                      <w:color w:val="404040"/>
                      <w:spacing w:val="0"/>
                      <w:w w:val="100"/>
                      <w:sz w:val="18"/>
                      <w:vertAlign w:val="baseline"/>
                      <w:lang w:val="en-US"/>
                    </w:rPr>
                    <w:t xml:space="preserve">-0.30%</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257.15pt;height:4.05pt;z-index:-1;margin-left:262.35pt;margin-top:345.8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24"/>
                      <w:tab w:val="right" w:leader="none" w:pos="5112"/>
                    </w:tabs>
                    <w:spacing w:before="0" w:after="28" w:line="220" w:lineRule="exact"/>
                    <w:ind w:right="0" w:left="0" w:firstLine="0"/>
                    <w:jc w:val="left"/>
                    <w:textAlignment w:val="baseline"/>
                    <w:rPr>
                      <w:rFonts w:ascii="Calibri" w:hAnsi="Calibri" w:eastAsia="Calibri"/>
                      <w:color w:val="000000"/>
                      <w:spacing w:val="0"/>
                      <w:w w:val="100"/>
                      <w:sz w:val="19"/>
                      <w:vertAlign w:val="baseline"/>
                      <w:lang w:val="en-US"/>
                    </w:rPr>
                  </w:pPr>
                  <w:r>
                    <w:rPr>
                      <w:rFonts w:ascii="Calibri" w:hAnsi="Calibri" w:eastAsia="Calibri"/>
                      <w:color w:val="000000"/>
                      <w:spacing w:val="0"/>
                      <w:w w:val="100"/>
                      <w:sz w:val="19"/>
                      <w:vertAlign w:val="baseline"/>
                      <w:lang w:val="en-US"/>
                    </w:rPr>
                    <w:t xml:space="preserve">Schuyler	</w:t>
                  </w:r>
                  <w:r>
                    <w:rPr>
                      <w:rFonts w:ascii="Calibri" w:hAnsi="Calibri" w:eastAsia="Calibri"/>
                      <w:color w:val="000000"/>
                      <w:spacing w:val="0"/>
                      <w:w w:val="100"/>
                      <w:sz w:val="19"/>
                      <w:vertAlign w:val="baseline"/>
                      <w:lang w:val="en-US"/>
                    </w:rPr>
                    <w:t xml:space="preserve">Seneca	</w:t>
                  </w:r>
                  <w:r>
                    <w:rPr>
                      <w:rFonts w:ascii="Calibri" w:hAnsi="Calibri" w:eastAsia="Calibri"/>
                      <w:color w:val="000000"/>
                      <w:spacing w:val="0"/>
                      <w:w w:val="100"/>
                      <w:sz w:val="19"/>
                      <w:vertAlign w:val="baseline"/>
                      <w:lang w:val="en-US"/>
                    </w:rPr>
                    <w:t xml:space="preserve">Yates</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34.35pt;height:10.95pt;z-index:-1;margin-left:383.15pt;margin-top:404.5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-6.20%</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22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4" coordsize="21600,21600" o:spt="202" path="m,l,21600r21600,l21600,xe">
            <v:stroke joinstyle="miter"/>
            <v:path gradientshapeok="t" o:connecttype="rect"/>
          </v:shapetype>
          <v:shape id="_x0000_s63" type="#_x0000_t64" filled="f" stroked="f" style="position:absolute;width:459.8pt;height:193pt;z-index:-1;margin-left:71.3pt;margin-top:460.8pt;mso-wrap-distance-left:71.3pt;mso-wrap-distance-right:80.4pt;mso-position-horizontal-relative:page;mso-position-vertical-relative:page">
            <w10:wrap type="square"/>
            <v:fill opacity="1" o:opacity2="1" recolor="f" rotate="f" type="solid"/>
            <v:textbox inset="0pt, 0pt, 0pt, 0pt">
              <w:txbxContent>
                <w:p>
                  <w:pPr>
                    <w:pBdr>
                      <w:top w:sz="5" w:space="0" w:color="D8D8D8" w:val="single"/>
                      <w:left w:sz="5" w:space="71" w:color="D8D8D8" w:val="single"/>
                      <w:bottom w:sz="5" w:space="0" w:color="D8D8D8" w:val="single"/>
                      <w:right w:sz="5" w:space="80" w:color="D8D8D8" w:val="single"/>
                    </w:pBdr>
                  </w:pP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243pt;height:25.45pt;z-index:1;margin-left:72.95pt;margin-top:94.65pt;mso-wrap-distance-left:0pt;mso-wrap-distance-right:0pt;mso-position-horizontal-relative:page;mso-position-vertical-relative:page">
            <w10:wrap anchorx="page" anchory="page"/>
            <v:fill opacity="1" o:opacity2="1" recolor="f" rotate="f" type="solid"/>
            <v:textbox inset="0pt, 0pt, 0pt, 0pt">
              <w:txbxContent>
                <w:p>
                  <w:pPr>
                    <w:spacing w:before="20" w:after="297" w:line="180" w:lineRule="exact"/>
                    <w:ind w:right="0" w:left="0" w:firstLine="0"/>
                    <w:jc w:val="left"/>
                    <w:textAlignment w:val="baseline"/>
                    <w:rPr>
                      <w:rFonts w:ascii="Calibri" w:hAnsi="Calibri" w:eastAsia="Calibri"/>
                      <w:i w:val="true"/>
                      <w:color w:val="0E2841"/>
                      <w:spacing w:val="-2"/>
                      <w:w w:val="100"/>
                      <w:sz w:val="18"/>
                      <w:vertAlign w:val="baseline"/>
                      <w:lang w:val="en-US"/>
                    </w:rPr>
                  </w:pPr>
                  <w:r>
                    <w:rPr>
                      <w:rFonts w:ascii="Calibri" w:hAnsi="Calibri" w:eastAsia="Calibri"/>
                      <w:i w:val="true"/>
                      <w:color w:val="0E2841"/>
                      <w:spacing w:val="-2"/>
                      <w:w w:val="100"/>
                      <w:sz w:val="18"/>
                      <w:vertAlign w:val="baseline"/>
                      <w:lang w:val="en-US"/>
                    </w:rPr>
                    <w:t xml:space="preserve">Figure 7: Population Projections by Age Group, Finger Lakes Region</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461.7pt;height:55.3pt;z-index:1;margin-left:72.15pt;margin-top:120.1pt;mso-wrap-distance-left:0pt;mso-wrap-distance-right:0pt;mso-position-horizontal-relative:page;mso-position-vertical-relative:page">
            <w10:wrap anchorx="page" anchory="page"/>
            <v:fill opacity="1" o:opacity2="1" recolor="f" rotate="f" type="solid"/>
            <v:textbox inset="0pt, 0pt, 0pt, 0pt">
              <w:txbxContent>
                <w:p>
                  <w:pPr>
                    <w:spacing w:before="0" w:after="0" w:line="332"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Population Projections 2025-2030</w:t>
                    <w:br/>
                  </w:r>
                  <w:r>
                    <w:rPr>
                      <w:rFonts w:ascii="Calibri" w:hAnsi="Calibri" w:eastAsia="Calibri"/>
                      <w:color w:val="585858"/>
                      <w:spacing w:val="0"/>
                      <w:w w:val="100"/>
                      <w:sz w:val="28"/>
                      <w:vertAlign w:val="baseline"/>
                      <w:lang w:val="en-US"/>
                    </w:rPr>
                    <w:t xml:space="preserve">(Percent Change)</w:t>
                  </w:r>
                </w:p>
                <w:p>
                  <w:pPr>
                    <w:tabs>
                      <w:tab w:val="left" w:leader="none" w:pos="2088"/>
                      <w:tab w:val="left" w:leader="none" w:pos="3456"/>
                      <w:tab w:val="left" w:leader="none" w:pos="4752"/>
                      <w:tab w:val="left" w:leader="none" w:pos="6048"/>
                      <w:tab w:val="left" w:leader="none" w:pos="7344"/>
                      <w:tab w:val="left" w:leader="none" w:pos="8640"/>
                    </w:tabs>
                    <w:spacing w:before="180" w:after="73" w:line="179" w:lineRule="exact"/>
                    <w:ind w:right="0" w:left="792"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-15.00	</w:t>
                  </w:r>
                  <w:r>
                    <w:rPr>
                      <w:rFonts w:ascii="Calibri" w:hAnsi="Calibri" w:eastAsia="Calibri"/>
                      <w:color w:val="585858"/>
                      <w:spacing w:val="0"/>
                      <w:w w:val="100"/>
                      <w:sz w:val="18"/>
                      <w:vertAlign w:val="baseline"/>
                      <w:lang w:val="en-US"/>
                    </w:rPr>
                    <w:t xml:space="preserve">-10.00	</w:t>
                  </w:r>
                  <w:r>
                    <w:rPr>
                      <w:rFonts w:ascii="Calibri" w:hAnsi="Calibri" w:eastAsia="Calibri"/>
                      <w:color w:val="585858"/>
                      <w:spacing w:val="0"/>
                      <w:w w:val="100"/>
                      <w:sz w:val="18"/>
                      <w:vertAlign w:val="baseline"/>
                      <w:lang w:val="en-US"/>
                    </w:rPr>
                    <w:t xml:space="preserve">-5.00	</w:t>
                  </w:r>
                  <w:r>
                    <w:rPr>
                      <w:rFonts w:ascii="Calibri" w:hAnsi="Calibri" w:eastAsia="Calibri"/>
                      <w:color w:val="585858"/>
                      <w:spacing w:val="0"/>
                      <w:w w:val="100"/>
                      <w:sz w:val="18"/>
                      <w:vertAlign w:val="baseline"/>
                      <w:lang w:val="en-US"/>
                    </w:rPr>
                    <w:t xml:space="preserve">0.00	</w:t>
                  </w:r>
                  <w:r>
                    <w:rPr>
                      <w:rFonts w:ascii="Calibri" w:hAnsi="Calibri" w:eastAsia="Calibri"/>
                      <w:color w:val="585858"/>
                      <w:spacing w:val="0"/>
                      <w:w w:val="100"/>
                      <w:sz w:val="18"/>
                      <w:vertAlign w:val="baseline"/>
                      <w:lang w:val="en-US"/>
                    </w:rPr>
                    <w:t xml:space="preserve">5.00	</w:t>
                  </w:r>
                  <w:r>
                    <w:rPr>
                      <w:rFonts w:ascii="Calibri" w:hAnsi="Calibri" w:eastAsia="Calibri"/>
                      <w:color w:val="585858"/>
                      <w:spacing w:val="0"/>
                      <w:w w:val="100"/>
                      <w:sz w:val="18"/>
                      <w:vertAlign w:val="baseline"/>
                      <w:lang w:val="en-US"/>
                    </w:rPr>
                    <w:t xml:space="preserve">10.00	</w:t>
                  </w:r>
                  <w:r>
                    <w:rPr>
                      <w:rFonts w:ascii="Calibri" w:hAnsi="Calibri" w:eastAsia="Calibri"/>
                      <w:color w:val="585858"/>
                      <w:spacing w:val="0"/>
                      <w:w w:val="100"/>
                      <w:sz w:val="18"/>
                      <w:vertAlign w:val="baseline"/>
                      <w:lang w:val="en-US"/>
                    </w:rPr>
                    <w:t xml:space="preserve">15.00</w:t>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461.7pt;height:128.9pt;z-index:1;margin-left:72.15pt;margin-top:175.4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029"/>
                    <w:gridCol w:w="1291"/>
                    <w:gridCol w:w="6503"/>
                  </w:tblGrid>
                  <w:tr>
                    <w:trPr>
                      <w:trHeight w:val="2577" w:hRule="exact"/>
                    </w:trPr>
                    <w:tc>
                      <w:tcPr>
                        <w:tcW w:w="1029" w:type="dxa"/>
                        <w:tcBorders>
                          <w:top w:val="none"/>
                          <w:left w:val="none"/>
                          <w:bottom w:val="none"/>
                          <w:right w:val="single" w:sz="5" w:color="D8D8D8"/>
                        </w:tcBorders>
                        <w:textDirection w:val="lrTb"/>
                        <w:vAlign w:val="top"/>
                      </w:tcPr>
                      <w:p>
                        <w:pPr>
                          <w:spacing w:before="42" w:after="62" w:line="308" w:lineRule="exact"/>
                          <w:ind w:right="0" w:left="108"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c>
                    <w:tc>
                      <w:tcPr>
                        <w:tcW w:w="1291" w:type="dxa"/>
                        <w:tcBorders>
                          <w:top w:val="none"/>
                          <w:left w:val="single" w:sz="5" w:color="D8D8D8"/>
                          <w:bottom w:val="none"/>
                          <w:right w:val="single" w:sz="5" w:color="D8D8D8"/>
                        </w:tcBorders>
                        <w:textDirection w:val="lrTb"/>
                        <w:vAlign w:val="top"/>
                      </w:tcPr>
                      <w:p/>
                    </w:tc>
                    <w:tc>
                      <w:tcPr>
                        <w:tcW w:w="6503" w:type="dxa"/>
                        <w:vMerge w:val="restart"/>
                        <w:tcBorders>
                          <w:top w:val="none"/>
                          <w:left w:val="single" w:sz="5" w:color="D8D8D8"/>
                          <w:bottom w:val="none"/>
                          <w:right w:val="none"/>
                        </w:tcBorders>
                        <w:textDirection w:val="lrTb"/>
                        <w:vAlign w:val="top"/>
                      </w:tcPr>
                      <w:p>
                        <w:pPr>
                          <w:spacing w:before="68" w:after="0" w:line="240" w:lineRule="auto"/>
                          <w:ind w:right="8" w:left="0"/>
                          <w:jc w:val="left"/>
                          <w:textAlignment w:val="baseline"/>
                        </w:pPr>
                        <w:r>
                          <w:drawing>
                            <wp:inline>
                              <wp:extent cx="3307080" cy="1593850"/>
                              <wp:docPr name="Picture" id="19"/>
                              <a:graphic>
                                <a:graphicData uri="http://schemas.openxmlformats.org/drawingml/2006/picture">
                                  <pic:pic>
                                    <pic:nvPicPr>
                                      <pic:cNvPr id="19" name="Picture"/>
                                      <pic:cNvPicPr preferRelativeResize="false"/>
                                    </pic:nvPicPr>
                                    <pic:blipFill>
                                      <a:blip r:embed="prId19"/>
                                      <a:stretch>
                                        <a:fillRect/>
                                      </a:stretch>
                                    </pic:blipFill>
                                    <pic:spPr>
                                      <a:xfrm>
                                        <a:off x="0" y="0"/>
                                        <a:ext cx="3307080" cy="1593850"/>
                                      </a:xfrm>
                                      <a:prstGeom prst="rect"/>
                                    </pic:spPr>
                                  </pic:pic>
                                </a:graphicData>
                              </a:graphic>
                            </wp:inline>
                          </w:drawing>
                        </w:r>
                      </w:p>
                    </w:tc>
                  </w:tr>
                  <w:tr>
                    <w:trPr>
                      <w:trHeight w:val="1" w:hRule="exact"/>
                    </w:trPr>
                    <w:tc>
                      <w:tcPr>
                        <w:tcW w:w="1029" w:type="dxa"/>
                        <w:tcBorders>
                          <w:top w:val="none"/>
                          <w:left w:val="none"/>
                          <w:bottom w:val="none"/>
                          <w:right w:val="none"/>
                        </w:tcBorders>
                        <w:textDirection w:val="lrTb"/>
                        <w:vAlign w:val="top"/>
                      </w:tcPr>
                      <w:p/>
                    </w:tc>
                    <w:tc>
                      <w:tcPr>
                        <w:tcW w:w="1291" w:type="dxa"/>
                        <w:tcBorders>
                          <w:top w:val="none"/>
                          <w:left w:val="none"/>
                          <w:bottom w:val="none"/>
                          <w:right w:val="none"/>
                        </w:tcBorders>
                        <w:textDirection w:val="lrTb"/>
                        <w:vAlign w:val="top"/>
                      </w:tcPr>
                      <w:p/>
                    </w:tc>
                    <w:tc>
                      <w:tcPr>
                        <w:tcW w:w="6503" w:type="dxa"/>
                        <w:vMerge w:val="continue"/>
                        <w:tcBorders>
                          <w:top w:val="none"/>
                          <w:left w:val="none"/>
                          <w:bottom w:val="none"/>
                          <w:right w:val="none"/>
                        </w:tcBorders>
                        <w:textDirection w:val="lrTb"/>
                        <w:vAlign w:val="top"/>
                      </w:tcPr>
                      <w:p/>
                    </w:tc>
                  </w:tr>
                </w:tbl>
              </w:txbxContent>
            </v:textbox>
          </v:shape>
        </w:pict>
      </w:r>
      <w:r>
        <w:pict>
          <v:shapetype id="_x0000_t69" coordsize="21600,21600" o:spt="202" path="m,l,21600r21600,l21600,xe">
            <v:stroke joinstyle="miter"/>
            <v:path gradientshapeok="t" o:connecttype="rect"/>
          </v:shapetype>
          <v:shape id="_x0000_s68" type="#_x0000_t69" filled="f" stroked="f" style="position:absolute;width:421.3pt;height:30.1pt;z-index:1;margin-left:112.55pt;margin-top:304.3pt;mso-wrap-distance-left:0pt;mso-wrap-distance-right:0pt;mso-position-horizontal-relative:page;mso-position-vertical-relative:page">
            <w10:wrap anchorx="page" anchory="page"/>
            <v:fill opacity="1" o:opacity2="1" recolor="f" rotate="f" type="solid"/>
            <v:textbox inset="0pt, 0pt, 0pt, 0pt">
              <w:txbxContent>
                <w:p>
                  <w:pPr>
                    <w:tabs>
                      <w:tab w:val="left" w:leader="none" w:pos="2232"/>
                      <w:tab w:val="left" w:leader="none" w:pos="4320"/>
                      <w:tab w:val="left" w:leader="none" w:pos="6336"/>
                    </w:tabs>
                    <w:spacing w:before="291" w:after="124"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Percent change (under 18) 	</w:t>
                  </w:r>
                  <w:r>
                    <w:rPr>
                      <w:rFonts w:ascii="Calibri" w:hAnsi="Calibri" w:eastAsia="Calibri"/>
                      <w:color w:val="585858"/>
                      <w:spacing w:val="0"/>
                      <w:w w:val="100"/>
                      <w:sz w:val="18"/>
                      <w:vertAlign w:val="baseline"/>
                      <w:lang w:val="en-US"/>
                    </w:rPr>
                    <w:t xml:space="preserve">Percent change (18-39) 	</w:t>
                  </w:r>
                  <w:r>
                    <w:rPr>
                      <w:rFonts w:ascii="Calibri" w:hAnsi="Calibri" w:eastAsia="Calibri"/>
                      <w:color w:val="585858"/>
                      <w:spacing w:val="0"/>
                      <w:w w:val="100"/>
                      <w:sz w:val="18"/>
                      <w:vertAlign w:val="baseline"/>
                      <w:lang w:val="en-US"/>
                    </w:rPr>
                    <w:t xml:space="preserve">Percent change (40-64) 	</w:t>
                  </w:r>
                  <w:r>
                    <w:rPr>
                      <w:rFonts w:ascii="Calibri" w:hAnsi="Calibri" w:eastAsia="Calibri"/>
                      <w:color w:val="585858"/>
                      <w:spacing w:val="0"/>
                      <w:w w:val="100"/>
                      <w:sz w:val="18"/>
                      <w:vertAlign w:val="baseline"/>
                      <w:lang w:val="en-US"/>
                    </w:rPr>
                    <w:t xml:space="preserve">Percent change (65+)</w:t>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40.4pt;height:30.1pt;z-index:-1;margin-left:72.15pt;margin-top:304.3pt;mso-wrap-distance-left:0pt;mso-wrap-distance-right:0pt;mso-position-horizontal-relative:page;mso-position-vertical-relative:page">
            <w10:wrap type="square" side="both"/>
            <v:fill opacity="1" o:opacity2="1" recolor="f" rotate="f" type="solid"/>
            <v:textbox inset="0pt, 0pt, 0pt, 0pt">
              <w:txbxContent>
                <w:p>
                  <w:pPr>
                    <w:spacing w:before="336" w:after="165" w:line="101" w:lineRule="exact"/>
                    <w:ind w:right="57" w:left="650"/>
                    <w:jc w:val="left"/>
                    <w:textAlignment w:val="baseline"/>
                  </w:pPr>
                  <w:r>
                    <w:drawing>
                      <wp:inline>
                        <wp:extent cx="64135" cy="64135"/>
                        <wp:docPr name="Picture" id="20"/>
                        <a:graphic>
                          <a:graphicData uri="http://schemas.openxmlformats.org/drawingml/2006/picture">
                            <pic:pic>
                              <pic:nvPicPr>
                                <pic:cNvPr id="20" name="Picture"/>
                                <pic:cNvPicPr preferRelativeResize="false"/>
                              </pic:nvPicPr>
                              <pic:blipFill>
                                <a:blip r:embed="prId20"/>
                                <a:stretch>
                                  <a:fillRect/>
                                </a:stretch>
                              </pic:blipFill>
                              <pic:spPr>
                                <a:xfrm>
                                  <a:off x="0" y="0"/>
                                  <a:ext cx="64135" cy="64135"/>
                                </a:xfrm>
                                <a:prstGeom prst="rect"/>
                              </pic:spPr>
                            </pic:pic>
                          </a:graphicData>
                        </a:graphic>
                      </wp:inline>
                    </w:drawing>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612pt;height:126.4pt;z-index:1;margin-left:0pt;margin-top:334.4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Cornell University Program on Applied Demographics, 2025-2030</w:t>
                  </w:r>
                </w:p>
                <w:p>
                  <w:pPr>
                    <w:spacing w:before="398" w:after="0" w:line="221"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Race/Ethnicity</w:t>
                  </w:r>
                </w:p>
                <w:p>
                  <w:pPr>
                    <w:spacing w:before="162"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More than 90% of the Finger Lakes Region population is White/Non-Hispanic. Chemung County has the largest non-white population with 5.9% Black, 3.6 % Hispanic, 0.3% American Indian/Alaska Native. (Figure 8).</w:t>
                  </w:r>
                </w:p>
                <w:p>
                  <w:pPr>
                    <w:spacing w:before="305" w:after="192"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8: Race/Ethnicity Finger Lakes Region</w:t>
                  </w:r>
                </w:p>
              </w:txbxContent>
            </v:textbox>
          </v:shape>
        </w:pict>
      </w:r>
      <w:r>
        <w:pict>
          <v:shapetype id="_x0000_t72" coordsize="21600,21600" o:spt="202" path="m,l,21600r21600,l21600,xe">
            <v:stroke joinstyle="miter"/>
            <v:path gradientshapeok="t" o:connecttype="rect"/>
          </v:shapetype>
          <v:shape id="_x0000_s71" type="#_x0000_t72" filled="f" stroked="f" style="position:absolute;width:612pt;height:63.95pt;z-index:1;margin-left:0pt;margin-top:652.9pt;mso-wrap-distance-left:0pt;mso-wrap-distance-right:0pt;mso-position-horizontal-relative:page;mso-position-vertical-relative:page">
            <w10:wrap anchorx="page" anchory="page"/>
            <v:fill opacity="1" o:opacity2="1" recolor="f" rotate="f" type="solid"/>
            <v:textbox inset="0pt, 0pt, 0pt, 0pt">
              <w:txbxContent>
                <w:p>
                  <w:pPr>
                    <w:spacing w:before="0" w:after="850" w:line="210" w:lineRule="exact"/>
                    <w:ind w:right="180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An Ecosystem of Minority Health and Health Disparities Resources. National Institute on Minority Health and Health Disparities</w:t>
                  </w:r>
                </w:p>
              </w:txbxContent>
            </v:textbox>
          </v:shape>
        </w:pict>
      </w:r>
      <w:r>
        <w:pict>
          <v:shapetype id="_x0000_t73" coordsize="21600,21600" o:spt="202" path="m,l,21600r21600,l21600,xe">
            <v:stroke joinstyle="miter"/>
            <v:path gradientshapeok="t" o:connecttype="rect"/>
          </v:shapetype>
          <v:shape id="_x0000_s72" type="#_x0000_t73" filled="f" stroked="f" style="position:absolute;width:456.4pt;height:26.3pt;z-index:-1;margin-left:73pt;margin-top:460.8pt;mso-wrap-distance-left:0pt;mso-wrap-distance-right:0pt;mso-position-horizontal-relative:page;mso-position-vertical-relative:page">
            <w10:wrap type="square" side="both"/>
            <v:fill opacity="1" o:opacity2="1" recolor="f" rotate="f" type="solid"/>
            <v:textbox inset="0pt, 0pt, 0pt, 0pt">
              <w:txbxContent>
                <w:p>
                  <w:pPr>
                    <w:spacing w:before="198" w:after="33" w:line="287"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Race/Ethnicity Finger Lakes Region (2020)</w:t>
                  </w:r>
                </w:p>
              </w:txbxContent>
            </v:textbox>
          </v:shape>
        </w:pict>
      </w:r>
      <w:r>
        <w:pict>
          <v:shapetype id="_x0000_t74" coordsize="21600,21600" o:spt="202" path="m,l,21600r21600,l21600,xe">
            <v:stroke joinstyle="miter"/>
            <v:path gradientshapeok="t" o:connecttype="rect"/>
          </v:shapetype>
          <v:shape id="_x0000_s73" type="#_x0000_t74" filled="f" stroked="f" style="position:absolute;width:16.3pt;height:23.4pt;z-index:-1;margin-left:73pt;margin-top:487.1pt;mso-wrap-distance-left:0pt;mso-wrap-distance-right:0pt;mso-position-horizontal-relative:page;mso-position-vertical-relative:page">
            <w10:wrap type="square" side="both"/>
            <v:fill opacity="1" o:opacity2="1" recolor="f" rotate="f" type="solid"/>
            <v:textbox inset="0pt, 0pt, 0pt, 0pt">
              <w:txbxContent>
                <w:p>
                  <w:pPr>
                    <w:spacing w:before="129" w:after="159" w:line="179" w:lineRule="exact"/>
                    <w:ind w:right="0" w:left="72"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7</w:t>
                  </w:r>
                </w:p>
              </w:txbxContent>
            </v:textbox>
          </v:shape>
        </w:pict>
      </w:r>
      <w:r>
        <w:pict>
          <v:shapetype id="_x0000_t75" coordsize="21600,21600" o:spt="202" path="m,l,21600r21600,l21600,xe">
            <v:stroke joinstyle="miter"/>
            <v:path gradientshapeok="t" o:connecttype="rect"/>
          </v:shapetype>
          <v:shape id="_x0000_s74" type="#_x0000_t75" filled="f" stroked="f" style="position:absolute;width:458.1pt;height:95.95pt;z-index:-1;margin-left:71.3pt;margin-top:51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98"/>
                    <w:gridCol w:w="1733"/>
                    <w:gridCol w:w="584"/>
                    <w:gridCol w:w="240"/>
                    <w:gridCol w:w="6"/>
                    <w:gridCol w:w="235"/>
                    <w:gridCol w:w="595"/>
                    <w:gridCol w:w="5180"/>
                  </w:tblGrid>
                  <w:tr>
                    <w:trPr>
                      <w:trHeight w:val="52" w:hRule="exact"/>
                    </w:trPr>
                    <w:tc>
                      <w:tcPr>
                        <w:tcW w:w="398" w:type="dxa"/>
                        <w:vMerge w:val="restart"/>
                        <w:tcBorders>
                          <w:top w:val="none"/>
                          <w:left w:val="none"/>
                          <w:bottom w:val="none"/>
                          <w:right w:val="none"/>
                        </w:tcBorders>
                        <w:textDirection w:val="lrTb"/>
                        <w:vAlign w:val="center"/>
                      </w:tcPr>
                      <w:p>
                        <w:pPr>
                          <w:spacing w:before="0" w:after="15" w:line="143"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w:t>
                        </w:r>
                      </w:p>
                    </w:tc>
                    <w:tc>
                      <w:tcPr>
                        <w:tcW w:w="1733" w:type="dxa"/>
                        <w:tcBorders>
                          <w:top w:val="none"/>
                          <w:left w:val="none"/>
                          <w:bottom w:val="single" w:sz="5" w:color="D8D8D8"/>
                          <w:right w:val="none"/>
                        </w:tcBorders>
                        <w:textDirection w:val="lrTb"/>
                        <w:vAlign w:val="top"/>
                      </w:tcPr>
                      <w:p/>
                    </w:tc>
                    <w:tc>
                      <w:tcPr>
                        <w:tcW w:w="584" w:type="dxa"/>
                        <w:tcBorders>
                          <w:top w:val="none"/>
                          <w:left w:val="none"/>
                          <w:bottom w:val="single" w:sz="5" w:color="D8D8D8"/>
                          <w:right w:val="none"/>
                        </w:tcBorders>
                        <w:textDirection w:val="lrTb"/>
                        <w:vAlign w:val="top"/>
                      </w:tcPr>
                      <w:p/>
                    </w:tc>
                    <w:tc>
                      <w:tcPr>
                        <w:tcW w:w="240" w:type="dxa"/>
                        <w:tcBorders>
                          <w:top w:val="none"/>
                          <w:left w:val="none"/>
                          <w:bottom w:val="single" w:sz="5" w:color="D8D8D8"/>
                          <w:right w:val="none"/>
                        </w:tcBorders>
                        <w:textDirection w:val="lrTb"/>
                        <w:vAlign w:val="top"/>
                      </w:tcPr>
                      <w:p/>
                    </w:tc>
                    <w:tc>
                      <w:tcPr>
                        <w:tcW w:w="6" w:type="dxa"/>
                        <w:tcBorders>
                          <w:top w:val="none"/>
                          <w:left w:val="none"/>
                          <w:bottom w:val="single" w:sz="5" w:color="D8D8D8"/>
                          <w:right w:val="none"/>
                        </w:tcBorders>
                        <w:textDirection w:val="lrTb"/>
                        <w:vAlign w:val="top"/>
                      </w:tcPr>
                      <w:p/>
                    </w:tc>
                    <w:tc>
                      <w:tcPr>
                        <w:tcW w:w="235" w:type="dxa"/>
                        <w:tcBorders>
                          <w:top w:val="none"/>
                          <w:left w:val="none"/>
                          <w:bottom w:val="single" w:sz="5" w:color="D8D8D8"/>
                          <w:right w:val="none"/>
                        </w:tcBorders>
                        <w:textDirection w:val="lrTb"/>
                        <w:vAlign w:val="top"/>
                      </w:tcPr>
                      <w:p/>
                    </w:tc>
                    <w:tc>
                      <w:tcPr>
                        <w:tcW w:w="595" w:type="dxa"/>
                        <w:tcBorders>
                          <w:top w:val="none"/>
                          <w:left w:val="none"/>
                          <w:bottom w:val="single" w:sz="5" w:color="D8D8D8"/>
                          <w:right w:val="none"/>
                        </w:tcBorders>
                        <w:textDirection w:val="lrTb"/>
                        <w:vAlign w:val="top"/>
                      </w:tcPr>
                      <w:p/>
                    </w:tc>
                    <w:tc>
                      <w:tcPr>
                        <w:tcW w:w="5180" w:type="dxa"/>
                        <w:tcBorders>
                          <w:top w:val="none"/>
                          <w:left w:val="none"/>
                          <w:bottom w:val="single" w:sz="5" w:color="D8D8D8"/>
                          <w:right w:val="none"/>
                        </w:tcBorders>
                        <w:textDirection w:val="lrTb"/>
                        <w:vAlign w:val="top"/>
                      </w:tcPr>
                      <w:p/>
                    </w:tc>
                  </w:tr>
                  <w:tr>
                    <w:trPr>
                      <w:trHeight w:val="120" w:hRule="exact"/>
                    </w:trPr>
                    <w:tc>
                      <w:tcPr>
                        <w:tcW w:w="398" w:type="dxa"/>
                        <w:vMerge w:val="continue"/>
                        <w:tcBorders>
                          <w:top w:val="none"/>
                          <w:left w:val="none"/>
                          <w:bottom w:val="none"/>
                          <w:right w:val="none"/>
                        </w:tcBorders>
                        <w:textDirection w:val="lrTb"/>
                        <w:vAlign w:val="center"/>
                      </w:tcPr>
                      <w:p/>
                    </w:tc>
                    <w:tc>
                      <w:tcPr>
                        <w:tcW w:w="1733" w:type="dxa"/>
                        <w:vMerge w:val="restart"/>
                        <w:tcBorders>
                          <w:top w:val="single" w:sz="5" w:color="D8D8D8"/>
                          <w:left w:val="none"/>
                          <w:bottom w:val="none"/>
                          <w:right w:val="none"/>
                        </w:tcBorders>
                        <w:textDirection w:val="lrTb"/>
                        <w:vAlign w:val="top"/>
                      </w:tcPr>
                      <w:p>
                        <w:pPr>
                          <w:spacing w:before="0" w:after="14" w:line="240" w:lineRule="auto"/>
                          <w:ind w:right="0" w:left="0"/>
                          <w:jc w:val="center"/>
                          <w:textAlignment w:val="baseline"/>
                        </w:pPr>
                        <w:r>
                          <w:drawing>
                            <wp:inline>
                              <wp:extent cx="1100455" cy="1118870"/>
                              <wp:docPr name="Picture" id="21"/>
                              <a:graphic>
                                <a:graphicData uri="http://schemas.openxmlformats.org/drawingml/2006/picture">
                                  <pic:pic>
                                    <pic:nvPicPr>
                                      <pic:cNvPr id="21" name="Picture"/>
                                      <pic:cNvPicPr preferRelativeResize="false"/>
                                    </pic:nvPicPr>
                                    <pic:blipFill>
                                      <a:blip r:embed="prId21"/>
                                      <a:stretch>
                                        <a:fillRect/>
                                      </a:stretch>
                                    </pic:blipFill>
                                    <pic:spPr>
                                      <a:xfrm>
                                        <a:off x="0" y="0"/>
                                        <a:ext cx="1100455" cy="1118870"/>
                                      </a:xfrm>
                                      <a:prstGeom prst="rect"/>
                                    </pic:spPr>
                                  </pic:pic>
                                </a:graphicData>
                              </a:graphic>
                            </wp:inline>
                          </w:drawing>
                        </w:r>
                      </w:p>
                    </w:tc>
                    <w:tc>
                      <w:tcPr>
                        <w:tcW w:w="584" w:type="dxa"/>
                        <w:tcBorders>
                          <w:top w:val="single" w:sz="5" w:color="D8D8D8"/>
                          <w:left w:val="none"/>
                          <w:bottom w:val="none"/>
                          <w:right w:val="none"/>
                        </w:tcBorders>
                        <w:textDirection w:val="lrTb"/>
                        <w:vAlign w:val="top"/>
                      </w:tcPr>
                      <w:p/>
                    </w:tc>
                    <w:tc>
                      <w:tcPr>
                        <w:tcW w:w="240" w:type="dxa"/>
                        <w:tcBorders>
                          <w:top w:val="single" w:sz="5" w:color="D8D8D8"/>
                          <w:left w:val="none"/>
                          <w:bottom w:val="none"/>
                          <w:right w:val="none"/>
                        </w:tcBorders>
                        <w:textDirection w:val="lrTb"/>
                        <w:vAlign w:val="top"/>
                      </w:tcPr>
                      <w:p/>
                    </w:tc>
                    <w:tc>
                      <w:tcPr>
                        <w:tcW w:w="6" w:type="dxa"/>
                        <w:tcBorders>
                          <w:top w:val="single" w:sz="5" w:color="D8D8D8"/>
                          <w:left w:val="none"/>
                          <w:bottom w:val="none"/>
                          <w:right w:val="none"/>
                        </w:tcBorders>
                        <w:textDirection w:val="lrTb"/>
                        <w:vAlign w:val="top"/>
                      </w:tcPr>
                      <w:p/>
                    </w:tc>
                    <w:tc>
                      <w:tcPr>
                        <w:tcW w:w="235" w:type="dxa"/>
                        <w:tcBorders>
                          <w:top w:val="single" w:sz="5" w:color="D8D8D8"/>
                          <w:left w:val="none"/>
                          <w:bottom w:val="none"/>
                          <w:right w:val="none"/>
                        </w:tcBorders>
                        <w:textDirection w:val="lrTb"/>
                        <w:vAlign w:val="top"/>
                      </w:tcPr>
                      <w:p/>
                    </w:tc>
                    <w:tc>
                      <w:tcPr>
                        <w:tcW w:w="595" w:type="dxa"/>
                        <w:tcBorders>
                          <w:top w:val="single" w:sz="5" w:color="D8D8D8"/>
                          <w:left w:val="none"/>
                          <w:bottom w:val="none"/>
                          <w:right w:val="none"/>
                        </w:tcBorders>
                        <w:textDirection w:val="lrTb"/>
                        <w:vAlign w:val="top"/>
                      </w:tcPr>
                      <w:p/>
                    </w:tc>
                    <w:tc>
                      <w:tcPr>
                        <w:tcW w:w="5180" w:type="dxa"/>
                        <w:tcBorders>
                          <w:top w:val="single" w:sz="5" w:color="D8D8D8"/>
                          <w:left w:val="none"/>
                          <w:bottom w:val="none"/>
                          <w:right w:val="none"/>
                        </w:tcBorders>
                        <w:textDirection w:val="lrTb"/>
                        <w:vAlign w:val="top"/>
                      </w:tcPr>
                      <w:p/>
                    </w:tc>
                  </w:tr>
                  <w:tr>
                    <w:trPr>
                      <w:trHeight w:val="36" w:hRule="exact"/>
                    </w:trPr>
                    <w:tc>
                      <w:tcPr>
                        <w:tcW w:w="398" w:type="dxa"/>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none"/>
                          <w:left w:val="none"/>
                          <w:bottom w:val="none"/>
                          <w:right w:val="none"/>
                        </w:tcBorders>
                        <w:textDirection w:val="lrTb"/>
                        <w:vAlign w:val="top"/>
                      </w:tcPr>
                      <w:p/>
                    </w:tc>
                    <w:tc>
                      <w:tcPr>
                        <w:tcW w:w="240" w:type="dxa"/>
                        <w:tcBorders>
                          <w:top w:val="none"/>
                          <w:left w:val="none"/>
                          <w:bottom w:val="none"/>
                          <w:right w:val="none"/>
                        </w:tcBorders>
                        <w:textDirection w:val="lrTb"/>
                        <w:vAlign w:val="top"/>
                      </w:tcPr>
                      <w:p/>
                    </w:tc>
                    <w:tc>
                      <w:tcPr>
                        <w:tcW w:w="6"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35" w:type="dxa"/>
                        <w:tcBorders>
                          <w:top w:val="none"/>
                          <w:left w:val="none"/>
                          <w:bottom w:val="none"/>
                          <w:right w:val="none"/>
                        </w:tcBorders>
                        <w:textDirection w:val="lrTb"/>
                        <w:vAlign w:val="top"/>
                      </w:tcPr>
                      <w:p/>
                    </w:tc>
                    <w:tc>
                      <w:tcPr>
                        <w:tcW w:w="595" w:type="dxa"/>
                        <w:tcBorders>
                          <w:top w:val="none"/>
                          <w:left w:val="none"/>
                          <w:bottom w:val="none"/>
                          <w:right w:val="none"/>
                        </w:tcBorders>
                        <w:textDirection w:val="lrTb"/>
                        <w:vAlign w:val="top"/>
                      </w:tcPr>
                      <w:p/>
                    </w:tc>
                    <w:tc>
                      <w:tcPr>
                        <w:tcW w:w="5180" w:type="dxa"/>
                        <w:tcBorders>
                          <w:top w:val="none"/>
                          <w:left w:val="none"/>
                          <w:bottom w:val="none"/>
                          <w:right w:val="none"/>
                        </w:tcBorders>
                        <w:textDirection w:val="lrTb"/>
                        <w:vAlign w:val="top"/>
                      </w:tcPr>
                      <w:p/>
                    </w:tc>
                  </w:tr>
                  <w:tr>
                    <w:trPr>
                      <w:trHeight w:val="142" w:hRule="exact"/>
                    </w:trPr>
                    <w:tc>
                      <w:tcPr>
                        <w:tcW w:w="398" w:type="dxa"/>
                        <w:vMerge w:val="restart"/>
                        <w:tcBorders>
                          <w:top w:val="none"/>
                          <w:left w:val="none"/>
                          <w:bottom w:val="none"/>
                          <w:right w:val="none"/>
                        </w:tcBorders>
                        <w:textDirection w:val="lrTb"/>
                        <w:vAlign w:val="top"/>
                      </w:tcPr>
                      <w:p>
                        <w:pPr>
                          <w:spacing w:before="0" w:after="0" w:line="284" w:lineRule="exact"/>
                          <w:ind w:right="108"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5 4 3 2 1</w:t>
                        </w:r>
                      </w:p>
                      <w:p>
                        <w:pPr>
                          <w:spacing w:before="118" w:after="0" w:line="165"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1733" w:type="dxa"/>
                        <w:vMerge w:val="continue"/>
                        <w:tcBorders>
                          <w:top w:val="none"/>
                          <w:left w:val="none"/>
                          <w:bottom w:val="none"/>
                          <w:right w:val="none"/>
                        </w:tcBorders>
                        <w:textDirection w:val="lrTb"/>
                        <w:vAlign w:val="top"/>
                      </w:tcPr>
                      <w:p/>
                    </w:tc>
                    <w:tc>
                      <w:tcPr>
                        <w:tcW w:w="584" w:type="dxa"/>
                        <w:tcBorders>
                          <w:top w:val="none"/>
                          <w:left w:val="none"/>
                          <w:bottom w:val="single" w:sz="5" w:color="D8D8D8"/>
                          <w:right w:val="none"/>
                        </w:tcBorders>
                        <w:textDirection w:val="lrTb"/>
                        <w:vAlign w:val="top"/>
                      </w:tcPr>
                      <w:p/>
                    </w:tc>
                    <w:tc>
                      <w:tcPr>
                        <w:tcW w:w="240" w:type="dxa"/>
                        <w:tcBorders>
                          <w:top w:val="none"/>
                          <w:left w:val="none"/>
                          <w:bottom w:val="single" w:sz="5" w:color="D8D8D8"/>
                          <w:right w:val="none"/>
                        </w:tcBorders>
                        <w:textDirection w:val="lrTb"/>
                        <w:vAlign w:val="top"/>
                      </w:tcP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none"/>
                          <w:left w:val="none"/>
                          <w:bottom w:val="single" w:sz="5" w:color="D8D8D8"/>
                          <w:right w:val="none"/>
                        </w:tcBorders>
                        <w:textDirection w:val="lrTb"/>
                        <w:vAlign w:val="top"/>
                      </w:tcPr>
                      <w:p/>
                    </w:tc>
                    <w:tc>
                      <w:tcPr>
                        <w:tcW w:w="5180" w:type="dxa"/>
                        <w:vMerge w:val="restart"/>
                        <w:tcBorders>
                          <w:top w:val="none"/>
                          <w:left w:val="none"/>
                          <w:bottom w:val="none"/>
                          <w:right w:val="none"/>
                        </w:tcBorders>
                        <w:textDirection w:val="lrTb"/>
                        <w:vAlign w:val="top"/>
                      </w:tcPr>
                      <w:p>
                        <w:pPr>
                          <w:spacing w:before="0" w:after="14" w:line="240" w:lineRule="auto"/>
                          <w:ind w:right="0" w:left="0"/>
                          <w:jc w:val="center"/>
                          <w:textAlignment w:val="baseline"/>
                        </w:pPr>
                        <w:r>
                          <w:drawing>
                            <wp:inline>
                              <wp:extent cx="3288665" cy="966470"/>
                              <wp:docPr name="Picture" id="22"/>
                              <a:graphic>
                                <a:graphicData uri="http://schemas.openxmlformats.org/drawingml/2006/picture">
                                  <pic:pic>
                                    <pic:nvPicPr>
                                      <pic:cNvPr id="22" name="Picture"/>
                                      <pic:cNvPicPr preferRelativeResize="false"/>
                                    </pic:nvPicPr>
                                    <pic:blipFill>
                                      <a:blip r:embed="prId22"/>
                                      <a:stretch>
                                        <a:fillRect/>
                                      </a:stretch>
                                    </pic:blipFill>
                                    <pic:spPr>
                                      <a:xfrm>
                                        <a:off x="0" y="0"/>
                                        <a:ext cx="3288665" cy="966470"/>
                                      </a:xfrm>
                                      <a:prstGeom prst="rect"/>
                                    </pic:spPr>
                                  </pic:pic>
                                </a:graphicData>
                              </a:graphic>
                            </wp:inline>
                          </w:drawing>
                        </w:r>
                      </w:p>
                    </w:tc>
                  </w:tr>
                  <w:tr>
                    <w:trPr>
                      <w:trHeight w:val="298"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single" w:sz="5" w:color="D8D8D8"/>
                          <w:left w:val="none"/>
                          <w:bottom w:val="single" w:sz="5" w:color="D8D8D8"/>
                          <w:right w:val="none"/>
                        </w:tcBorders>
                        <w:textDirection w:val="lrTb"/>
                        <w:vAlign w:val="top"/>
                      </w:tcPr>
                      <w:p/>
                    </w:tc>
                    <w:tc>
                      <w:tcPr>
                        <w:tcW w:w="240" w:type="dxa"/>
                        <w:tcBorders>
                          <w:top w:val="single" w:sz="5" w:color="D8D8D8"/>
                          <w:left w:val="none"/>
                          <w:bottom w:val="single" w:sz="5" w:color="D8D8D8"/>
                          <w:right w:val="none"/>
                        </w:tcBorders>
                        <w:textDirection w:val="lrTb"/>
                        <w:vAlign w:val="top"/>
                      </w:tcP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single" w:sz="5" w:color="D8D8D8"/>
                          <w:left w:val="none"/>
                          <w:bottom w:val="single" w:sz="5" w:color="D8D8D8"/>
                          <w:right w:val="none"/>
                        </w:tcBorders>
                        <w:textDirection w:val="lrTb"/>
                        <w:vAlign w:val="top"/>
                      </w:tcPr>
                      <w:p/>
                    </w:tc>
                    <w:tc>
                      <w:tcPr>
                        <w:tcW w:w="5180" w:type="dxa"/>
                        <w:vMerge w:val="continue"/>
                        <w:tcBorders>
                          <w:top w:val="none"/>
                          <w:left w:val="none"/>
                          <w:bottom w:val="none"/>
                          <w:right w:val="none"/>
                        </w:tcBorders>
                        <w:textDirection w:val="lrTb"/>
                        <w:vAlign w:val="top"/>
                      </w:tcPr>
                      <w:p/>
                    </w:tc>
                  </w:tr>
                  <w:tr>
                    <w:trPr>
                      <w:trHeight w:val="297"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single" w:sz="5" w:color="D8D8D8"/>
                          <w:left w:val="none"/>
                          <w:bottom w:val="single" w:sz="5" w:color="D8D8D8"/>
                          <w:right w:val="none"/>
                        </w:tcBorders>
                        <w:textDirection w:val="lrTb"/>
                        <w:vAlign w:val="top"/>
                      </w:tcPr>
                      <w:p/>
                    </w:tc>
                    <w:tc>
                      <w:tcPr>
                        <w:tcW w:w="240" w:type="dxa"/>
                        <w:tcBorders>
                          <w:top w:val="single" w:sz="5" w:color="D8D8D8"/>
                          <w:left w:val="none"/>
                          <w:bottom w:val="single" w:sz="5" w:color="D8D8D8"/>
                          <w:right w:val="none"/>
                        </w:tcBorders>
                        <w:textDirection w:val="lrTb"/>
                        <w:vAlign w:val="top"/>
                      </w:tcP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single" w:sz="5" w:color="D8D8D8"/>
                          <w:left w:val="none"/>
                          <w:bottom w:val="single" w:sz="5" w:color="D8D8D8"/>
                          <w:right w:val="none"/>
                        </w:tcBorders>
                        <w:textDirection w:val="lrTb"/>
                        <w:vAlign w:val="top"/>
                      </w:tcPr>
                      <w:p/>
                    </w:tc>
                    <w:tc>
                      <w:tcPr>
                        <w:tcW w:w="5180" w:type="dxa"/>
                        <w:vMerge w:val="continue"/>
                        <w:tcBorders>
                          <w:top w:val="none"/>
                          <w:left w:val="none"/>
                          <w:bottom w:val="none"/>
                          <w:right w:val="none"/>
                        </w:tcBorders>
                        <w:textDirection w:val="lrTb"/>
                        <w:vAlign w:val="top"/>
                      </w:tcPr>
                      <w:p/>
                    </w:tc>
                  </w:tr>
                  <w:tr>
                    <w:trPr>
                      <w:trHeight w:val="269"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single" w:sz="5" w:color="D8D8D8"/>
                          <w:left w:val="none"/>
                          <w:bottom w:val="none"/>
                          <w:right w:val="none"/>
                        </w:tcBorders>
                        <w:textDirection w:val="lrTb"/>
                        <w:vAlign w:val="top"/>
                      </w:tcPr>
                      <w:p/>
                    </w:tc>
                    <w:tc>
                      <w:tcPr>
                        <w:tcW w:w="240" w:type="dxa"/>
                        <w:tcBorders>
                          <w:top w:val="single" w:sz="5" w:color="D8D8D8"/>
                          <w:left w:val="none"/>
                          <w:bottom w:val="none"/>
                          <w:right w:val="none"/>
                        </w:tcBorders>
                        <w:textDirection w:val="lrTb"/>
                        <w:vAlign w:val="top"/>
                      </w:tcP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single" w:sz="5" w:color="D8D8D8"/>
                          <w:left w:val="none"/>
                          <w:bottom w:val="none"/>
                          <w:right w:val="none"/>
                        </w:tcBorders>
                        <w:textDirection w:val="lrTb"/>
                        <w:vAlign w:val="top"/>
                      </w:tcPr>
                      <w:p/>
                    </w:tc>
                    <w:tc>
                      <w:tcPr>
                        <w:tcW w:w="5180" w:type="dxa"/>
                        <w:vMerge w:val="continue"/>
                        <w:tcBorders>
                          <w:top w:val="none"/>
                          <w:left w:val="none"/>
                          <w:bottom w:val="none"/>
                          <w:right w:val="none"/>
                        </w:tcBorders>
                        <w:textDirection w:val="lrTb"/>
                        <w:vAlign w:val="top"/>
                      </w:tcPr>
                      <w:p/>
                    </w:tc>
                  </w:tr>
                  <w:tr>
                    <w:trPr>
                      <w:trHeight w:val="29"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none"/>
                          <w:left w:val="none"/>
                          <w:bottom w:val="single" w:sz="5" w:color="D8D8D8"/>
                          <w:right w:val="none"/>
                        </w:tcBorders>
                        <w:textDirection w:val="lrTb"/>
                        <w:vAlign w:val="top"/>
                      </w:tcPr>
                      <w:p/>
                    </w:tc>
                    <w:tc>
                      <w:tcPr>
                        <w:tcW w:w="240"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none"/>
                          <w:left w:val="none"/>
                          <w:bottom w:val="single" w:sz="5" w:color="D8D8D8"/>
                          <w:right w:val="none"/>
                        </w:tcBorders>
                        <w:textDirection w:val="lrTb"/>
                        <w:vAlign w:val="top"/>
                      </w:tcPr>
                      <w:p/>
                    </w:tc>
                    <w:tc>
                      <w:tcPr>
                        <w:tcW w:w="5180" w:type="dxa"/>
                        <w:vMerge w:val="continue"/>
                        <w:tcBorders>
                          <w:top w:val="none"/>
                          <w:left w:val="none"/>
                          <w:bottom w:val="none"/>
                          <w:right w:val="none"/>
                        </w:tcBorders>
                        <w:textDirection w:val="lrTb"/>
                        <w:vAlign w:val="top"/>
                      </w:tcPr>
                      <w:p/>
                    </w:tc>
                  </w:tr>
                  <w:tr>
                    <w:trPr>
                      <w:trHeight w:val="297"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none"/>
                          <w:right w:val="none"/>
                        </w:tcBorders>
                        <w:textDirection w:val="lrTb"/>
                        <w:vAlign w:val="top"/>
                      </w:tcPr>
                      <w:p/>
                    </w:tc>
                    <w:tc>
                      <w:tcPr>
                        <w:tcW w:w="584" w:type="dxa"/>
                        <w:tcBorders>
                          <w:top w:val="single" w:sz="5" w:color="D8D8D8"/>
                          <w:left w:val="none"/>
                          <w:bottom w:val="single" w:sz="4" w:color="D8D8D8"/>
                          <w:right w:val="none"/>
                        </w:tcBorders>
                        <w:textDirection w:val="lrTb"/>
                        <w:vAlign w:val="top"/>
                      </w:tcPr>
                      <w:p/>
                    </w:tc>
                    <w:tc>
                      <w:tcPr>
                        <w:tcW w:w="240" w:type="dxa"/>
                        <w:tcBorders>
                          <w:top w:val="none"/>
                          <w:left w:val="none"/>
                          <w:bottom w:val="none"/>
                          <w:right w:val="none"/>
                        </w:tcBorders>
                        <w:textDirection w:val="lrTb"/>
                        <w:vAlign w:val="top"/>
                      </w:tcPr>
                      <w:p/>
                    </w:tc>
                    <w:tc>
                      <w:tcPr>
                        <w:tcW w:w="6" w:type="dxa"/>
                        <w:tcBorders>
                          <w:top w:val="none"/>
                          <w:left w:val="none"/>
                          <w:bottom w:val="none"/>
                          <w:right w:val="none"/>
                        </w:tcBorders>
                        <w:textDirection w:val="lrTb"/>
                        <w:vAlign w:val="top"/>
                      </w:tcPr>
                      <w:p/>
                    </w:tc>
                    <w:tc>
                      <w:tcPr>
                        <w:tcW w:w="235" w:type="dxa"/>
                        <w:tcBorders>
                          <w:top w:val="none"/>
                          <w:left w:val="none"/>
                          <w:bottom w:val="none"/>
                          <w:right w:val="none"/>
                        </w:tcBorders>
                        <w:textDirection w:val="lrTb"/>
                        <w:vAlign w:val="top"/>
                      </w:tcPr>
                      <w:p/>
                    </w:tc>
                    <w:tc>
                      <w:tcPr>
                        <w:tcW w:w="595" w:type="dxa"/>
                        <w:tcBorders>
                          <w:top w:val="single" w:sz="5" w:color="D8D8D8"/>
                          <w:left w:val="none"/>
                          <w:bottom w:val="single" w:sz="4" w:color="D8D8D8"/>
                          <w:right w:val="none"/>
                        </w:tcBorders>
                        <w:textDirection w:val="lrTb"/>
                        <w:vAlign w:val="top"/>
                      </w:tcPr>
                      <w:p/>
                    </w:tc>
                    <w:tc>
                      <w:tcPr>
                        <w:tcW w:w="5180" w:type="dxa"/>
                        <w:vMerge w:val="continue"/>
                        <w:tcBorders>
                          <w:top w:val="none"/>
                          <w:left w:val="none"/>
                          <w:bottom w:val="none"/>
                          <w:right w:val="none"/>
                        </w:tcBorders>
                        <w:textDirection w:val="lrTb"/>
                        <w:vAlign w:val="top"/>
                      </w:tcPr>
                      <w:p/>
                    </w:tc>
                  </w:tr>
                  <w:tr>
                    <w:trPr>
                      <w:trHeight w:val="317" w:hRule="exact"/>
                    </w:trPr>
                    <w:tc>
                      <w:tcPr>
                        <w:tcW w:w="398" w:type="dxa"/>
                        <w:vMerge w:val="continue"/>
                        <w:tcBorders>
                          <w:top w:val="none"/>
                          <w:left w:val="none"/>
                          <w:bottom w:val="none"/>
                          <w:right w:val="none"/>
                        </w:tcBorders>
                        <w:textDirection w:val="lrTb"/>
                        <w:vAlign w:val="top"/>
                      </w:tcPr>
                      <w:p/>
                    </w:tc>
                    <w:tc>
                      <w:tcPr>
                        <w:tcW w:w="1733" w:type="dxa"/>
                        <w:vMerge w:val="continue"/>
                        <w:tcBorders>
                          <w:top w:val="none"/>
                          <w:left w:val="none"/>
                          <w:bottom w:val="single" w:sz="5" w:color="1B6486"/>
                          <w:right w:val="none"/>
                        </w:tcBorders>
                        <w:textDirection w:val="lrTb"/>
                        <w:vAlign w:val="top"/>
                      </w:tcPr>
                      <w:p/>
                    </w:tc>
                    <w:tc>
                      <w:tcPr>
                        <w:tcW w:w="584" w:type="dxa"/>
                        <w:tcBorders>
                          <w:top w:val="single" w:sz="4" w:color="D8D8D8"/>
                          <w:left w:val="none"/>
                          <w:bottom w:val="single" w:sz="5" w:color="1B6486"/>
                          <w:right w:val="none"/>
                        </w:tcBorders>
                        <w:textDirection w:val="lrTb"/>
                        <w:vAlign w:val="top"/>
                      </w:tcPr>
                      <w:p/>
                    </w:tc>
                    <w:tc>
                      <w:tcPr>
                        <w:tcW w:w="240" w:type="dxa"/>
                        <w:tcBorders>
                          <w:top w:val="none"/>
                          <w:left w:val="none"/>
                          <w:bottom w:val="single" w:sz="5" w:color="1B6486"/>
                          <w:right w:val="none"/>
                        </w:tcBorders>
                        <w:textDirection w:val="lrTb"/>
                        <w:vAlign w:val="top"/>
                      </w:tcPr>
                      <w:p/>
                    </w:tc>
                    <w:tc>
                      <w:tcPr>
                        <w:tcW w:w="6" w:type="dxa"/>
                        <w:tcBorders>
                          <w:top w:val="none"/>
                          <w:left w:val="none"/>
                          <w:bottom w:val="single" w:sz="5" w:color="1B6486"/>
                          <w:right w:val="none"/>
                        </w:tcBorders>
                        <w:textDirection w:val="lrTb"/>
                        <w:vAlign w:val="top"/>
                      </w:tcPr>
                      <w:p/>
                    </w:tc>
                    <w:tc>
                      <w:tcPr>
                        <w:tcW w:w="235" w:type="dxa"/>
                        <w:tcBorders>
                          <w:top w:val="none"/>
                          <w:left w:val="none"/>
                          <w:bottom w:val="single" w:sz="5" w:color="1B6486"/>
                          <w:right w:val="none"/>
                        </w:tcBorders>
                        <w:textDirection w:val="lrTb"/>
                        <w:vAlign w:val="top"/>
                      </w:tcPr>
                      <w:p/>
                    </w:tc>
                    <w:tc>
                      <w:tcPr>
                        <w:tcW w:w="595" w:type="dxa"/>
                        <w:tcBorders>
                          <w:top w:val="single" w:sz="4" w:color="D8D8D8"/>
                          <w:left w:val="none"/>
                          <w:bottom w:val="single" w:sz="5" w:color="1B6486"/>
                          <w:right w:val="none"/>
                        </w:tcBorders>
                        <w:textDirection w:val="lrTb"/>
                        <w:vAlign w:val="top"/>
                      </w:tcPr>
                      <w:p/>
                    </w:tc>
                    <w:tc>
                      <w:tcPr>
                        <w:tcW w:w="5180" w:type="dxa"/>
                        <w:vMerge w:val="continue"/>
                        <w:tcBorders>
                          <w:top w:val="none"/>
                          <w:left w:val="none"/>
                          <w:bottom w:val="single" w:sz="5" w:color="1B6486"/>
                          <w:right w:val="none"/>
                        </w:tcBorders>
                        <w:textDirection w:val="lrTb"/>
                        <w:vAlign w:val="top"/>
                      </w:tcPr>
                      <w:p/>
                    </w:tc>
                  </w:tr>
                  <w:tr>
                    <w:trPr>
                      <w:trHeight w:val="62" w:hRule="exact"/>
                    </w:trPr>
                    <w:tc>
                      <w:tcPr>
                        <w:tcW w:w="398" w:type="dxa"/>
                        <w:vMerge w:val="continue"/>
                        <w:tcBorders>
                          <w:top w:val="none"/>
                          <w:left w:val="none"/>
                          <w:bottom w:val="none"/>
                          <w:right w:val="none"/>
                        </w:tcBorders>
                        <w:textDirection w:val="lrTb"/>
                        <w:vAlign w:val="top"/>
                      </w:tcPr>
                      <w:p/>
                    </w:tc>
                    <w:tc>
                      <w:tcPr>
                        <w:tcW w:w="1733" w:type="dxa"/>
                        <w:tcBorders>
                          <w:top w:val="single" w:sz="5" w:color="1B6486"/>
                          <w:left w:val="none"/>
                          <w:bottom w:val="none"/>
                          <w:right w:val="none"/>
                        </w:tcBorders>
                        <w:textDirection w:val="lrTb"/>
                        <w:vAlign w:val="top"/>
                      </w:tcPr>
                      <w:p/>
                    </w:tc>
                    <w:tc>
                      <w:tcPr>
                        <w:tcW w:w="584" w:type="dxa"/>
                        <w:tcBorders>
                          <w:top w:val="single" w:sz="5" w:color="1B6486"/>
                          <w:left w:val="none"/>
                          <w:bottom w:val="none"/>
                          <w:right w:val="none"/>
                        </w:tcBorders>
                        <w:textDirection w:val="lrTb"/>
                        <w:vAlign w:val="top"/>
                      </w:tcPr>
                      <w:p/>
                    </w:tc>
                    <w:tc>
                      <w:tcPr>
                        <w:tcW w:w="240" w:type="dxa"/>
                        <w:tcBorders>
                          <w:top w:val="single" w:sz="5" w:color="1B6486"/>
                          <w:left w:val="none"/>
                          <w:bottom w:val="none"/>
                          <w:right w:val="none"/>
                        </w:tcBorders>
                        <w:textDirection w:val="lrTb"/>
                        <w:vAlign w:val="top"/>
                      </w:tcPr>
                      <w:p/>
                    </w:tc>
                    <w:tc>
                      <w:tcPr>
                        <w:tcW w:w="6" w:type="dxa"/>
                        <w:tcBorders>
                          <w:top w:val="single" w:sz="5" w:color="1B6486"/>
                          <w:left w:val="none"/>
                          <w:bottom w:val="none"/>
                          <w:right w:val="none"/>
                        </w:tcBorders>
                        <w:textDirection w:val="lrTb"/>
                        <w:vAlign w:val="top"/>
                      </w:tcPr>
                      <w:p/>
                    </w:tc>
                    <w:tc>
                      <w:tcPr>
                        <w:tcW w:w="235" w:type="dxa"/>
                        <w:tcBorders>
                          <w:top w:val="single" w:sz="5" w:color="1B6486"/>
                          <w:left w:val="none"/>
                          <w:bottom w:val="none"/>
                          <w:right w:val="none"/>
                        </w:tcBorders>
                        <w:textDirection w:val="lrTb"/>
                        <w:vAlign w:val="top"/>
                      </w:tcPr>
                      <w:p/>
                    </w:tc>
                    <w:tc>
                      <w:tcPr>
                        <w:tcW w:w="595" w:type="dxa"/>
                        <w:tcBorders>
                          <w:top w:val="single" w:sz="5" w:color="1B6486"/>
                          <w:left w:val="none"/>
                          <w:bottom w:val="none"/>
                          <w:right w:val="none"/>
                        </w:tcBorders>
                        <w:textDirection w:val="lrTb"/>
                        <w:vAlign w:val="top"/>
                      </w:tcPr>
                      <w:p/>
                    </w:tc>
                    <w:tc>
                      <w:tcPr>
                        <w:tcW w:w="5180" w:type="dxa"/>
                        <w:tcBorders>
                          <w:top w:val="single" w:sz="5" w:color="1B6486"/>
                          <w:left w:val="none"/>
                          <w:bottom w:val="none"/>
                          <w:right w:val="none"/>
                        </w:tcBorders>
                        <w:textDirection w:val="lrTb"/>
                        <w:vAlign w:val="top"/>
                      </w:tcPr>
                      <w:p/>
                    </w:tc>
                  </w:tr>
                </w:tbl>
              </w:txbxContent>
            </v:textbox>
          </v:shape>
        </w:pict>
      </w:r>
      <w:r>
        <w:pict>
          <v:shapetype id="_x0000_t76" coordsize="21600,21600" o:spt="202" path="m,l,21600r21600,l21600,xe">
            <v:stroke joinstyle="miter"/>
            <v:path gradientshapeok="t" o:connecttype="rect"/>
          </v:shapetype>
          <v:shape id="_x0000_s75" type="#_x0000_t76" filled="f" stroked="f" style="position:absolute;width:456.4pt;height:10.2pt;z-index:-1;margin-left:73pt;margin-top:608.7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656"/>
                      <w:tab w:val="left" w:leader="none" w:pos="2808"/>
                      <w:tab w:val="left" w:leader="none" w:pos="3816"/>
                      <w:tab w:val="left" w:leader="none" w:pos="4968"/>
                      <w:tab w:val="left" w:leader="none" w:pos="5976"/>
                      <w:tab w:val="left" w:leader="none" w:pos="7056"/>
                      <w:tab w:val="left" w:leader="none" w:pos="8208"/>
                    </w:tabs>
                    <w:spacing w:before="20" w:after="0" w:line="174" w:lineRule="exact"/>
                    <w:ind w:right="0" w:left="57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77" coordsize="21600,21600" o:spt="202" path="m,l,21600r21600,l21600,xe">
            <v:stroke joinstyle="miter"/>
            <v:path gradientshapeok="t" o:connecttype="rect"/>
          </v:shapetype>
          <v:shape id="_x0000_s76" type="#_x0000_t77" filled="f" stroked="f" style="position:absolute;width:456.4pt;height:33.95pt;z-index:-1;margin-left:73pt;margin-top:618.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456"/>
                      <w:tab w:val="left" w:leader="none" w:pos="4464"/>
                    </w:tabs>
                    <w:spacing w:before="214" w:after="273" w:line="180" w:lineRule="exact"/>
                    <w:ind w:right="0" w:left="266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Black	</w:t>
                  </w:r>
                  <w:r>
                    <w:rPr>
                      <w:rFonts w:ascii="Calibri" w:hAnsi="Calibri" w:eastAsia="Calibri"/>
                      <w:color w:val="585858"/>
                      <w:spacing w:val="0"/>
                      <w:w w:val="100"/>
                      <w:sz w:val="18"/>
                      <w:vertAlign w:val="baseline"/>
                      <w:lang w:val="en-US"/>
                    </w:rPr>
                    <w:t xml:space="preserve">Hispanic 	</w:t>
                  </w:r>
                  <w:r>
                    <w:rPr>
                      <w:rFonts w:ascii="Calibri" w:hAnsi="Calibri" w:eastAsia="Calibri"/>
                      <w:color w:val="585858"/>
                      <w:spacing w:val="0"/>
                      <w:w w:val="100"/>
                      <w:sz w:val="18"/>
                      <w:vertAlign w:val="baseline"/>
                      <w:lang w:val="en-US"/>
                    </w:rPr>
                    <w:t xml:space="preserve">American Indian/Alaska Native</w:t>
                  </w:r>
                </w:p>
              </w:txbxContent>
            </v:textbox>
          </v:shape>
        </w:pict>
      </w:r>
      <w:r>
        <w:pict>
          <v:shapetype id="_x0000_t78" coordsize="21600,21600" o:spt="202" path="m,l,21600r21600,l21600,xe">
            <v:stroke joinstyle="miter"/>
            <v:path gradientshapeok="t" o:connecttype="rect"/>
          </v:shapetype>
          <v:shape id="_x0000_s77" type="#_x0000_t78" filled="f" stroked="f" style="position:absolute;width:43.7pt;height:5pt;z-index:-999;margin-left:198.95pt;margin-top:631.7pt;mso-wrap-distance-left:0pt;mso-wrap-distance-right:0pt;mso-position-horizontal-relative:page;mso-position-vertical-relative:page">
            <v:fill opacity="1" o:opacity2="1" recolor="f" rotate="f" type="solid"/>
            <v:textbox inset="0pt, 0pt, 0pt, 0pt">
              <w:txbxContent>
                <w:p>
                  <w:pPr>
                    <w:spacing w:before="0" w:after="0" w:line="100" w:lineRule="exact"/>
                    <w:ind w:right="0" w:left="0"/>
                    <w:jc w:val="left"/>
                    <w:textAlignment w:val="baseline"/>
                  </w:pPr>
                  <w:r>
                    <w:drawing>
                      <wp:inline>
                        <wp:extent cx="554990" cy="63500"/>
                        <wp:docPr name="Picture" id="23"/>
                        <a:graphic>
                          <a:graphicData uri="http://schemas.openxmlformats.org/drawingml/2006/picture">
                            <pic:pic>
                              <pic:nvPicPr>
                                <pic:cNvPr id="23" name="Picture"/>
                                <pic:cNvPicPr preferRelativeResize="false"/>
                              </pic:nvPicPr>
                              <pic:blipFill>
                                <a:blip r:embed="prId23"/>
                                <a:stretch>
                                  <a:fillRect/>
                                </a:stretch>
                              </pic:blipFill>
                              <pic:spPr>
                                <a:xfrm>
                                  <a:off x="0" y="0"/>
                                  <a:ext cx="554990" cy="63500"/>
                                </a:xfrm>
                                <a:prstGeom prst="rect"/>
                              </pic:spPr>
                            </pic:pic>
                          </a:graphicData>
                        </a:graphic>
                      </wp:inline>
                    </w:drawing>
                  </w:r>
                </w:p>
              </w:txbxContent>
            </v:textbox>
          </v:shape>
        </w:pict>
      </w:r>
      <w:r>
        <w:pict>
          <v:shapetype id="_x0000_t79" coordsize="21600,21600" o:spt="202" path="m,l,21600r21600,l21600,xe">
            <v:stroke joinstyle="miter"/>
            <v:path gradientshapeok="t" o:connecttype="rect"/>
          </v:shapetype>
          <v:shape id="_x0000_s78" type="#_x0000_t7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23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D8D8D8" from="71.75pt,112.1pt" to="71.75pt,334.35pt" style="position:absolute;mso-position-horizontal-relative:page;mso-position-vertical-relative:page;">
            <v:stroke dashstyle="solid"/>
          </v:line>
        </w:pict>
      </w:r>
      <w:r>
        <w:pict>
          <v:line strokeweight="0.7pt" strokecolor="#D8D8D8" from="534.25pt,114pt" to="534.25pt,334.15pt" style="position:absolute;mso-position-horizontal-relative:page;mso-position-vertical-relative:page;">
            <v:stroke dashstyle="solid"/>
          </v:line>
        </w:pict>
      </w:r>
      <w:r>
        <w:pict>
          <v:line strokeweight="0.5pt" strokecolor="#D8D8D8" from="91.2pt,498.25pt" to="519.9pt,498.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6" w:after="0" w:line="222" w:lineRule="exact"/>
        <w:ind w:right="0" w:left="1440" w:firstLine="0"/>
        <w:jc w:val="left"/>
        <w:textAlignment w:val="baseline"/>
        <w:rPr>
          <w:rFonts w:ascii="Calibri" w:hAnsi="Calibri" w:eastAsia="Calibri"/>
          <w:i w:val="true"/>
          <w:color w:val="000000"/>
          <w:spacing w:val="-1"/>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i w:val="true"/>
          <w:color w:val="000000"/>
          <w:spacing w:val="-1"/>
          <w:w w:val="100"/>
          <w:sz w:val="22"/>
          <w:vertAlign w:val="baseline"/>
          <w:lang w:val="en-US"/>
        </w:rPr>
        <w:t xml:space="preserve">Migrant Farm Workers</w:t>
      </w:r>
    </w:p>
    <w:p>
      <w:pPr>
        <w:spacing w:before="172" w:after="0" w:line="287"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2022 Census of Agriculture reported that there were 22,000 workers on farms in the Finger Lakes region. Just less than one quarter (5,340) were unpaid and probably represented family members or co</w:t>
        <w:softHyphen/>
      </w:r>
      <w:r>
        <w:rPr>
          <w:rFonts w:ascii="Calibri" w:hAnsi="Calibri" w:eastAsia="Calibri"/>
          <w:color w:val="000000"/>
          <w:spacing w:val="-2"/>
          <w:w w:val="100"/>
          <w:sz w:val="22"/>
          <w:vertAlign w:val="baseline"/>
          <w:lang w:val="en-US"/>
        </w:rPr>
        <w:t xml:space="preserve">op workers. The vast majority (16,600) were paid workers, but not necessarily in full-time or permanent positions. Wayne County had the highest number of migrant workers (3,034) of the eight counties.</w:t>
      </w:r>
    </w:p>
    <w:p>
      <w:pPr>
        <w:spacing w:before="165" w:after="0" w:line="287"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Almost 25% of the region’s farms contracted with migrant farm workers. Because migrant farm workers move from job to job depending on the season, a single migrant worker may be counted by multiple</w:t>
      </w:r>
    </w:p>
    <w:p>
      <w:pPr>
        <w:spacing w:before="66" w:after="182"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farms, therefore the total number of migrant workers is potentially an over count of individuals (Table 3).</w:t>
      </w:r>
    </w:p>
    <w:tbl>
      <w:tblPr>
        <w:jc w:val="left"/>
        <w:tblInd w:w="1440" w:type="dxa"/>
        <w:tblLayout w:type="fixed"/>
        <w:tblCellMar>
          <w:left w:w="0" w:type="dxa"/>
          <w:right w:w="0" w:type="dxa"/>
        </w:tblCellMar>
      </w:tblPr>
      <w:tblGrid>
        <w:gridCol w:w="1334"/>
        <w:gridCol w:w="1340"/>
        <w:gridCol w:w="1334"/>
        <w:gridCol w:w="1339"/>
        <w:gridCol w:w="1335"/>
        <w:gridCol w:w="1334"/>
        <w:gridCol w:w="1344"/>
      </w:tblGrid>
      <w:tr>
        <w:trPr>
          <w:trHeight w:val="283" w:hRule="exact"/>
        </w:trPr>
        <w:tc>
          <w:tcPr>
            <w:tcW w:w="1334" w:type="dxa"/>
            <w:vMerge w:val="restart"/>
            <w:tcBorders>
              <w:top w:val="single" w:sz="5" w:color="000000"/>
              <w:left w:val="single" w:sz="5" w:color="000000"/>
              <w:bottom w:val="none"/>
              <w:right w:val="single" w:sz="5" w:color="000000"/>
            </w:tcBorders>
            <w:shd w:val="clear" w:color="C1E3F5" w:fill="C1E3F5"/>
            <w:textDirection w:val="lrTb"/>
            <w:vAlign w:val="top"/>
          </w:tcPr>
          <w:p>
            <w:pPr>
              <w:spacing w:before="307" w:after="1363" w:line="226" w:lineRule="exact"/>
              <w:ind w:right="343"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County</w:t>
            </w:r>
          </w:p>
        </w:tc>
        <w:tc>
          <w:tcPr>
            <w:tcW w:w="1340" w:type="dxa"/>
            <w:vMerge w:val="restart"/>
            <w:tcBorders>
              <w:top w:val="single" w:sz="5" w:color="000000"/>
              <w:left w:val="single" w:sz="5" w:color="000000"/>
              <w:bottom w:val="none"/>
              <w:right w:val="single" w:sz="5" w:color="000000"/>
            </w:tcBorders>
            <w:shd w:val="clear" w:color="C1E3F5" w:fill="C1E3F5"/>
            <w:textDirection w:val="lrTb"/>
            <w:vAlign w:val="center"/>
          </w:tcPr>
          <w:p>
            <w:pPr>
              <w:spacing w:before="255" w:after="0" w:line="269"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Number of</w:t>
              <w:br/>
            </w:r>
            <w:r>
              <w:rPr>
                <w:rFonts w:ascii="Calibri" w:hAnsi="Calibri" w:eastAsia="Calibri"/>
                <w:b w:val="true"/>
                <w:color w:val="000000"/>
                <w:spacing w:val="0"/>
                <w:w w:val="100"/>
                <w:sz w:val="22"/>
                <w:vertAlign w:val="baseline"/>
                <w:lang w:val="en-US"/>
              </w:rPr>
              <w:t xml:space="preserve">Farms with</w:t>
            </w:r>
          </w:p>
          <w:p>
            <w:pPr>
              <w:spacing w:before="52" w:after="0" w:line="222" w:lineRule="exact"/>
              <w:ind w:right="36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Hired</w:t>
            </w:r>
          </w:p>
          <w:p>
            <w:pPr>
              <w:spacing w:before="46" w:after="0" w:line="222" w:lineRule="exact"/>
              <w:ind w:right="36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Workers</w:t>
            </w:r>
          </w:p>
          <w:p>
            <w:pPr>
              <w:spacing w:before="47" w:after="292" w:line="222" w:lineRule="exact"/>
              <w:ind w:right="36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(2022)</w:t>
            </w:r>
          </w:p>
        </w:tc>
        <w:tc>
          <w:tcPr>
            <w:tcW w:w="1334" w:type="dxa"/>
            <w:vMerge w:val="restart"/>
            <w:tcBorders>
              <w:top w:val="single" w:sz="5" w:color="000000"/>
              <w:left w:val="single" w:sz="5" w:color="000000"/>
              <w:bottom w:val="none"/>
              <w:right w:val="single" w:sz="5" w:color="000000"/>
            </w:tcBorders>
            <w:shd w:val="clear" w:color="C1E3F5" w:fill="C1E3F5"/>
            <w:textDirection w:val="lrTb"/>
            <w:vAlign w:val="center"/>
          </w:tcPr>
          <w:p>
            <w:pPr>
              <w:spacing w:before="255" w:after="0" w:line="269"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Number of</w:t>
              <w:br/>
            </w:r>
            <w:r>
              <w:rPr>
                <w:rFonts w:ascii="Calibri" w:hAnsi="Calibri" w:eastAsia="Calibri"/>
                <w:b w:val="true"/>
                <w:color w:val="000000"/>
                <w:spacing w:val="0"/>
                <w:w w:val="100"/>
                <w:sz w:val="22"/>
                <w:vertAlign w:val="baseline"/>
                <w:lang w:val="en-US"/>
              </w:rPr>
              <w:t xml:space="preserve">Farms with</w:t>
            </w:r>
          </w:p>
          <w:p>
            <w:pPr>
              <w:spacing w:before="52" w:after="0" w:line="226" w:lineRule="exact"/>
              <w:ind w:right="288"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Migrant</w:t>
            </w:r>
          </w:p>
          <w:p>
            <w:pPr>
              <w:spacing w:before="42" w:after="0" w:line="222" w:lineRule="exact"/>
              <w:ind w:right="288"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Workers</w:t>
            </w:r>
          </w:p>
          <w:p>
            <w:pPr>
              <w:spacing w:before="47" w:after="292" w:line="222" w:lineRule="exact"/>
              <w:ind w:right="38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(2022)</w:t>
            </w:r>
          </w:p>
        </w:tc>
        <w:tc>
          <w:tcPr>
            <w:tcW w:w="2674" w:type="dxa"/>
            <w:gridSpan w:val="2"/>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15" w:line="222" w:lineRule="exact"/>
              <w:ind w:right="475"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Hired Farm Labor</w:t>
            </w:r>
            <w:r>
              <w:rPr>
                <w:rFonts w:ascii="Calibri" w:hAnsi="Calibri" w:eastAsia="Calibri"/>
                <w:b w:val="true"/>
                <w:color w:val="000000"/>
                <w:spacing w:val="0"/>
                <w:w w:val="100"/>
                <w:sz w:val="22"/>
                <w:vertAlign w:val="superscript"/>
                <w:lang w:val="en-US"/>
              </w:rPr>
              <w:t xml:space="preserve">*</w:t>
            </w:r>
            <w:r>
              <w:rPr>
                <w:rFonts w:ascii="Calibri" w:hAnsi="Calibri" w:eastAsia="Calibri"/>
                <w:b w:val="true"/>
                <w:color w:val="000000"/>
                <w:spacing w:val="0"/>
                <w:w w:val="100"/>
                <w:sz w:val="14"/>
                <w:vertAlign w:val="baseline"/>
                <w:lang w:val="en-US"/>
              </w:rPr>
              <w:t xml:space="preserve">
</w:t>
            </w:r>
          </w:p>
        </w:tc>
        <w:tc>
          <w:tcPr>
            <w:tcW w:w="1334" w:type="dxa"/>
            <w:vMerge w:val="restart"/>
            <w:tcBorders>
              <w:top w:val="single" w:sz="5" w:color="000000"/>
              <w:left w:val="single" w:sz="5" w:color="000000"/>
              <w:bottom w:val="none"/>
              <w:right w:val="single" w:sz="5" w:color="000000"/>
            </w:tcBorders>
            <w:shd w:val="clear" w:color="C1E3F5" w:fill="C1E3F5"/>
            <w:textDirection w:val="lrTb"/>
            <w:vAlign w:val="top"/>
          </w:tcPr>
          <w:p>
            <w:pPr>
              <w:spacing w:before="259" w:after="561" w:line="269"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Number of</w:t>
              <w:br/>
            </w:r>
            <w:r>
              <w:rPr>
                <w:rFonts w:ascii="Calibri" w:hAnsi="Calibri" w:eastAsia="Calibri"/>
                <w:b w:val="true"/>
                <w:color w:val="000000"/>
                <w:spacing w:val="0"/>
                <w:w w:val="100"/>
                <w:sz w:val="22"/>
                <w:vertAlign w:val="baseline"/>
                <w:lang w:val="en-US"/>
              </w:rPr>
              <w:t xml:space="preserve">Migrant</w:t>
              <w:br/>
            </w:r>
            <w:r>
              <w:rPr>
                <w:rFonts w:ascii="Calibri" w:hAnsi="Calibri" w:eastAsia="Calibri"/>
                <w:b w:val="true"/>
                <w:color w:val="000000"/>
                <w:spacing w:val="0"/>
                <w:w w:val="100"/>
                <w:sz w:val="22"/>
                <w:vertAlign w:val="baseline"/>
                <w:lang w:val="en-US"/>
              </w:rPr>
              <w:t xml:space="preserve">Workers</w:t>
            </w:r>
            <w:r>
              <w:rPr>
                <w:rFonts w:ascii="Calibri" w:hAnsi="Calibri" w:eastAsia="Calibri"/>
                <w:b w:val="true"/>
                <w:color w:val="000000"/>
                <w:spacing w:val="0"/>
                <w:w w:val="100"/>
                <w:sz w:val="22"/>
                <w:vertAlign w:val="superscript"/>
                <w:lang w:val="en-US"/>
              </w:rPr>
              <w:t xml:space="preserve">**</w:t>
            </w:r>
            <w:r>
              <w:rPr>
                <w:rFonts w:ascii="Calibri" w:hAnsi="Calibri" w:eastAsia="Calibri"/>
                <w:b w:val="true"/>
                <w:color w:val="000000"/>
                <w:spacing w:val="0"/>
                <w:w w:val="100"/>
                <w:sz w:val="14"/>
                <w:vertAlign w:val="baseline"/>
                <w:lang w:val="en-US"/>
              </w:rPr>
              <w:t xml:space="preserve"></w:t>
              <w:br/>
            </w:r>
            <w:r>
              <w:rPr>
                <w:rFonts w:ascii="Calibri" w:hAnsi="Calibri" w:eastAsia="Calibri"/>
                <w:b w:val="true"/>
                <w:color w:val="000000"/>
                <w:spacing w:val="0"/>
                <w:w w:val="100"/>
                <w:sz w:val="22"/>
                <w:vertAlign w:val="baseline"/>
                <w:lang w:val="en-US"/>
              </w:rPr>
              <w:t xml:space="preserve">(2022)</w:t>
            </w:r>
          </w:p>
        </w:tc>
        <w:tc>
          <w:tcPr>
            <w:tcW w:w="1344" w:type="dxa"/>
            <w:vMerge w:val="restart"/>
            <w:tcBorders>
              <w:top w:val="single" w:sz="5" w:color="000000"/>
              <w:left w:val="single" w:sz="5" w:color="000000"/>
              <w:bottom w:val="none"/>
              <w:right w:val="single" w:sz="5" w:color="000000"/>
            </w:tcBorders>
            <w:shd w:val="clear" w:color="C1E3F5" w:fill="C1E3F5"/>
            <w:textDirection w:val="lrTb"/>
            <w:vAlign w:val="top"/>
          </w:tcPr>
          <w:p>
            <w:pPr>
              <w:spacing w:before="307" w:after="0" w:line="222" w:lineRule="exact"/>
              <w:ind w:right="12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Number of</w:t>
            </w:r>
          </w:p>
          <w:p>
            <w:pPr>
              <w:spacing w:before="15" w:after="0" w:line="249"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Unpaid</w:t>
              <w:br/>
            </w:r>
            <w:r>
              <w:rPr>
                <w:rFonts w:ascii="Calibri" w:hAnsi="Calibri" w:eastAsia="Calibri"/>
                <w:b w:val="true"/>
                <w:color w:val="000000"/>
                <w:spacing w:val="0"/>
                <w:w w:val="100"/>
                <w:sz w:val="22"/>
                <w:vertAlign w:val="baseline"/>
                <w:lang w:val="en-US"/>
              </w:rPr>
              <w:t xml:space="preserve">Workers</w:t>
            </w:r>
            <w:r>
              <w:rPr>
                <w:rFonts w:ascii="Calibri" w:hAnsi="Calibri" w:eastAsia="Calibri"/>
                <w:b w:val="true"/>
                <w:color w:val="000000"/>
                <w:spacing w:val="0"/>
                <w:w w:val="100"/>
                <w:sz w:val="22"/>
                <w:vertAlign w:val="superscript"/>
                <w:lang w:val="en-US"/>
              </w:rPr>
              <w:t xml:space="preserve">***</w:t>
            </w:r>
            <w:r>
              <w:rPr>
                <w:rFonts w:ascii="Calibri" w:hAnsi="Calibri" w:eastAsia="Calibri"/>
                <w:b w:val="true"/>
                <w:color w:val="000000"/>
                <w:spacing w:val="0"/>
                <w:w w:val="100"/>
                <w:sz w:val="14"/>
                <w:vertAlign w:val="baseline"/>
                <w:lang w:val="en-US"/>
              </w:rPr>
              <w:t xml:space="preserve">
</w:t>
            </w:r>
          </w:p>
          <w:p>
            <w:pPr>
              <w:spacing w:before="71" w:after="561" w:line="222" w:lineRule="exact"/>
              <w:ind w:right="390"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(2022)</w:t>
            </w:r>
          </w:p>
        </w:tc>
      </w:tr>
      <w:tr>
        <w:trPr>
          <w:trHeight w:val="1623" w:hRule="exact"/>
        </w:trPr>
        <w:tc>
          <w:tcPr>
            <w:tcW w:w="1334" w:type="dxa"/>
            <w:vMerge w:val="continue"/>
            <w:tcBorders>
              <w:top w:val="none"/>
              <w:left w:val="single" w:sz="5" w:color="000000"/>
              <w:bottom w:val="single" w:sz="5" w:color="000000"/>
              <w:right w:val="single" w:sz="5" w:color="000000"/>
            </w:tcBorders>
            <w:shd w:val="clear" w:color="C1E3F5" w:fill="C1E3F5"/>
            <w:textDirection w:val="lrTb"/>
            <w:vAlign w:val="top"/>
          </w:tcPr>
          <w:p/>
        </w:tc>
        <w:tc>
          <w:tcPr>
            <w:tcW w:w="1340" w:type="dxa"/>
            <w:vMerge w:val="continue"/>
            <w:tcBorders>
              <w:top w:val="none"/>
              <w:left w:val="single" w:sz="5" w:color="000000"/>
              <w:bottom w:val="single" w:sz="5" w:color="000000"/>
              <w:right w:val="single" w:sz="5" w:color="000000"/>
            </w:tcBorders>
            <w:shd w:val="clear" w:color="C1E3F5" w:fill="C1E3F5"/>
            <w:textDirection w:val="lrTb"/>
            <w:vAlign w:val="center"/>
          </w:tcPr>
          <w:p/>
        </w:tc>
        <w:tc>
          <w:tcPr>
            <w:tcW w:w="1334" w:type="dxa"/>
            <w:vMerge w:val="continue"/>
            <w:tcBorders>
              <w:top w:val="none"/>
              <w:left w:val="single" w:sz="5" w:color="000000"/>
              <w:bottom w:val="single" w:sz="5" w:color="000000"/>
              <w:right w:val="single" w:sz="5" w:color="000000"/>
            </w:tcBorders>
            <w:shd w:val="clear" w:color="C1E3F5" w:fill="C1E3F5"/>
            <w:textDirection w:val="lrTb"/>
            <w:vAlign w:val="center"/>
          </w:tcPr>
          <w:p/>
        </w:tc>
        <w:tc>
          <w:tcPr>
            <w:tcW w:w="1339" w:type="dxa"/>
            <w:tcBorders>
              <w:top w:val="single" w:sz="5" w:color="000000"/>
              <w:left w:val="single" w:sz="5" w:color="000000"/>
              <w:bottom w:val="single" w:sz="5" w:color="000000"/>
              <w:right w:val="single" w:sz="5" w:color="000000"/>
            </w:tcBorders>
            <w:shd w:val="clear" w:color="C1E3F5" w:fill="C1E3F5"/>
            <w:textDirection w:val="lrTb"/>
            <w:vAlign w:val="top"/>
          </w:tcPr>
          <w:p>
            <w:pPr>
              <w:spacing w:before="0" w:after="0" w:line="262"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Total</w:t>
              <w:br/>
            </w:r>
            <w:r>
              <w:rPr>
                <w:rFonts w:ascii="Calibri" w:hAnsi="Calibri" w:eastAsia="Calibri"/>
                <w:b w:val="true"/>
                <w:color w:val="000000"/>
                <w:spacing w:val="0"/>
                <w:w w:val="100"/>
                <w:sz w:val="22"/>
                <w:vertAlign w:val="baseline"/>
                <w:lang w:val="en-US"/>
              </w:rPr>
              <w:t xml:space="preserve">Workers</w:t>
            </w:r>
          </w:p>
          <w:p>
            <w:pPr>
              <w:spacing w:before="47" w:after="820" w:line="222" w:lineRule="exact"/>
              <w:ind w:right="385" w:left="0" w:firstLine="0"/>
              <w:jc w:val="righ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(2022)</w:t>
            </w:r>
          </w:p>
        </w:tc>
        <w:tc>
          <w:tcPr>
            <w:tcW w:w="1335" w:type="dxa"/>
            <w:tcBorders>
              <w:top w:val="single" w:sz="5" w:color="000000"/>
              <w:left w:val="single" w:sz="5" w:color="000000"/>
              <w:bottom w:val="single" w:sz="5" w:color="000000"/>
              <w:right w:val="single" w:sz="5" w:color="000000"/>
            </w:tcBorders>
            <w:shd w:val="clear" w:color="C1E3F5" w:fill="C1E3F5"/>
            <w:textDirection w:val="lrTb"/>
            <w:vAlign w:val="top"/>
          </w:tcPr>
          <w:p>
            <w:pPr>
              <w:spacing w:before="0" w:after="13" w:line="26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Number of</w:t>
              <w:br/>
            </w:r>
            <w:r>
              <w:rPr>
                <w:rFonts w:ascii="Calibri" w:hAnsi="Calibri" w:eastAsia="Calibri"/>
                <w:b w:val="true"/>
                <w:color w:val="000000"/>
                <w:spacing w:val="0"/>
                <w:w w:val="100"/>
                <w:sz w:val="22"/>
                <w:vertAlign w:val="baseline"/>
                <w:lang w:val="en-US"/>
              </w:rPr>
              <w:t xml:space="preserve">Workers</w:t>
              <w:br/>
            </w:r>
            <w:r>
              <w:rPr>
                <w:rFonts w:ascii="Calibri" w:hAnsi="Calibri" w:eastAsia="Calibri"/>
                <w:b w:val="true"/>
                <w:color w:val="000000"/>
                <w:spacing w:val="0"/>
                <w:w w:val="100"/>
                <w:sz w:val="22"/>
                <w:vertAlign w:val="baseline"/>
                <w:lang w:val="en-US"/>
              </w:rPr>
              <w:t xml:space="preserve">Who</w:t>
              <w:br/>
            </w:r>
            <w:r>
              <w:rPr>
                <w:rFonts w:ascii="Calibri" w:hAnsi="Calibri" w:eastAsia="Calibri"/>
                <w:b w:val="true"/>
                <w:color w:val="000000"/>
                <w:spacing w:val="0"/>
                <w:w w:val="100"/>
                <w:sz w:val="22"/>
                <w:vertAlign w:val="baseline"/>
                <w:lang w:val="en-US"/>
              </w:rPr>
              <w:t xml:space="preserve">Worked</w:t>
              <w:br/>
            </w:r>
            <w:r>
              <w:rPr>
                <w:rFonts w:ascii="Calibri" w:hAnsi="Calibri" w:eastAsia="Calibri"/>
                <w:b w:val="true"/>
                <w:color w:val="000000"/>
                <w:spacing w:val="0"/>
                <w:w w:val="100"/>
                <w:sz w:val="22"/>
                <w:vertAlign w:val="baseline"/>
                <w:lang w:val="en-US"/>
              </w:rPr>
              <w:t xml:space="preserve">&lt;150 days</w:t>
              <w:br/>
            </w:r>
            <w:r>
              <w:rPr>
                <w:rFonts w:ascii="Calibri" w:hAnsi="Calibri" w:eastAsia="Calibri"/>
                <w:b w:val="true"/>
                <w:color w:val="000000"/>
                <w:spacing w:val="0"/>
                <w:w w:val="100"/>
                <w:sz w:val="22"/>
                <w:vertAlign w:val="baseline"/>
                <w:lang w:val="en-US"/>
              </w:rPr>
              <w:t xml:space="preserve">(2022)</w:t>
            </w:r>
          </w:p>
        </w:tc>
        <w:tc>
          <w:tcPr>
            <w:tcW w:w="1334" w:type="dxa"/>
            <w:vMerge w:val="continue"/>
            <w:tcBorders>
              <w:top w:val="none"/>
              <w:left w:val="single" w:sz="5" w:color="000000"/>
              <w:bottom w:val="single" w:sz="5" w:color="000000"/>
              <w:right w:val="single" w:sz="5" w:color="000000"/>
            </w:tcBorders>
            <w:shd w:val="clear" w:color="C1E3F5" w:fill="C1E3F5"/>
            <w:textDirection w:val="lrTb"/>
            <w:vAlign w:val="top"/>
          </w:tcPr>
          <w:p/>
        </w:tc>
        <w:tc>
          <w:tcPr>
            <w:tcW w:w="1344" w:type="dxa"/>
            <w:vMerge w:val="continue"/>
            <w:tcBorders>
              <w:top w:val="none"/>
              <w:left w:val="single" w:sz="5" w:color="000000"/>
              <w:bottom w:val="single" w:sz="5" w:color="000000"/>
              <w:right w:val="single" w:sz="5" w:color="000000"/>
            </w:tcBorders>
            <w:shd w:val="clear" w:color="C1E3F5" w:fill="C1E3F5"/>
            <w:textDirection w:val="lrTb"/>
            <w:vAlign w:val="top"/>
          </w:tcPr>
          <w:p/>
        </w:tc>
      </w:tr>
      <w:tr>
        <w:trPr>
          <w:trHeight w:val="278"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3" w:after="10"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171</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0" w:after="10" w:line="242"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w:t>
            </w:r>
            <w:r>
              <w:rPr>
                <w:rFonts w:ascii="Calibri" w:hAnsi="Calibri" w:eastAsia="Calibri"/>
                <w:color w:val="000000"/>
                <w:spacing w:val="0"/>
                <w:w w:val="100"/>
                <w:sz w:val="22"/>
                <w:vertAlign w:val="superscript"/>
                <w:lang w:val="en-US"/>
              </w:rPr>
              <w:t xml:space="preserve">^</w:t>
            </w:r>
            <w:r>
              <w:rPr>
                <w:rFonts w:ascii="Calibri" w:hAnsi="Calibri" w:eastAsia="Calibri"/>
                <w:color w:val="000000"/>
                <w:spacing w:val="0"/>
                <w:w w:val="100"/>
                <w:sz w:val="14"/>
                <w:vertAlign w:val="baseline"/>
                <w:lang w:val="en-US"/>
              </w:rPr>
              <w:t xml:space="preserve">
</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381</w:t>
            </w:r>
          </w:p>
        </w:tc>
      </w:tr>
      <w:tr>
        <w:trPr>
          <w:trHeight w:val="278"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3" w:after="19"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142</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998</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354</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68</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3" w:after="22"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477</w:t>
            </w:r>
          </w:p>
        </w:tc>
      </w:tr>
      <w:tr>
        <w:trPr>
          <w:trHeight w:val="279"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229</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1,547</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718</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307</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4" w:after="16"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801</w:t>
            </w:r>
          </w:p>
        </w:tc>
      </w:tr>
      <w:tr>
        <w:trPr>
          <w:trHeight w:val="278"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3" w:after="9"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108</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943</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547</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119</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3" w:after="12"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333</w:t>
            </w:r>
          </w:p>
        </w:tc>
      </w:tr>
      <w:tr>
        <w:trPr>
          <w:trHeight w:val="279"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146</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1,653</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1,212</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493</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0" w:after="26"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429</w:t>
            </w:r>
          </w:p>
        </w:tc>
      </w:tr>
      <w:tr>
        <w:trPr>
          <w:trHeight w:val="278"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297</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1,344</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690</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66</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3" w:after="16"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1,370</w:t>
            </w:r>
          </w:p>
        </w:tc>
      </w:tr>
      <w:tr>
        <w:trPr>
          <w:trHeight w:val="278"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0" w:after="14"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259</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141</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3,902</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2,590</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3,034</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0" w:after="16"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677</w:t>
            </w:r>
          </w:p>
        </w:tc>
      </w:tr>
      <w:tr>
        <w:trPr>
          <w:trHeight w:val="279" w:hRule="exact"/>
        </w:trPr>
        <w:tc>
          <w:tcPr>
            <w:tcW w:w="1334"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16"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250</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1,625</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11"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1,111</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390</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34" w:after="21" w:line="219"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872</w:t>
            </w:r>
          </w:p>
        </w:tc>
      </w:tr>
      <w:tr>
        <w:trPr>
          <w:trHeight w:val="826" w:hRule="exact"/>
        </w:trPr>
        <w:tc>
          <w:tcPr>
            <w:tcW w:w="133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59" w:lineRule="exact"/>
              <w:ind w:right="0" w:left="144"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Total Finger Lakes</w:t>
            </w:r>
          </w:p>
          <w:p>
            <w:pPr>
              <w:spacing w:before="52" w:after="19" w:line="226" w:lineRule="exact"/>
              <w:ind w:right="0" w:left="144"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Region</w:t>
            </w:r>
          </w:p>
        </w:tc>
        <w:tc>
          <w:tcPr>
            <w:tcW w:w="1340"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16"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1,479</w:t>
            </w:r>
          </w:p>
        </w:tc>
        <w:tc>
          <w:tcPr>
            <w:tcW w:w="133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1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356</w:t>
            </w:r>
          </w:p>
        </w:tc>
        <w:tc>
          <w:tcPr>
            <w:tcW w:w="1339"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15"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12,183</w:t>
            </w:r>
          </w:p>
        </w:tc>
        <w:tc>
          <w:tcPr>
            <w:tcW w:w="1335"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11"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7,312</w:t>
            </w:r>
          </w:p>
        </w:tc>
        <w:tc>
          <w:tcPr>
            <w:tcW w:w="133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1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4,477</w:t>
            </w:r>
          </w:p>
        </w:tc>
        <w:tc>
          <w:tcPr>
            <w:tcW w:w="134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66" w:line="222" w:lineRule="exact"/>
              <w:ind w:right="12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5,340</w:t>
            </w:r>
          </w:p>
        </w:tc>
      </w:tr>
    </w:tbl>
    <w:p>
      <w:pPr>
        <w:spacing w:before="0" w:after="428" w:line="20" w:lineRule="exact"/>
      </w:pPr>
    </w:p>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3: Farms and Farm Workers in the Finger Lakes Region</w:t>
      </w:r>
    </w:p>
    <w:p>
      <w:pPr>
        <w:spacing w:before="238"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*Hired farm labor does not include contract/migrant workers.</w:t>
      </w:r>
    </w:p>
    <w:p>
      <w:pPr>
        <w:spacing w:before="40"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**Migrant farm workers are workers whose employment requires travel that prevents the worker from returning to his or her</w:t>
      </w:r>
    </w:p>
    <w:p>
      <w:pPr>
        <w:spacing w:before="41"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permanent place of residence the same day.</w:t>
      </w:r>
    </w:p>
    <w:p>
      <w:pPr>
        <w:spacing w:before="36"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***Unpaid workers include agricultural workers not on the payroll who performed activities or work on a farm or ranch.</w:t>
      </w:r>
    </w:p>
    <w:p>
      <w:pPr>
        <w:spacing w:before="41"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^Suppressed to avoid disclosing data for individual farms.</w:t>
      </w:r>
    </w:p>
    <w:p>
      <w:pPr>
        <w:spacing w:before="41"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Source: US Department of Agriculture, 2022 Census of Agriculture</w:t>
      </w:r>
    </w:p>
    <w:p>
      <w:pPr>
        <w:spacing w:before="199" w:after="354" w:line="287" w:lineRule="exact"/>
        <w:ind w:right="144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Migratory and seasonal agricultural workers and their families face distinct barriers that contribute to significant health disparities. Factors such as hazardous working conditions, poverty, inadequate housing, limited clean water, lack of insurance, language and cultural barriers, and fear and mistrust related to immigration status all limit access to consistent, quality care. These challenges increase the risk of serious health issues including diabetes, malnutrition, depression, substance use, infectious diseases, pesticide exposure, and work-related injuries. Migration further heightens these problems by creating isolation and disrupting continuity of care, making it harder to maintain treatment and health records.</w:t>
      </w:r>
      <w:r>
        <w:rPr>
          <w:rFonts w:ascii="Calibri" w:hAnsi="Calibri" w:eastAsia="Calibri"/>
          <w:color w:val="000000"/>
          <w:spacing w:val="-2"/>
          <w:w w:val="100"/>
          <w:sz w:val="22"/>
          <w:vertAlign w:val="superscript"/>
          <w:lang w:val="en-US"/>
        </w:rPr>
        <w:t xml:space="preserve">7</w:t>
      </w:r>
      <w:r>
        <w:rPr>
          <w:rFonts w:ascii="Calibri" w:hAnsi="Calibri" w:eastAsia="Calibri"/>
          <w:color w:val="000000"/>
          <w:spacing w:val="-2"/>
          <w:w w:val="100"/>
          <w:sz w:val="14"/>
          <w:vertAlign w:val="baseline"/>
          <w:lang w:val="en-US"/>
        </w:rPr>
        <w:t xml:space="preserve">
</w:t>
      </w:r>
    </w:p>
    <w:p>
      <w:pPr>
        <w:spacing w:before="146" w:after="57" w:line="199"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7pt" strokecolor="#000000" from="72pt,696.7pt" to="216.3pt,696.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7</w:t>
      </w:r>
      <w:r>
        <w:rPr>
          <w:rFonts w:ascii="Calibri" w:hAnsi="Calibri" w:eastAsia="Calibri"/>
          <w:color w:val="000000"/>
          <w:spacing w:val="0"/>
          <w:w w:val="100"/>
          <w:sz w:val="20"/>
          <w:vertAlign w:val="baseline"/>
          <w:lang w:val="en-US"/>
        </w:rPr>
        <w:t xml:space="preserve"> Source: Rural Health Information Hub, 2025: h</w:t>
      </w:r>
      <w:hyperlink r:id="dhId9">
        <w:r>
          <w:rPr>
            <w:rFonts w:ascii="Calibri" w:hAnsi="Calibri" w:eastAsia="Calibri"/>
            <w:color w:val="0000FF"/>
            <w:spacing w:val="0"/>
            <w:w w:val="100"/>
            <w:sz w:val="20"/>
            <w:u w:val="single"/>
            <w:vertAlign w:val="baseline"/>
            <w:lang w:val="en-US"/>
          </w:rPr>
          <w:t xml:space="preserve">ftps://www.ruralhealthinfo.org/topics/migrant-health</w:t>
        </w:r>
      </w:hyperlink>
      <w:r>
        <w:rPr>
          <w:rFonts w:ascii="Calibri" w:hAnsi="Calibri" w:eastAsia="Calibri"/>
          <w:color w:val="000000"/>
          <w:spacing w:val="0"/>
          <w:w w:val="100"/>
          <w:sz w:val="20"/>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24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68" w:after="0" w:line="222" w:lineRule="exact"/>
        <w:ind w:right="0"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A healthy migrant community is essential to the farming industry in the eight-county region and</w:t>
      </w:r>
    </w:p>
    <w:p>
      <w:pPr>
        <w:spacing w:before="0"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therefore essential to the livelihood of farmers and the economy of the region. Without them, fields may go unplanted, fruit unpicked, and crops unharvested.</w:t>
      </w:r>
    </w:p>
    <w:p>
      <w:pPr>
        <w:spacing w:before="225" w:after="0" w:line="212"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Amish/Mennonite</w:t>
      </w:r>
    </w:p>
    <w:p>
      <w:pPr>
        <w:spacing w:before="170"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Plain Community - Amish and Mennonite - is an important part of the Finger Lakes region, contributing substantially to the agricultural sector in many areas. Obtaining reliable, current information about their population size and health outcomes is difficult, particularly at the county level, because these groups typically do not participate in surveys like those run by the U.S. Census Bureau.</w:t>
      </w:r>
    </w:p>
    <w:p>
      <w:pPr>
        <w:spacing w:before="142"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Elizabethtown College’s Young Center for Amish Studies provides annual population estimates that help fill this gap. According to their data, New York State has 60 Amish settlements and 188 districts, totaling roughly 25,220 individuals.</w:t>
      </w:r>
      <w:r>
        <w:rPr>
          <w:rFonts w:ascii="Calibri" w:hAnsi="Calibri" w:eastAsia="Calibri"/>
          <w:color w:val="000000"/>
          <w:spacing w:val="0"/>
          <w:w w:val="100"/>
          <w:sz w:val="22"/>
          <w:vertAlign w:val="superscript"/>
          <w:lang w:val="en-US"/>
        </w:rPr>
        <w:t xml:space="preserve">8</w:t>
      </w:r>
      <w:r>
        <w:rPr>
          <w:rFonts w:ascii="Calibri" w:hAnsi="Calibri" w:eastAsia="Calibri"/>
          <w:color w:val="000000"/>
          <w:spacing w:val="0"/>
          <w:w w:val="100"/>
          <w:sz w:val="22"/>
          <w:vertAlign w:val="baseline"/>
          <w:lang w:val="en-US"/>
        </w:rPr>
        <w:t xml:space="preserve"> Within the Finger Lakes, specifically Livingston, Seneca, Steuben, and Wayne Counties, there are 16 districts with an estimated 3,770 Amish residents.</w:t>
      </w:r>
      <w:r>
        <w:rPr>
          <w:rFonts w:ascii="Calibri" w:hAnsi="Calibri" w:eastAsia="Calibri"/>
          <w:color w:val="000000"/>
          <w:spacing w:val="0"/>
          <w:w w:val="100"/>
          <w:sz w:val="22"/>
          <w:vertAlign w:val="superscript"/>
          <w:lang w:val="en-US"/>
        </w:rPr>
        <w:t xml:space="preserve">9</w:t>
      </w:r>
      <w:r>
        <w:rPr>
          <w:rFonts w:ascii="Calibri" w:hAnsi="Calibri" w:eastAsia="Calibri"/>
          <w:color w:val="000000"/>
          <w:spacing w:val="0"/>
          <w:w w:val="100"/>
          <w:sz w:val="22"/>
          <w:vertAlign w:val="baseline"/>
          <w:lang w:val="en-US"/>
        </w:rPr>
        <w:t xml:space="preserve"> These numbers do not include Mennonite populations. The Young Center also compiles information on various Mennonite groups, often organized by church conference. In New York, the Groffdale Conference Mennonites are estimated at 3,856 people, the Midwest Mennonite Conference at 971, and the Stauffer Mennonite Conference at around 476.</w:t>
      </w:r>
      <w:r>
        <w:rPr>
          <w:rFonts w:ascii="Calibri" w:hAnsi="Calibri" w:eastAsia="Calibri"/>
          <w:color w:val="000000"/>
          <w:spacing w:val="0"/>
          <w:w w:val="100"/>
          <w:sz w:val="22"/>
          <w:vertAlign w:val="superscript"/>
          <w:lang w:val="en-US"/>
        </w:rPr>
        <w:t xml:space="preserve">10</w:t>
      </w:r>
      <w:r>
        <w:rPr>
          <w:rFonts w:ascii="Calibri" w:hAnsi="Calibri" w:eastAsia="Calibri"/>
          <w:color w:val="000000"/>
          <w:spacing w:val="0"/>
          <w:w w:val="100"/>
          <w:sz w:val="13"/>
          <w:vertAlign w:val="baseline"/>
          <w:lang w:val="en-US"/>
        </w:rPr>
        <w:t xml:space="preserve">
</w:t>
      </w:r>
    </w:p>
    <w:p>
      <w:pPr>
        <w:spacing w:before="176"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When reviewing data or planning public health efforts, it is important to account for Amish and Mennonite cultural practices. Decision-making about health care is typically influenced by church leaders’ guidance. Many families rely on natural or homeopathic health approaches, which can delay lifesaving medical care and affect decisions about family planning, preventive care, dental care, and vaccinations. Home births and delayed prenatal care are relatively common as is breast feeding. Children generally attend school through eighth grade before focusing on farming or learning a trade, increasing exposure to potential injuries. Travel by bicycle or horse-drawn buggy also creates traffic-safety concerns on rural roads shared with faster-moving motor vehicles.</w:t>
      </w:r>
    </w:p>
    <w:p>
      <w:pPr>
        <w:spacing w:before="158" w:after="1118"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These cultural factors combined with expected population growth are important considerations for public health professionals in the region. Research suggests that when health information is offered by trusted sources and services are easily accessible, Plain families are often receptive to interventions, including certain immunizations. Building cultural understanding and maintaining flexible, consistent outreach can support strong participation in recommended health practices.</w:t>
      </w:r>
      <w:r>
        <w:rPr>
          <w:rFonts w:ascii="Calibri" w:hAnsi="Calibri" w:eastAsia="Calibri"/>
          <w:color w:val="000000"/>
          <w:spacing w:val="0"/>
          <w:w w:val="100"/>
          <w:sz w:val="22"/>
          <w:vertAlign w:val="superscript"/>
          <w:lang w:val="en-US"/>
        </w:rPr>
        <w:t xml:space="preserve">11</w:t>
      </w:r>
      <w:r>
        <w:rPr>
          <w:rFonts w:ascii="Calibri" w:hAnsi="Calibri" w:eastAsia="Calibri"/>
          <w:color w:val="000000"/>
          <w:spacing w:val="0"/>
          <w:w w:val="100"/>
          <w:sz w:val="13"/>
          <w:vertAlign w:val="baseline"/>
          <w:lang w:val="en-US"/>
        </w:rPr>
        <w:t xml:space="preserve">
</w:t>
      </w:r>
    </w:p>
    <w:p>
      <w:pPr>
        <w:spacing w:before="97" w:after="0" w:line="245" w:lineRule="exact"/>
        <w:ind w:right="216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587.05pt" to="216.3pt,587.05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8</w:t>
      </w:r>
      <w:r>
        <w:rPr>
          <w:rFonts w:ascii="Calibri" w:hAnsi="Calibri" w:eastAsia="Calibri"/>
          <w:color w:val="000000"/>
          <w:spacing w:val="0"/>
          <w:w w:val="100"/>
          <w:sz w:val="20"/>
          <w:vertAlign w:val="baseline"/>
          <w:lang w:val="en-US"/>
        </w:rPr>
        <w:t xml:space="preserve"> “Amish Population Profile, 2025.” Young Center for Anabaptist and Pietist Studies, Elizabethtown College. </w:t>
      </w:r>
      <w:hyperlink r:id="dhId10">
        <w:r>
          <w:rPr>
            <w:rFonts w:ascii="Calibri" w:hAnsi="Calibri" w:eastAsia="Calibri"/>
            <w:color w:val="0000FF"/>
            <w:spacing w:val="0"/>
            <w:w w:val="100"/>
            <w:sz w:val="20"/>
            <w:u w:val="single"/>
            <w:vertAlign w:val="baseline"/>
            <w:lang w:val="en-US"/>
          </w:rPr>
          <w:t xml:space="preserve">https://groups.etown.edu/amishstudies/statistics/amish-population-profile-2025.</w:t>
        </w:r>
      </w:hyperlink>
      <w:r>
        <w:rPr>
          <w:rFonts w:ascii="Calibri" w:hAnsi="Calibri" w:eastAsia="Calibri"/>
          <w:color w:val="000000"/>
          <w:spacing w:val="0"/>
          <w:w w:val="100"/>
          <w:sz w:val="20"/>
          <w:vertAlign w:val="baseline"/>
          <w:lang w:val="en-US"/>
        </w:rPr>
        <w:t xml:space="preserve">
</w:t>
      </w:r>
    </w:p>
    <w:p>
      <w:pPr>
        <w:spacing w:before="0" w:after="0" w:line="244" w:lineRule="exact"/>
        <w:ind w:right="1512"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9</w:t>
      </w:r>
      <w:r>
        <w:rPr>
          <w:rFonts w:ascii="Calibri" w:hAnsi="Calibri" w:eastAsia="Calibri"/>
          <w:color w:val="000000"/>
          <w:spacing w:val="0"/>
          <w:w w:val="100"/>
          <w:sz w:val="20"/>
          <w:vertAlign w:val="baseline"/>
          <w:lang w:val="en-US"/>
        </w:rPr>
        <w:t xml:space="preserve"> Statistics compiled by Edsel Burdge Jr., Young Center for Anabaptist and Pietist Studies, Elizabethtown College, in cooperation with Joseph F. Donnermeyer, School of Environment and Natural Resources, The Ohio State University, and with assistance from Adam Hershberger, Ohio Amish Library, Millersburg, Ohio.</w:t>
      </w:r>
    </w:p>
    <w:p>
      <w:pPr>
        <w:spacing w:before="0" w:after="0" w:line="245" w:lineRule="exact"/>
        <w:ind w:right="1656"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10</w:t>
      </w:r>
      <w:r>
        <w:rPr>
          <w:rFonts w:ascii="Calibri" w:hAnsi="Calibri" w:eastAsia="Calibri"/>
          <w:color w:val="000000"/>
          <w:spacing w:val="0"/>
          <w:w w:val="100"/>
          <w:sz w:val="20"/>
          <w:vertAlign w:val="baseline"/>
          <w:lang w:val="en-US"/>
        </w:rPr>
        <w:t xml:space="preserve"> Compiled from the most recent directories by Edsel Burdge Jr., Young Center for Anabaptist and Pietist Studies, Elizabethtown College, 1 Alpha Drive, Elizabethtown, PA 17022 Updated October 2025</w:t>
      </w:r>
    </w:p>
    <w:p>
      <w:pPr>
        <w:spacing w:before="0" w:after="58" w:line="243" w:lineRule="exact"/>
        <w:ind w:right="1512"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11</w:t>
      </w:r>
      <w:r>
        <w:rPr>
          <w:rFonts w:ascii="Calibri" w:hAnsi="Calibri" w:eastAsia="Calibri"/>
          <w:color w:val="000000"/>
          <w:spacing w:val="0"/>
          <w:w w:val="100"/>
          <w:sz w:val="20"/>
          <w:vertAlign w:val="baseline"/>
          <w:lang w:val="en-US"/>
        </w:rPr>
        <w:t xml:space="preserve"> Baillie, K. U. (2018, July 13). </w:t>
      </w:r>
      <w:r>
        <w:rPr>
          <w:rFonts w:ascii="Calibri" w:hAnsi="Calibri" w:eastAsia="Calibri"/>
          <w:i w:val="true"/>
          <w:color w:val="000000"/>
          <w:spacing w:val="0"/>
          <w:w w:val="100"/>
          <w:sz w:val="20"/>
          <w:vertAlign w:val="baseline"/>
          <w:lang w:val="en-US"/>
        </w:rPr>
        <w:t xml:space="preserve">With free vaccinations, ChildProtect program helps Amish communities stay healthy</w:t>
      </w:r>
      <w:r>
        <w:rPr>
          <w:rFonts w:ascii="Calibri" w:hAnsi="Calibri" w:eastAsia="Calibri"/>
          <w:color w:val="000000"/>
          <w:spacing w:val="0"/>
          <w:w w:val="100"/>
          <w:sz w:val="20"/>
          <w:vertAlign w:val="baseline"/>
          <w:lang w:val="en-US"/>
        </w:rPr>
        <w:t xml:space="preserve">. </w:t>
      </w:r>
      <w:r>
        <w:rPr>
          <w:rFonts w:ascii="Calibri" w:hAnsi="Calibri" w:eastAsia="Calibri"/>
          <w:i w:val="true"/>
          <w:color w:val="000000"/>
          <w:spacing w:val="0"/>
          <w:w w:val="100"/>
          <w:sz w:val="20"/>
          <w:vertAlign w:val="baseline"/>
          <w:lang w:val="en-US"/>
        </w:rPr>
        <w:t xml:space="preserve">Penn Today</w:t>
      </w:r>
      <w:r>
        <w:rPr>
          <w:rFonts w:ascii="Calibri" w:hAnsi="Calibri" w:eastAsia="Calibri"/>
          <w:color w:val="000000"/>
          <w:spacing w:val="0"/>
          <w:w w:val="100"/>
          <w:sz w:val="20"/>
          <w:vertAlign w:val="baseline"/>
          <w:lang w:val="en-US"/>
        </w:rPr>
        <w:t xml:space="preserve">. University of Pennsylvania.</w:t>
      </w:r>
      <w:hyperlink r:id="dhId11">
        <w:r>
          <w:rPr>
            <w:rFonts w:ascii="Calibri" w:hAnsi="Calibri" w:eastAsia="Calibri"/>
            <w:color w:val="0000FF"/>
            <w:spacing w:val="0"/>
            <w:w w:val="100"/>
            <w:sz w:val="20"/>
            <w:u w:val="single"/>
            <w:vertAlign w:val="baseline"/>
            <w:lang w:val="en-US"/>
          </w:rPr>
          <w:t xml:space="preserve"> https://penntoday.upenn.edu/news/free-vaccinations-childprotect-program-helps-amish-communities-stay-healthy</w:t>
        </w:r>
      </w:hyperlink>
      <w:r>
        <w:rPr>
          <w:rFonts w:ascii="Calibri" w:hAnsi="Calibri" w:eastAsia="Calibri"/>
          <w:color w:val="145F82"/>
          <w:spacing w:val="0"/>
          <w:w w:val="100"/>
          <w:sz w:val="20"/>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25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6" w:after="0" w:line="222" w:lineRule="exact"/>
        <w:ind w:right="0" w:left="1440" w:firstLine="0"/>
        <w:jc w:val="left"/>
        <w:textAlignment w:val="baseline"/>
        <w:rPr>
          <w:rFonts w:ascii="Calibri" w:hAnsi="Calibri" w:eastAsia="Calibri"/>
          <w:i w:val="true"/>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i w:val="true"/>
          <w:color w:val="000000"/>
          <w:spacing w:val="0"/>
          <w:w w:val="100"/>
          <w:sz w:val="22"/>
          <w:vertAlign w:val="baseline"/>
          <w:lang w:val="en-US"/>
        </w:rPr>
        <w:t xml:space="preserve">American Indian and Alaska Native Population</w:t>
      </w:r>
    </w:p>
    <w:p>
      <w:pPr>
        <w:spacing w:before="160"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2022, 1,408 residents of the Finger Lakes region identified themselves as American Indian and Alaska Native alone. However, it is important to note that this estimate does not include residents who identify as multiple races.</w:t>
      </w:r>
      <w:r>
        <w:rPr>
          <w:rFonts w:ascii="Calibri" w:hAnsi="Calibri" w:eastAsia="Calibri"/>
          <w:color w:val="000000"/>
          <w:spacing w:val="0"/>
          <w:w w:val="100"/>
          <w:sz w:val="22"/>
          <w:vertAlign w:val="superscript"/>
          <w:lang w:val="en-US"/>
        </w:rPr>
        <w:t xml:space="preserve">12</w:t>
      </w:r>
      <w:r>
        <w:rPr>
          <w:rFonts w:ascii="Calibri" w:hAnsi="Calibri" w:eastAsia="Calibri"/>
          <w:color w:val="000000"/>
          <w:spacing w:val="0"/>
          <w:w w:val="100"/>
          <w:sz w:val="14"/>
          <w:vertAlign w:val="baseline"/>
          <w:lang w:val="en-US"/>
        </w:rPr>
        <w:t xml:space="preserve">
</w:t>
      </w:r>
    </w:p>
    <w:p>
      <w:pPr>
        <w:spacing w:before="151"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Centers for Disease Control and Prevention noted that as of 2023, the average life expectancy for American Indians and Alaska Natives is the lowest of all ethnic groups. American Indians and Alaska Natives can expect to live to 70.1 years as compared with the national estimate of 78.4 years.</w:t>
      </w:r>
      <w:r>
        <w:rPr>
          <w:rFonts w:ascii="Calibri" w:hAnsi="Calibri" w:eastAsia="Calibri"/>
          <w:color w:val="1B1B1B"/>
          <w:spacing w:val="0"/>
          <w:w w:val="100"/>
          <w:sz w:val="22"/>
          <w:vertAlign w:val="baseline"/>
          <w:lang w:val="en-US"/>
        </w:rPr>
        <w:t xml:space="preserve"> Further, they also report being in fair or poor health more often than all other racial groups (24.4%). The leading causes of death in this group are heart disease, cancer, unintentional injuries, chronic liver disease, and diabetes.</w:t>
      </w:r>
      <w:r>
        <w:rPr>
          <w:rFonts w:ascii="Calibri" w:hAnsi="Calibri" w:eastAsia="Calibri"/>
          <w:color w:val="1B1B1B"/>
          <w:spacing w:val="0"/>
          <w:w w:val="100"/>
          <w:sz w:val="22"/>
          <w:vertAlign w:val="superscript"/>
          <w:lang w:val="en-US"/>
        </w:rPr>
        <w:t xml:space="preserve">13</w:t>
      </w:r>
      <w:r>
        <w:rPr>
          <w:rFonts w:ascii="Calibri" w:hAnsi="Calibri" w:eastAsia="Calibri"/>
          <w:color w:val="1B1B1B"/>
          <w:spacing w:val="0"/>
          <w:w w:val="100"/>
          <w:sz w:val="14"/>
          <w:vertAlign w:val="baseline"/>
          <w:lang w:val="en-US"/>
        </w:rPr>
        <w:t xml:space="preserve">
</w:t>
      </w:r>
    </w:p>
    <w:p>
      <w:pPr>
        <w:spacing w:before="176" w:after="0" w:line="289" w:lineRule="exact"/>
        <w:ind w:right="1728" w:left="1440" w:firstLine="0"/>
        <w:jc w:val="left"/>
        <w:textAlignment w:val="baseline"/>
        <w:rPr>
          <w:rFonts w:ascii="Calibri" w:hAnsi="Calibri" w:eastAsia="Calibri"/>
          <w:color w:val="1B1B1B"/>
          <w:spacing w:val="0"/>
          <w:w w:val="100"/>
          <w:sz w:val="22"/>
          <w:vertAlign w:val="baseline"/>
          <w:lang w:val="en-US"/>
        </w:rPr>
      </w:pPr>
      <w:r>
        <w:rPr>
          <w:rFonts w:ascii="Calibri" w:hAnsi="Calibri" w:eastAsia="Calibri"/>
          <w:color w:val="1B1B1B"/>
          <w:spacing w:val="0"/>
          <w:w w:val="100"/>
          <w:sz w:val="22"/>
          <w:vertAlign w:val="baseline"/>
          <w:lang w:val="en-US"/>
        </w:rPr>
        <w:t xml:space="preserve">These disparities exist for a number of reasons but largely correlate back to inadequate educational opportunities, disproportionate rates of poverty, discrimination in the delivery of health services, and the impact of historical intergenerational trauma including centuries of racial discrimination.</w:t>
      </w:r>
      <w:r>
        <w:rPr>
          <w:rFonts w:ascii="Calibri" w:hAnsi="Calibri" w:eastAsia="Calibri"/>
          <w:color w:val="1B1B1B"/>
          <w:spacing w:val="0"/>
          <w:w w:val="100"/>
          <w:sz w:val="22"/>
          <w:vertAlign w:val="superscript"/>
          <w:lang w:val="en-US"/>
        </w:rPr>
        <w:t xml:space="preserve">14</w:t>
      </w:r>
      <w:r>
        <w:rPr>
          <w:rFonts w:ascii="Calibri" w:hAnsi="Calibri" w:eastAsia="Calibri"/>
          <w:color w:val="1B1B1B"/>
          <w:spacing w:val="0"/>
          <w:w w:val="100"/>
          <w:sz w:val="14"/>
          <w:vertAlign w:val="baseline"/>
          <w:lang w:val="en-US"/>
        </w:rPr>
        <w:t xml:space="preserve">
</w:t>
      </w:r>
    </w:p>
    <w:p>
      <w:pPr>
        <w:spacing w:before="230" w:after="0" w:line="221" w:lineRule="exact"/>
        <w:ind w:right="0" w:left="1440" w:firstLine="0"/>
        <w:jc w:val="left"/>
        <w:textAlignment w:val="baseline"/>
        <w:rPr>
          <w:rFonts w:ascii="Calibri" w:hAnsi="Calibri" w:eastAsia="Calibri"/>
          <w:i w:val="true"/>
          <w:color w:val="1B1B1B"/>
          <w:spacing w:val="0"/>
          <w:w w:val="100"/>
          <w:sz w:val="22"/>
          <w:vertAlign w:val="baseline"/>
          <w:lang w:val="en-US"/>
        </w:rPr>
      </w:pPr>
      <w:r>
        <w:rPr>
          <w:rFonts w:ascii="Calibri" w:hAnsi="Calibri" w:eastAsia="Calibri"/>
          <w:i w:val="true"/>
          <w:color w:val="1B1B1B"/>
          <w:spacing w:val="0"/>
          <w:w w:val="100"/>
          <w:sz w:val="22"/>
          <w:vertAlign w:val="baseline"/>
          <w:lang w:val="en-US"/>
        </w:rPr>
        <w:t xml:space="preserve">Foreign Born Population</w:t>
      </w:r>
    </w:p>
    <w:p>
      <w:pPr>
        <w:spacing w:before="167" w:after="0" w:line="289" w:lineRule="exact"/>
        <w:ind w:right="1440" w:left="1440" w:firstLine="0"/>
        <w:jc w:val="left"/>
        <w:textAlignment w:val="baseline"/>
        <w:rPr>
          <w:rFonts w:ascii="Calibri" w:hAnsi="Calibri" w:eastAsia="Calibri"/>
          <w:color w:val="1B1B1B"/>
          <w:spacing w:val="0"/>
          <w:w w:val="100"/>
          <w:sz w:val="22"/>
          <w:vertAlign w:val="baseline"/>
          <w:lang w:val="en-US"/>
        </w:rPr>
      </w:pPr>
      <w:r>
        <w:rPr>
          <w:rFonts w:ascii="Calibri" w:hAnsi="Calibri" w:eastAsia="Calibri"/>
          <w:color w:val="1B1B1B"/>
          <w:spacing w:val="0"/>
          <w:w w:val="100"/>
          <w:sz w:val="22"/>
          <w:vertAlign w:val="baseline"/>
          <w:lang w:val="en-US"/>
        </w:rPr>
        <w:t xml:space="preserve">The majority of those who are foreign-born living in the Finger Lakes region have become naturalized US Citizens. The naturalization rate varies by county, from as low as 35 percent in Wayne County to 77.9 percent in Yates County (Table 4). Residents coming from other countries may face significant challenges in adapting to the United States’ disease prevention and treatment culture and, as such, should be cared for and tended to in a way that is respectful of and collaborative with the customs and beliefs of their heritage.</w:t>
      </w:r>
    </w:p>
    <w:p>
      <w:pPr>
        <w:spacing w:before="223" w:after="196"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4: Foreign Born and Citizenship</w:t>
      </w:r>
    </w:p>
    <w:tbl>
      <w:tblPr>
        <w:jc w:val="left"/>
        <w:tblInd w:w="1440" w:type="dxa"/>
        <w:tblLayout w:type="fixed"/>
        <w:tblCellMar>
          <w:left w:w="0" w:type="dxa"/>
          <w:right w:w="0" w:type="dxa"/>
        </w:tblCellMar>
      </w:tblPr>
      <w:tblGrid>
        <w:gridCol w:w="2338"/>
        <w:gridCol w:w="2342"/>
        <w:gridCol w:w="2338"/>
        <w:gridCol w:w="2342"/>
      </w:tblGrid>
      <w:tr>
        <w:trPr>
          <w:trHeight w:val="821" w:hRule="exact"/>
        </w:trPr>
        <w:tc>
          <w:tcPr>
            <w:tcW w:w="23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5" w:after="552" w:line="229" w:lineRule="exact"/>
              <w:ind w:right="0" w:left="110"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County</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6" w:line="266" w:lineRule="exact"/>
              <w:ind w:right="0" w:left="108"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of Population that is Foreign-born (2020)</w:t>
            </w:r>
          </w:p>
        </w:tc>
        <w:tc>
          <w:tcPr>
            <w:tcW w:w="23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84" w:line="266" w:lineRule="exact"/>
              <w:ind w:right="432" w:left="108" w:firstLine="0"/>
              <w:jc w:val="left"/>
              <w:textAlignment w:val="baseline"/>
              <w:rPr>
                <w:rFonts w:ascii="Calibri" w:hAnsi="Calibri" w:eastAsia="Calibri"/>
                <w:b w:val="true"/>
                <w:color w:val="FFFFFF"/>
                <w:spacing w:val="-6"/>
                <w:w w:val="100"/>
                <w:sz w:val="23"/>
                <w:vertAlign w:val="baseline"/>
                <w:lang w:val="en-US"/>
              </w:rPr>
            </w:pPr>
            <w:r>
              <w:rPr>
                <w:rFonts w:ascii="Calibri" w:hAnsi="Calibri" w:eastAsia="Calibri"/>
                <w:b w:val="true"/>
                <w:color w:val="FFFFFF"/>
                <w:spacing w:val="-6"/>
                <w:w w:val="100"/>
                <w:sz w:val="23"/>
                <w:vertAlign w:val="baseline"/>
                <w:lang w:val="en-US"/>
              </w:rPr>
              <w:t xml:space="preserve">Percent Naturalized U.S. Citizen (2020)</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84" w:line="266" w:lineRule="exact"/>
              <w:ind w:right="0" w:left="108"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Not a U.S.</w:t>
              <w:br/>
            </w:r>
            <w:r>
              <w:rPr>
                <w:rFonts w:ascii="Calibri" w:hAnsi="Calibri" w:eastAsia="Calibri"/>
                <w:b w:val="true"/>
                <w:color w:val="FFFFFF"/>
                <w:spacing w:val="0"/>
                <w:w w:val="100"/>
                <w:sz w:val="23"/>
                <w:vertAlign w:val="baseline"/>
                <w:lang w:val="en-US"/>
              </w:rPr>
              <w:t xml:space="preserve">Citizen (2020)</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Chemung</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58.0</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42.0</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9"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Livingston</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51.5</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48.5</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0"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Ontario</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55.8</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44.2</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9"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Schuyler</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51.8</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48.2</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4"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Seneca</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9"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9"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54.4</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9"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45.6</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5"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Steuben</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38.4</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61.6</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30"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Wayne</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35.0</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0" w:after="2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65.0</w:t>
            </w:r>
          </w:p>
        </w:tc>
      </w:tr>
      <w:tr>
        <w:trPr>
          <w:trHeight w:val="28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0"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Yates</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2338"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77.9</w:t>
            </w:r>
          </w:p>
        </w:tc>
        <w:tc>
          <w:tcPr>
            <w:tcW w:w="2342" w:type="dxa"/>
            <w:tcBorders>
              <w:top w:val="single" w:sz="5" w:color="000000"/>
              <w:left w:val="single" w:sz="5" w:color="000000"/>
              <w:bottom w:val="single" w:sz="5" w:color="000000"/>
              <w:right w:val="single" w:sz="5" w:color="000000"/>
            </w:tcBorders>
            <w:textDirection w:val="lrTb"/>
            <w:vAlign w:val="center"/>
          </w:tcPr>
          <w:p>
            <w:pPr>
              <w:tabs>
                <w:tab w:val="decimal" w:leader="none" w:pos="208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22.1</w:t>
            </w:r>
          </w:p>
        </w:tc>
      </w:tr>
    </w:tbl>
    <w:p>
      <w:pPr>
        <w:spacing w:before="3" w:after="0" w:line="179"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U.S. Census Bureau, 2020 Census.</w:t>
      </w:r>
    </w:p>
    <w:p>
      <w:pPr>
        <w:spacing w:before="181" w:after="316" w:line="289"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Public health professionals must keep cultural and linguistic differences in mind when collecting and exhibiting data, developing and providing programming, and evaluating the effectiveness of</w:t>
      </w:r>
    </w:p>
    <w:p>
      <w:pPr>
        <w:spacing w:before="96" w:after="0" w:line="246" w:lineRule="exact"/>
        <w:ind w:right="2088" w:left="1440" w:firstLine="0"/>
        <w:jc w:val="left"/>
        <w:textAlignment w:val="baseline"/>
        <w:rPr>
          <w:rFonts w:ascii="Calibri" w:hAnsi="Calibri" w:eastAsia="Calibri"/>
          <w:color w:val="000000"/>
          <w:spacing w:val="0"/>
          <w:w w:val="100"/>
          <w:sz w:val="13"/>
          <w:vertAlign w:val="superscript"/>
          <w:lang w:val="en-US"/>
        </w:rPr>
      </w:pPr>
      <w:r>
        <w:pict>
          <v:line strokeweight="0.7pt" strokecolor="#000000" from="72pt,648pt" to="216.3pt,648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12</w:t>
      </w:r>
      <w:r>
        <w:rPr>
          <w:rFonts w:ascii="Calibri" w:hAnsi="Calibri" w:eastAsia="Calibri"/>
          <w:color w:val="000000"/>
          <w:spacing w:val="0"/>
          <w:w w:val="100"/>
          <w:sz w:val="19"/>
          <w:vertAlign w:val="baseline"/>
          <w:lang w:val="en-US"/>
        </w:rPr>
        <w:t xml:space="preserve"> Source: U.S. Census Bureau Population Estimates Program. Methodology for the United States population estimates: Vintage 2022. 2022.</w:t>
      </w:r>
      <w:r>
        <w:rPr>
          <w:rFonts w:ascii="Calibri" w:hAnsi="Calibri" w:eastAsia="Calibri"/>
          <w:color w:val="467885"/>
          <w:spacing w:val="0"/>
          <w:w w:val="100"/>
          <w:sz w:val="20"/>
          <w:u w:val="single"/>
          <w:vertAlign w:val="baseline"/>
          <w:lang w:val="en-US"/>
        </w:rPr>
        <w:t xml:space="preserve"> </w:t>
      </w:r>
      <w:hyperlink r:id="dhId12">
        <w:r>
          <w:rPr>
            <w:rFonts w:ascii="Calibri" w:hAnsi="Calibri" w:eastAsia="Calibri"/>
            <w:color w:val="0000FF"/>
            <w:spacing w:val="0"/>
            <w:w w:val="100"/>
            <w:sz w:val="20"/>
            <w:u w:val="single"/>
            <w:vertAlign w:val="baseline"/>
            <w:lang w:val="en-US"/>
          </w:rPr>
          <w:t xml:space="preserve">hftps://www2.census.gov/programs-surveys/popest/technical-documentation/methodology/2020-2022/methods-statement-v2022.pdf</w:t>
        </w:r>
      </w:hyperlink>
      <w:r>
        <w:rPr>
          <w:rFonts w:ascii="Calibri" w:hAnsi="Calibri" w:eastAsia="Calibri"/>
          <w:color w:val="467885"/>
          <w:spacing w:val="0"/>
          <w:w w:val="100"/>
          <w:sz w:val="19"/>
          <w:vertAlign w:val="baseline"/>
          <w:lang w:val="en-US"/>
        </w:rPr>
        <w:t xml:space="preserve">
</w:t>
      </w:r>
    </w:p>
    <w:p>
      <w:pPr>
        <w:spacing w:before="41" w:after="0" w:line="199"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13</w:t>
      </w:r>
      <w:r>
        <w:rPr>
          <w:rFonts w:ascii="Calibri" w:hAnsi="Calibri" w:eastAsia="Calibri"/>
          <w:color w:val="000000"/>
          <w:spacing w:val="3"/>
          <w:w w:val="100"/>
          <w:sz w:val="19"/>
          <w:vertAlign w:val="baseline"/>
          <w:lang w:val="en-US"/>
        </w:rPr>
        <w:t xml:space="preserve"> Source: CDC, h</w:t>
      </w:r>
      <w:hyperlink r:id="dhId13">
        <w:r>
          <w:rPr>
            <w:rFonts w:ascii="Calibri" w:hAnsi="Calibri" w:eastAsia="Calibri"/>
            <w:color w:val="0000FF"/>
            <w:spacing w:val="3"/>
            <w:w w:val="100"/>
            <w:sz w:val="19"/>
            <w:u w:val="single"/>
            <w:vertAlign w:val="baseline"/>
            <w:lang w:val="en-US"/>
          </w:rPr>
          <w:t xml:space="preserve">ftps://minorityhealth.hhs.gov/american-indian-and-alaska-native-health</w:t>
        </w:r>
      </w:hyperlink>
      <w:r>
        <w:rPr>
          <w:rFonts w:ascii="Calibri" w:hAnsi="Calibri" w:eastAsia="Calibri"/>
          <w:color w:val="000000"/>
          <w:spacing w:val="3"/>
          <w:w w:val="100"/>
          <w:sz w:val="19"/>
          <w:vertAlign w:val="baseline"/>
          <w:lang w:val="en-US"/>
        </w:rPr>
        <w:t xml:space="preserve">
</w:t>
      </w:r>
    </w:p>
    <w:p>
      <w:pPr>
        <w:spacing w:before="46" w:after="58" w:line="198"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14</w:t>
      </w:r>
      <w:r>
        <w:rPr>
          <w:rFonts w:ascii="Calibri" w:hAnsi="Calibri" w:eastAsia="Calibri"/>
          <w:color w:val="000000"/>
          <w:spacing w:val="3"/>
          <w:w w:val="100"/>
          <w:sz w:val="19"/>
          <w:vertAlign w:val="baseline"/>
          <w:lang w:val="en-US"/>
        </w:rPr>
        <w:t xml:space="preserve"> US Commission on Civil Rights, Broken Promises: Continuing Federal Funding Shortfall for Native Americans, 2018</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26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80" coordsize="21600,21600" o:spt="202" path="m,l,21600r21600,l21600,xe">
            <v:stroke joinstyle="miter"/>
            <v:path gradientshapeok="t" o:connecttype="rect"/>
          </v:shapetype>
          <v:shape id="_x0000_s79" type="#_x0000_t80" filled="f" stroked="f" style="position:absolute;width:467pt;height:263.85pt;z-index:-1;margin-left:71.3pt;margin-top:259.9pt;mso-wrap-distance-left:71.3pt;mso-wrap-distance-right:73.2pt;mso-position-horizontal-relative:page;mso-position-vertical-relative:page">
            <w10:wrap type="square"/>
            <v:fill opacity="1" o:opacity2="1" recolor="f" rotate="f" type="solid"/>
            <v:textbox inset="0pt, 0pt, 0pt, 0pt">
              <w:txbxContent>
                <w:p>
                  <w:pPr>
                    <w:pBdr>
                      <w:top w:sz="5" w:space="0" w:color="D8D8D8" w:val="single"/>
                      <w:left w:sz="5" w:space="71" w:color="D8D8D8" w:val="single"/>
                      <w:bottom w:sz="5" w:space="0" w:color="D8D8D8" w:val="single"/>
                      <w:right w:sz="5" w:space="73" w:color="D8D8D8" w:val="single"/>
                    </w:pBdr>
                  </w:pPr>
                </w:p>
              </w:txbxContent>
            </v:textbox>
          </v:shape>
        </w:pict>
      </w:r>
      <w:r>
        <w:pict>
          <v:shapetype id="_x0000_t81" coordsize="21600,21600" o:spt="202" path="m,l,21600r21600,l21600,xe">
            <v:stroke joinstyle="miter"/>
            <v:path gradientshapeok="t" o:connecttype="rect"/>
          </v:shapetype>
          <v:shape id="_x0000_s80" type="#_x0000_t81"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82" coordsize="21600,21600" o:spt="202" path="m,l,21600r21600,l21600,xe">
            <v:stroke joinstyle="miter"/>
            <v:path gradientshapeok="t" o:connecttype="rect"/>
          </v:shapetype>
          <v:shape id="_x0000_s81" type="#_x0000_t82" filled="f" stroked="f" style="position:absolute;width:612pt;height:189.9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interventions. Demonstrating respect for an individual’s national and cultural background fosters trust and strengthens the practitioner–client relationship. Cultural responsiveness enhances the quality of care, supports better health outcomes, and reduces disparities.</w:t>
                  </w:r>
                </w:p>
                <w:p>
                  <w:pPr>
                    <w:spacing w:before="225" w:after="0" w:line="222"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Household Languages</w:t>
                  </w:r>
                </w:p>
                <w:p>
                  <w:pPr>
                    <w:spacing w:before="161"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most people in the Finger Lakes region primarily use English, a smaller portion of the population speaks other languages at home. These include Spanish, various Asian and Pacific Island languages, and a range of other Indo-European languages (Figure 9). In Yates County, the notable share of Indo-European language speakers is likely influenced by the presence of Amish and Mennonite communities in which some families speak German dialects in the home. Small counties may have no bilingual staff members and few options for obtaining interpreters.</w:t>
                  </w:r>
                </w:p>
                <w:p>
                  <w:pPr>
                    <w:spacing w:before="194" w:after="192"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9: Percent of Households Speaking a Language Other than English</w:t>
                  </w:r>
                </w:p>
              </w:txbxContent>
            </v:textbox>
          </v:shape>
        </w:pict>
      </w:r>
      <w:r>
        <w:pict>
          <v:shapetype id="_x0000_t83" coordsize="21600,21600" o:spt="202" path="m,l,21600r21600,l21600,xe">
            <v:stroke joinstyle="miter"/>
            <v:path gradientshapeok="t" o:connecttype="rect"/>
          </v:shapetype>
          <v:shape id="_x0000_s82" type="#_x0000_t83" filled="f" stroked="f" style="position:absolute;width:612pt;height:193.1pt;z-index:1;margin-left:0pt;margin-top:523.7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U.S. Census Bureau, 2024 ACS 1or 5-year estimates</w:t>
                  </w:r>
                </w:p>
                <w:p>
                  <w:pPr>
                    <w:spacing w:before="345" w:after="0" w:line="222"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Disability</w:t>
                  </w:r>
                </w:p>
                <w:p>
                  <w:pPr>
                    <w:spacing w:before="158" w:after="1478"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People with disabilities face a higher likelihood of developing chronic health issues such as obesity, heart disease, and diabetes. Reducing health disparities among this population involves fostering a community culture that supports inclusion and creating welcoming physical spaces free of conditions that might prohibit participation in healthy behaviors. Achieving this requires coordinated efforts across multiple disciplines, including policy, systems, and environments.</w:t>
                  </w:r>
                </w:p>
              </w:txbxContent>
            </v:textbox>
          </v:shape>
        </w:pict>
      </w:r>
      <w:r>
        <w:pict>
          <v:shapetype id="_x0000_t84" coordsize="21600,21600" o:spt="202" path="m,l,21600r21600,l21600,xe">
            <v:stroke joinstyle="miter"/>
            <v:path gradientshapeok="t" o:connecttype="rect"/>
          </v:shapetype>
          <v:shape id="_x0000_s83" type="#_x0000_t84" filled="f" stroked="f" style="position:absolute;width:463.6pt;height:41.3pt;z-index:-1;margin-left:73pt;margin-top:259.9pt;mso-wrap-distance-left:0pt;mso-wrap-distance-right:0pt;mso-position-horizontal-relative:page;mso-position-vertical-relative:page">
            <w10:wrap type="square" side="both"/>
            <v:fill opacity="1" o:opacity2="1" recolor="f" rotate="f" type="solid"/>
            <v:textbox inset="0pt, 0pt, 0pt, 0pt">
              <w:txbxContent>
                <w:p>
                  <w:pPr>
                    <w:spacing w:before="194" w:after="0" w:line="286"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Percent of Households Speaking a Language Other than English</w:t>
                  </w:r>
                </w:p>
                <w:p>
                  <w:pPr>
                    <w:spacing w:before="59" w:after="0" w:line="282" w:lineRule="exact"/>
                    <w:ind w:right="0" w:left="0" w:firstLine="0"/>
                    <w:jc w:val="center"/>
                    <w:textAlignment w:val="baseline"/>
                    <w:rPr>
                      <w:rFonts w:ascii="Calibri" w:hAnsi="Calibri" w:eastAsia="Calibri"/>
                      <w:color w:val="585858"/>
                      <w:spacing w:val="-5"/>
                      <w:w w:val="100"/>
                      <w:sz w:val="28"/>
                      <w:vertAlign w:val="baseline"/>
                      <w:lang w:val="en-US"/>
                    </w:rPr>
                  </w:pPr>
                  <w:r>
                    <w:rPr>
                      <w:rFonts w:ascii="Calibri" w:hAnsi="Calibri" w:eastAsia="Calibri"/>
                      <w:color w:val="585858"/>
                      <w:spacing w:val="-5"/>
                      <w:w w:val="100"/>
                      <w:sz w:val="28"/>
                      <w:vertAlign w:val="baseline"/>
                      <w:lang w:val="en-US"/>
                    </w:rPr>
                    <w:t xml:space="preserve">(2024)</w:t>
                  </w:r>
                </w:p>
              </w:txbxContent>
            </v:textbox>
          </v:shape>
        </w:pict>
      </w:r>
      <w:r>
        <w:pict>
          <v:shapetype id="_x0000_t85" coordsize="21600,21600" o:spt="202" path="m,l,21600r21600,l21600,xe">
            <v:stroke joinstyle="miter"/>
            <v:path gradientshapeok="t" o:connecttype="rect"/>
          </v:shapetype>
          <v:shape id="_x0000_s84" type="#_x0000_t85" filled="f" stroked="f" style="position:absolute;width:463.6pt;height:188.4pt;z-index:-1;margin-left:73pt;margin-top:301.2pt;mso-wrap-distance-left:0pt;mso-wrap-distance-right:0pt;mso-position-horizontal-relative:page;mso-position-vertical-relative:page">
            <w10:wrap type="square" side="both"/>
            <v:fill opacity="1" o:opacity2="1" recolor="f" rotate="f" type="solid"/>
            <v:textbox inset="0pt, 0pt, 0pt, 0pt">
              <w:txbxContent>
                <w:p>
                  <w:pPr>
                    <w:spacing w:before="160" w:after="0" w:line="20" w:lineRule="exact"/>
                  </w:pPr>
                </w:p>
                <w:tbl>
                  <w:tblPr>
                    <w:jc w:val="left"/>
                    <w:tblLayout w:type="fixed"/>
                    <w:tblCellMar>
                      <w:left w:w="0" w:type="dxa"/>
                      <w:right w:w="0" w:type="dxa"/>
                    </w:tblCellMar>
                  </w:tblPr>
                  <w:tblGrid>
                    <w:gridCol w:w="455"/>
                    <w:gridCol w:w="8637"/>
                  </w:tblGrid>
                  <w:tr>
                    <w:trPr>
                      <w:trHeight w:val="84" w:hRule="exact"/>
                    </w:trPr>
                    <w:tc>
                      <w:tcPr>
                        <w:tcW w:w="455" w:type="dxa"/>
                        <w:vMerge w:val="restart"/>
                        <w:tcBorders>
                          <w:top w:val="none"/>
                          <w:left w:val="none"/>
                          <w:bottom w:val="none"/>
                          <w:right w:val="none"/>
                        </w:tcBorders>
                        <w:textDirection w:val="lrTb"/>
                        <w:vAlign w:val="top"/>
                      </w:tcPr>
                      <w:p>
                        <w:pPr>
                          <w:spacing w:before="0" w:after="0" w:line="315" w:lineRule="exact"/>
                          <w:ind w:right="0" w:left="0" w:firstLine="0"/>
                          <w:jc w:val="left"/>
                          <w:textAlignment w:val="baseline"/>
                          <w:rPr>
                            <w:rFonts w:ascii="Calibri" w:hAnsi="Calibri" w:eastAsia="Calibri"/>
                            <w:color w:val="585858"/>
                            <w:spacing w:val="49"/>
                            <w:w w:val="100"/>
                            <w:sz w:val="18"/>
                            <w:vertAlign w:val="baseline"/>
                            <w:lang w:val="en-US"/>
                          </w:rPr>
                        </w:pPr>
                        <w:r>
                          <w:rPr>
                            <w:rFonts w:ascii="Calibri" w:hAnsi="Calibri" w:eastAsia="Calibri"/>
                            <w:color w:val="585858"/>
                            <w:spacing w:val="49"/>
                            <w:w w:val="100"/>
                            <w:sz w:val="18"/>
                            <w:vertAlign w:val="baseline"/>
                            <w:lang w:val="en-US"/>
                          </w:rPr>
                          <w:t xml:space="preserve">18 16 14 12 10</w:t>
                        </w:r>
                      </w:p>
                      <w:p>
                        <w:pPr>
                          <w:spacing w:before="170"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w:t>
                        </w:r>
                      </w:p>
                      <w:p>
                        <w:pPr>
                          <w:spacing w:before="176"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w:t>
                        </w:r>
                      </w:p>
                      <w:p>
                        <w:pPr>
                          <w:spacing w:before="170"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w:t>
                        </w:r>
                      </w:p>
                      <w:p>
                        <w:pPr>
                          <w:spacing w:before="170"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w:t>
                        </w:r>
                      </w:p>
                      <w:p>
                        <w:pPr>
                          <w:spacing w:before="171" w:after="254"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8637" w:type="dxa"/>
                        <w:tcBorders>
                          <w:top w:val="none"/>
                          <w:left w:val="none"/>
                          <w:bottom w:val="single" w:sz="4" w:color="D8D8D8"/>
                          <w:right w:val="none"/>
                        </w:tcBorders>
                        <w:textDirection w:val="lrTb"/>
                        <w:vAlign w:val="top"/>
                      </w:tcPr>
                      <w:p/>
                    </w:tc>
                  </w:tr>
                  <w:tr>
                    <w:trPr>
                      <w:trHeight w:val="3168" w:hRule="exact"/>
                    </w:trPr>
                    <w:tc>
                      <w:tcPr>
                        <w:tcW w:w="455" w:type="dxa"/>
                        <w:vMerge w:val="continue"/>
                        <w:tcBorders>
                          <w:top w:val="none"/>
                          <w:left w:val="none"/>
                          <w:bottom w:val="none"/>
                          <w:right w:val="none"/>
                        </w:tcBorders>
                        <w:textDirection w:val="lrTb"/>
                        <w:vAlign w:val="top"/>
                      </w:tcPr>
                      <w:p/>
                    </w:tc>
                    <w:tc>
                      <w:tcPr>
                        <w:tcW w:w="8637" w:type="dxa"/>
                        <w:tcBorders>
                          <w:top w:val="single" w:sz="4" w:color="D8D8D8"/>
                          <w:left w:val="none"/>
                          <w:bottom w:val="none"/>
                          <w:right w:val="none"/>
                        </w:tcBorders>
                        <w:textDirection w:val="lrTb"/>
                        <w:vAlign w:val="top"/>
                      </w:tcPr>
                      <w:p>
                        <w:pPr>
                          <w:spacing w:before="177" w:after="0" w:line="240" w:lineRule="auto"/>
                          <w:ind w:right="11" w:left="0"/>
                          <w:jc w:val="center"/>
                          <w:textAlignment w:val="baseline"/>
                        </w:pPr>
                        <w:r>
                          <w:drawing>
                            <wp:inline>
                              <wp:extent cx="5477510" cy="1877695"/>
                              <wp:docPr name="Picture" id="24"/>
                              <a:graphic>
                                <a:graphicData uri="http://schemas.openxmlformats.org/drawingml/2006/picture">
                                  <pic:pic>
                                    <pic:nvPicPr>
                                      <pic:cNvPr id="24" name="Picture"/>
                                      <pic:cNvPicPr preferRelativeResize="false"/>
                                    </pic:nvPicPr>
                                    <pic:blipFill>
                                      <a:blip r:embed="prId24"/>
                                      <a:stretch>
                                        <a:fillRect/>
                                      </a:stretch>
                                    </pic:blipFill>
                                    <pic:spPr>
                                      <a:xfrm>
                                        <a:off x="0" y="0"/>
                                        <a:ext cx="5477510" cy="1877695"/>
                                      </a:xfrm>
                                      <a:prstGeom prst="rect"/>
                                    </pic:spPr>
                                  </pic:pic>
                                </a:graphicData>
                              </a:graphic>
                            </wp:inline>
                          </w:drawing>
                        </w:r>
                      </w:p>
                    </w:tc>
                  </w:tr>
                  <w:tr>
                    <w:trPr>
                      <w:trHeight w:val="336" w:hRule="exact"/>
                    </w:trPr>
                    <w:tc>
                      <w:tcPr>
                        <w:tcW w:w="455" w:type="dxa"/>
                        <w:vMerge w:val="continue"/>
                        <w:tcBorders>
                          <w:top w:val="none"/>
                          <w:left w:val="none"/>
                          <w:bottom w:val="none"/>
                          <w:right w:val="none"/>
                        </w:tcBorders>
                        <w:textDirection w:val="lrTb"/>
                        <w:vAlign w:val="top"/>
                      </w:tcPr>
                      <w:p/>
                    </w:tc>
                    <w:tc>
                      <w:tcPr>
                        <w:tcW w:w="8637" w:type="dxa"/>
                        <w:tcBorders>
                          <w:top w:val="none"/>
                          <w:left w:val="none"/>
                          <w:bottom w:val="none"/>
                          <w:right w:val="none"/>
                        </w:tcBorders>
                        <w:textDirection w:val="lrTb"/>
                        <w:vAlign w:val="center"/>
                      </w:tcPr>
                      <w:p>
                        <w:pPr>
                          <w:tabs>
                            <w:tab w:val="left" w:leader="none" w:pos="1296"/>
                            <w:tab w:val="left" w:leader="none" w:pos="2448"/>
                            <w:tab w:val="left" w:leader="none" w:pos="3456"/>
                            <w:tab w:val="left" w:leader="none" w:pos="4608"/>
                            <w:tab w:val="left" w:leader="none" w:pos="5616"/>
                            <w:tab w:val="left" w:leader="none" w:pos="6768"/>
                            <w:tab w:val="left" w:leader="none" w:pos="7920"/>
                          </w:tabs>
                          <w:spacing w:before="137" w:after="19" w:line="180"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c>
                  </w:tr>
                </w:tbl>
              </w:txbxContent>
            </v:textbox>
          </v:shape>
        </w:pict>
      </w:r>
      <w:r>
        <w:pict>
          <v:shapetype id="_x0000_t86" coordsize="21600,21600" o:spt="202" path="m,l,21600r21600,l21600,xe">
            <v:stroke joinstyle="miter"/>
            <v:path gradientshapeok="t" o:connecttype="rect"/>
          </v:shapetype>
          <v:shape id="_x0000_s85" type="#_x0000_t86" filled="f" stroked="f" style="position:absolute;width:58pt;height:11.3pt;z-index:-1;margin-left:126.7pt;margin-top:489.6pt;mso-wrap-distance-left:0pt;mso-wrap-distance-right:0pt;mso-position-horizontal-relative:page;mso-position-vertical-relative:page">
            <w10:wrap type="square" side="both"/>
            <v:fill opacity="1" o:opacity2="1" recolor="f" rotate="f" type="solid"/>
            <v:textbox inset="0pt, 0pt, 0pt, 0pt">
              <w:txbxContent>
                <w:p>
                  <w:pPr>
                    <w:spacing w:before="0" w:after="34" w:line="192" w:lineRule="exact"/>
                    <w:ind w:right="8" w:left="0"/>
                    <w:jc w:val="left"/>
                    <w:textAlignment w:val="baseline"/>
                  </w:pPr>
                  <w:r>
                    <w:drawing>
                      <wp:inline>
                        <wp:extent cx="731520" cy="121920"/>
                        <wp:docPr name="Picture" id="25"/>
                        <a:graphic>
                          <a:graphicData uri="http://schemas.openxmlformats.org/drawingml/2006/picture">
                            <pic:pic>
                              <pic:nvPicPr>
                                <pic:cNvPr id="25" name="Picture"/>
                                <pic:cNvPicPr preferRelativeResize="false"/>
                              </pic:nvPicPr>
                              <pic:blipFill>
                                <a:blip r:embed="prId25"/>
                                <a:stretch>
                                  <a:fillRect/>
                                </a:stretch>
                              </pic:blipFill>
                              <pic:spPr>
                                <a:xfrm>
                                  <a:off x="0" y="0"/>
                                  <a:ext cx="731520" cy="121920"/>
                                </a:xfrm>
                                <a:prstGeom prst="rect"/>
                              </pic:spPr>
                            </pic:pic>
                          </a:graphicData>
                        </a:graphic>
                      </wp:inline>
                    </w:drawing>
                  </w:r>
                </w:p>
              </w:txbxContent>
            </v:textbox>
          </v:shape>
        </w:pict>
      </w:r>
      <w:r>
        <w:pict>
          <v:shapetype id="_x0000_t87" coordsize="21600,21600" o:spt="202" path="m,l,21600r21600,l21600,xe">
            <v:stroke joinstyle="miter"/>
            <v:path gradientshapeok="t" o:connecttype="rect"/>
          </v:shapetype>
          <v:shape id="_x0000_s86" type="#_x0000_t87" filled="f" stroked="f" style="position:absolute;width:407pt;height:21.45pt;z-index:-1;margin-left:107.75pt;margin-top:500.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20"/>
                      <w:tab w:val="left" w:leader="none" w:pos="1584"/>
                      <w:tab w:val="left" w:leader="none" w:pos="4176"/>
                      <w:tab w:val="right" w:leader="none" w:pos="8136"/>
                    </w:tabs>
                    <w:spacing w:before="0" w:after="269" w:line="153"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Overall	</w:t>
                  </w:r>
                  <w:r>
                    <w:rPr>
                      <w:rFonts w:ascii="Calibri" w:hAnsi="Calibri" w:eastAsia="Calibri"/>
                      <w:color w:val="585858"/>
                      <w:spacing w:val="0"/>
                      <w:w w:val="100"/>
                      <w:sz w:val="18"/>
                      <w:vertAlign w:val="baseline"/>
                      <w:lang w:val="en-US"/>
                    </w:rPr>
                    <w:t xml:space="preserve">Spanish	</w:t>
                  </w:r>
                  <w:r>
                    <w:rPr>
                      <w:rFonts w:ascii="Calibri" w:hAnsi="Calibri" w:eastAsia="Calibri"/>
                      <w:color w:val="585858"/>
                      <w:spacing w:val="0"/>
                      <w:w w:val="100"/>
                      <w:sz w:val="18"/>
                      <w:vertAlign w:val="baseline"/>
                      <w:lang w:val="en-US"/>
                    </w:rPr>
                    <w:t xml:space="preserve">Other Indo-European Languages 	</w:t>
                  </w:r>
                  <w:r>
                    <w:rPr>
                      <w:rFonts w:ascii="Calibri" w:hAnsi="Calibri" w:eastAsia="Calibri"/>
                      <w:color w:val="585858"/>
                      <w:spacing w:val="0"/>
                      <w:w w:val="100"/>
                      <w:sz w:val="18"/>
                      <w:vertAlign w:val="baseline"/>
                      <w:lang w:val="en-US"/>
                    </w:rPr>
                    <w:t xml:space="preserve">Asian and Pacific Island Languages 	</w:t>
                  </w:r>
                  <w:r>
                    <w:rPr>
                      <w:rFonts w:ascii="Calibri" w:hAnsi="Calibri" w:eastAsia="Calibri"/>
                      <w:color w:val="585858"/>
                      <w:spacing w:val="0"/>
                      <w:w w:val="100"/>
                      <w:sz w:val="18"/>
                      <w:vertAlign w:val="baseline"/>
                      <w:lang w:val="en-US"/>
                    </w:rPr>
                    <w:t xml:space="preserve">Other Languages</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82.6pt;height:5.05pt;z-index:-999;margin-left:100.3pt;margin-top:501.6pt;mso-wrap-distance-left:0pt;mso-wrap-distance-right:0pt;mso-position-horizontal-relative:page;mso-position-vertical-relative:page">
            <v:fill opacity="1" o:opacity2="1" recolor="f" rotate="f" type="solid"/>
            <v:textbox inset="0pt, 0pt, 0pt, 0pt">
              <w:txbxContent>
                <w:p>
                  <w:pPr>
                    <w:spacing w:before="0" w:after="0" w:line="101" w:lineRule="exact"/>
                    <w:ind w:right="0" w:left="0"/>
                    <w:jc w:val="left"/>
                    <w:textAlignment w:val="baseline"/>
                  </w:pPr>
                  <w:r>
                    <w:drawing>
                      <wp:inline>
                        <wp:extent cx="1049020" cy="64135"/>
                        <wp:docPr name="Picture" id="26"/>
                        <a:graphic>
                          <a:graphicData uri="http://schemas.openxmlformats.org/drawingml/2006/picture">
                            <pic:pic>
                              <pic:nvPicPr>
                                <pic:cNvPr id="26" name="Picture"/>
                                <pic:cNvPicPr preferRelativeResize="false"/>
                              </pic:nvPicPr>
                              <pic:blipFill>
                                <a:blip r:embed="prId26"/>
                                <a:stretch>
                                  <a:fillRect/>
                                </a:stretch>
                              </pic:blipFill>
                              <pic:spPr>
                                <a:xfrm>
                                  <a:off x="0" y="0"/>
                                  <a:ext cx="1049020" cy="64135"/>
                                </a:xfrm>
                                <a:prstGeom prst="rect"/>
                              </pic:spPr>
                            </pic:pic>
                          </a:graphicData>
                        </a:graphic>
                      </wp:inline>
                    </w:drawing>
                  </w:r>
                </w:p>
              </w:txbxContent>
            </v:textbox>
          </v:shape>
        </w:pict>
      </w:r>
      <w:r>
        <w:pict>
          <v:shapetype id="_x0000_t89" coordsize="21600,21600" o:spt="202" path="m,l,21600r21600,l21600,xe">
            <v:stroke joinstyle="miter"/>
            <v:path gradientshapeok="t" o:connecttype="rect"/>
          </v:shapetype>
          <v:shape id="_x0000_s88" type="#_x0000_t8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27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0" coordsize="21600,21600" o:spt="202" path="m,l,21600r21600,l21600,xe">
            <v:stroke joinstyle="miter"/>
            <v:path gradientshapeok="t" o:connecttype="rect"/>
          </v:shapetype>
          <v:shape id="_x0000_s89" type="#_x0000_t90" filled="f" stroked="f" style="position:absolute;width:441.85pt;height:216.75pt;z-index:-1;margin-left:88.8pt;margin-top:132pt;mso-wrap-distance-left:88.8pt;mso-wrap-distance-right:80.85pt;mso-position-horizontal-relative:page;mso-position-vertical-relative:page">
            <w10:wrap type="square"/>
            <v:fill opacity="1" o:opacity2="1" recolor="f" rotate="f" type="solid"/>
            <v:textbox inset="0pt, 0pt, 0pt, 0pt">
              <w:txbxContent>
                <w:p>
                  <w:pPr>
                    <w:pBdr>
                      <w:top w:sz="5" w:space="0" w:color="D8D8D8" w:val="single"/>
                      <w:left w:sz="5" w:space="88" w:color="D8D8D8" w:val="single"/>
                      <w:bottom w:sz="5" w:space="0" w:color="D8D8D8" w:val="single"/>
                      <w:right w:sz="5" w:space="80" w:color="D8D8D8" w:val="single"/>
                    </w:pBdr>
                  </w:pPr>
                </w:p>
              </w:txbxContent>
            </v:textbox>
          </v:shape>
        </w:pict>
      </w:r>
      <w:r>
        <w:pict>
          <v:shapetype id="_x0000_t91" coordsize="21600,21600" o:spt="202" path="m,l,21600r21600,l21600,xe">
            <v:stroke joinstyle="miter"/>
            <v:path gradientshapeok="t" o:connecttype="rect"/>
          </v:shapetype>
          <v:shape id="_x0000_s90" type="#_x0000_t91" filled="f" stroked="f" style="position:absolute;width:426.7pt;height:152.9pt;z-index:-1;margin-left:96.5pt;margin-top:501.35pt;mso-wrap-distance-left:96.5pt;mso-wrap-distance-right:88.3pt;mso-position-horizontal-relative:page;mso-position-vertical-relative:page">
            <w10:wrap type="square"/>
            <v:fill opacity="1" o:opacity2="1" recolor="f" rotate="f" type="solid"/>
            <v:textbox inset="0pt, 0pt, 0pt, 0pt">
              <w:txbxContent>
                <w:p>
                  <w:pPr>
                    <w:pBdr>
                      <w:top w:sz="5" w:space="0" w:color="D8D8D8" w:val="single"/>
                      <w:left w:sz="5" w:space="96" w:color="D8D8D8" w:val="single"/>
                      <w:bottom w:sz="5" w:space="0" w:color="D8D8D8" w:val="single"/>
                      <w:right w:sz="5" w:space="88" w:color="D8D8D8" w:val="single"/>
                    </w:pBdr>
                  </w:pPr>
                </w:p>
              </w:txbxContent>
            </v:textbox>
          </v:shape>
        </w:pict>
      </w:r>
      <w:r>
        <w:pict>
          <v:shapetype id="_x0000_t92" coordsize="21600,21600" o:spt="202" path="m,l,21600r21600,l21600,xe">
            <v:stroke joinstyle="miter"/>
            <v:path gradientshapeok="t" o:connecttype="rect"/>
          </v:shapetype>
          <v:shape id="_x0000_s91" type="#_x0000_t92"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93" coordsize="21600,21600" o:spt="202" path="m,l,21600r21600,l21600,xe">
            <v:stroke joinstyle="miter"/>
            <v:path gradientshapeok="t" o:connecttype="rect"/>
          </v:shapetype>
          <v:shape id="_x0000_s92" type="#_x0000_t93" filled="f" stroked="f" style="position:absolute;width:612pt;height:62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223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10 shows the disability rate for each county in the Finger Lakes region. The most common disabilities in the region are cognitive, ambulatory and independent living.</w:t>
                  </w:r>
                  <w:r>
                    <w:rPr>
                      <w:rFonts w:ascii="Calibri" w:hAnsi="Calibri" w:eastAsia="Calibri"/>
                      <w:color w:val="000000"/>
                      <w:spacing w:val="0"/>
                      <w:w w:val="100"/>
                      <w:sz w:val="22"/>
                      <w:vertAlign w:val="superscript"/>
                      <w:lang w:val="en-US"/>
                    </w:rPr>
                    <w:t xml:space="preserve">15</w:t>
                  </w:r>
                  <w:r>
                    <w:rPr>
                      <w:rFonts w:ascii="Calibri" w:hAnsi="Calibri" w:eastAsia="Calibri"/>
                      <w:color w:val="000000"/>
                      <w:spacing w:val="0"/>
                      <w:w w:val="100"/>
                      <w:sz w:val="14"/>
                      <w:vertAlign w:val="baseline"/>
                      <w:lang w:val="en-US"/>
                    </w:rPr>
                    <w:t xml:space="preserve">
</w:t>
                  </w:r>
                </w:p>
                <w:p>
                  <w:pPr>
                    <w:spacing w:before="391" w:after="86" w:line="180" w:lineRule="exact"/>
                    <w:ind w:right="0" w:left="180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10: Disability Rate by County</w:t>
                  </w:r>
                </w:p>
              </w:txbxContent>
            </v:textbox>
          </v:shape>
        </w:pict>
      </w:r>
      <w:r>
        <w:pict>
          <v:shapetype id="_x0000_t94" coordsize="21600,21600" o:spt="202" path="m,l,21600r21600,l21600,xe">
            <v:stroke joinstyle="miter"/>
            <v:path gradientshapeok="t" o:connecttype="rect"/>
          </v:shapetype>
          <v:shape id="_x0000_s93" type="#_x0000_t94" filled="f" stroked="f" style="position:absolute;width:612pt;height:153.5pt;z-index:1;margin-left:0pt;margin-top:347.8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80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U.S. Census Bureau, 2020 Census</w:t>
                  </w:r>
                </w:p>
                <w:p>
                  <w:pPr>
                    <w:spacing w:before="422" w:after="0" w:line="242" w:lineRule="exact"/>
                    <w:ind w:right="0" w:left="1440" w:firstLine="0"/>
                    <w:jc w:val="left"/>
                    <w:textAlignment w:val="baseline"/>
                    <w:rPr>
                      <w:rFonts w:ascii="Calibri" w:hAnsi="Calibri" w:eastAsia="Calibri"/>
                      <w:i w:val="true"/>
                      <w:color w:val="000000"/>
                      <w:spacing w:val="-3"/>
                      <w:w w:val="100"/>
                      <w:sz w:val="22"/>
                      <w:vertAlign w:val="baseline"/>
                      <w:lang w:val="en-US"/>
                    </w:rPr>
                  </w:pPr>
                  <w:r>
                    <w:rPr>
                      <w:rFonts w:ascii="Calibri" w:hAnsi="Calibri" w:eastAsia="Calibri"/>
                      <w:i w:val="true"/>
                      <w:color w:val="000000"/>
                      <w:spacing w:val="-3"/>
                      <w:w w:val="100"/>
                      <w:sz w:val="22"/>
                      <w:vertAlign w:val="baseline"/>
                      <w:lang w:val="en-US"/>
                    </w:rPr>
                    <w:t xml:space="preserve">Veterans</w:t>
                  </w:r>
                </w:p>
                <w:p>
                  <w:pPr>
                    <w:spacing w:before="137"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population of veterans in the eight counties of the Finger Lakes is higher than the NYS average of 3.5 percent. Veterans certainly have the same health care needs as others in the community, however, they may also require additional health care services related to mental health, physical health and issues related to environmental exposure during service.</w:t>
                  </w:r>
                  <w:r>
                    <w:rPr>
                      <w:rFonts w:ascii="Calibri" w:hAnsi="Calibri" w:eastAsia="Calibri"/>
                      <w:color w:val="000000"/>
                      <w:spacing w:val="0"/>
                      <w:w w:val="100"/>
                      <w:sz w:val="22"/>
                      <w:vertAlign w:val="superscript"/>
                      <w:lang w:val="en-US"/>
                    </w:rPr>
                    <w:t xml:space="preserve">16</w:t>
                  </w:r>
                  <w:r>
                    <w:rPr>
                      <w:rFonts w:ascii="Calibri" w:hAnsi="Calibri" w:eastAsia="Calibri"/>
                      <w:color w:val="000000"/>
                      <w:spacing w:val="0"/>
                      <w:w w:val="100"/>
                      <w:sz w:val="22"/>
                      <w:vertAlign w:val="baseline"/>
                      <w:lang w:val="en-US"/>
                    </w:rPr>
                    <w:t xml:space="preserve"> Figure 11 details the percentage of veterans in each county.</w:t>
                  </w:r>
                </w:p>
                <w:p>
                  <w:pPr>
                    <w:spacing w:before="343" w:after="91" w:line="180" w:lineRule="exact"/>
                    <w:ind w:right="0" w:left="19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11: Veteran Population by Percent of Total Population</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612pt;height:30.8pt;z-index:1;margin-left:0pt;margin-top:653.35pt;mso-wrap-distance-left:0pt;mso-wrap-distance-right:0pt;mso-position-horizontal-relative:page;mso-position-vertical-relative:page">
            <w10:wrap anchorx="page" anchory="page"/>
            <v:fill opacity="1" o:opacity2="1" recolor="f" rotate="f" type="solid"/>
            <v:textbox inset="0pt, 0pt, 0pt, 0pt">
              <w:txbxContent>
                <w:p>
                  <w:pPr>
                    <w:spacing w:before="20" w:after="413" w:line="180" w:lineRule="exact"/>
                    <w:ind w:right="0" w:left="19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U.S. Census, 2020 Census</w:t>
                  </w:r>
                </w:p>
              </w:txbxContent>
            </v:textbox>
          </v:shape>
        </w:pict>
      </w:r>
      <w:r>
        <w:pict>
          <v:shapetype id="_x0000_t96" coordsize="21600,21600" o:spt="202" path="m,l,21600r21600,l21600,xe">
            <v:stroke joinstyle="miter"/>
            <v:path gradientshapeok="t" o:connecttype="rect"/>
          </v:shapetype>
          <v:shape id="_x0000_s95" type="#_x0000_t96" filled="f" stroked="f" style="position:absolute;width:612pt;height:32.7pt;z-index:1;margin-left:0pt;margin-top:684.15pt;mso-wrap-distance-left:0pt;mso-wrap-distance-right:0pt;mso-position-horizontal-relative:page;mso-position-vertical-relative:page">
            <w10:wrap anchorx="page" anchory="page"/>
            <v:fill opacity="1" o:opacity2="1" recolor="f" rotate="f" type="solid"/>
            <v:textbox inset="0pt, 0pt, 0pt, 0pt">
              <w:txbxContent>
                <w:p>
                  <w:pPr>
                    <w:spacing w:before="141" w:after="0"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15</w:t>
                  </w:r>
                  <w:r>
                    <w:rPr>
                      <w:rFonts w:ascii="Calibri" w:hAnsi="Calibri" w:eastAsia="Calibri"/>
                      <w:color w:val="000000"/>
                      <w:spacing w:val="0"/>
                      <w:w w:val="100"/>
                      <w:sz w:val="20"/>
                      <w:vertAlign w:val="baseline"/>
                      <w:lang w:val="en-US"/>
                    </w:rPr>
                    <w:t xml:space="preserve"> Source: U.S. Census Bureau, 2020 Census</w:t>
                  </w:r>
                </w:p>
                <w:p>
                  <w:pPr>
                    <w:spacing w:before="48" w:after="58"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16</w:t>
                  </w:r>
                  <w:r>
                    <w:rPr>
                      <w:rFonts w:ascii="Calibri" w:hAnsi="Calibri" w:eastAsia="Calibri"/>
                      <w:color w:val="000000"/>
                      <w:spacing w:val="0"/>
                      <w:w w:val="100"/>
                      <w:sz w:val="20"/>
                      <w:vertAlign w:val="baseline"/>
                      <w:lang w:val="en-US"/>
                    </w:rPr>
                    <w:t xml:space="preserve"> Source: Veterans Affairs, h</w:t>
                  </w:r>
                  <w:hyperlink r:id="dhId14">
                    <w:r>
                      <w:rPr>
                        <w:rFonts w:ascii="Calibri" w:hAnsi="Calibri" w:eastAsia="Calibri"/>
                        <w:color w:val="0000FF"/>
                        <w:spacing w:val="0"/>
                        <w:w w:val="100"/>
                        <w:sz w:val="20"/>
                        <w:u w:val="single"/>
                        <w:vertAlign w:val="baseline"/>
                        <w:lang w:val="en-US"/>
                      </w:rPr>
                      <w:t xml:space="preserve">ftps://www.va.gov/health-care/health-needs-conditions/</w:t>
                    </w:r>
                  </w:hyperlink>
                  <w:r>
                    <w:rPr>
                      <w:rFonts w:ascii="Calibri" w:hAnsi="Calibri" w:eastAsia="Calibri"/>
                      <w:color w:val="000000"/>
                      <w:spacing w:val="0"/>
                      <w:w w:val="100"/>
                      <w:sz w:val="20"/>
                      <w:vertAlign w:val="baseline"/>
                      <w:lang w:val="en-US"/>
                    </w:rPr>
                    <w:t xml:space="preserve">
</w:t>
                  </w:r>
                </w:p>
              </w:txbxContent>
            </v:textbox>
          </v:shape>
        </w:pict>
      </w:r>
      <w:r>
        <w:pict>
          <v:shapetype id="_x0000_t97" coordsize="21600,21600" o:spt="202" path="m,l,21600r21600,l21600,xe">
            <v:stroke joinstyle="miter"/>
            <v:path gradientshapeok="t" o:connecttype="rect"/>
          </v:shapetype>
          <v:shape id="_x0000_s96" type="#_x0000_t97" filled="f" stroked="f" style="position:absolute;width:438.45pt;height:18.25pt;z-index:-1;margin-left:90.5pt;margin-top:132pt;mso-wrap-distance-left:0pt;mso-wrap-distance-right:0pt;mso-position-horizontal-relative:page;mso-position-vertical-relative:page">
            <w10:wrap type="square" side="both"/>
            <v:fill opacity="1" o:opacity2="1" recolor="f" rotate="f" type="solid"/>
            <v:textbox inset="0pt, 0pt, 0pt, 0pt">
              <w:txbxContent>
                <w:p>
                  <w:pPr>
                    <w:spacing w:before="73" w:after="0" w:line="282"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Disabled Population by Percent of Total (2020)</w:t>
                  </w:r>
                </w:p>
              </w:txbxContent>
            </v:textbox>
          </v:shape>
        </w:pict>
      </w:r>
      <w:r>
        <w:pict>
          <v:shapetype id="_x0000_t98" coordsize="21600,21600" o:spt="202" path="m,l,21600r21600,l21600,xe">
            <v:stroke joinstyle="miter"/>
            <v:path gradientshapeok="t" o:connecttype="rect"/>
          </v:shapetype>
          <v:shape id="_x0000_s97" type="#_x0000_t98" filled="f" stroked="f" style="position:absolute;width:438.45pt;height:28.3pt;z-index:-1;margin-left:90.5pt;margin-top:150.25pt;mso-wrap-distance-left:0pt;mso-wrap-distance-right:0pt;mso-position-horizontal-relative:page;mso-position-vertical-relative:page">
            <w10:wrap type="square" side="both"/>
            <v:fill opacity="1" o:opacity2="1" recolor="f" rotate="f" type="solid"/>
            <v:textbox inset="0pt, 0pt, 0pt, 0pt">
              <w:txbxContent>
                <w:p>
                  <w:pPr>
                    <w:spacing w:before="304" w:after="0" w:line="20" w:lineRule="exact"/>
                  </w:pPr>
                </w:p>
                <w:tbl>
                  <w:tblPr>
                    <w:jc w:val="left"/>
                    <w:tblLayout w:type="fixed"/>
                    <w:tblCellMar>
                      <w:left w:w="0" w:type="dxa"/>
                      <w:right w:w="0" w:type="dxa"/>
                    </w:tblCellMar>
                  </w:tblPr>
                  <w:tblGrid>
                    <w:gridCol w:w="451"/>
                    <w:gridCol w:w="5565"/>
                    <w:gridCol w:w="2573"/>
                  </w:tblGrid>
                  <w:tr>
                    <w:trPr>
                      <w:trHeight w:val="55" w:hRule="exact"/>
                    </w:trPr>
                    <w:tc>
                      <w:tcPr>
                        <w:tcW w:w="451" w:type="dxa"/>
                        <w:vMerge w:val="restart"/>
                        <w:tcBorders>
                          <w:top w:val="none"/>
                          <w:left w:val="none"/>
                          <w:bottom w:val="none"/>
                          <w:right w:val="none"/>
                        </w:tcBorders>
                        <w:textDirection w:val="lrTb"/>
                        <w:vAlign w:val="top"/>
                      </w:tcPr>
                      <w:p>
                        <w:pPr>
                          <w:spacing w:before="0" w:after="82" w:line="145"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tc>
                    <w:tc>
                      <w:tcPr>
                        <w:tcW w:w="5565" w:type="dxa"/>
                        <w:tcBorders>
                          <w:top w:val="none"/>
                          <w:left w:val="none"/>
                          <w:bottom w:val="single" w:sz="5" w:color="D8D8D8"/>
                          <w:right w:val="none"/>
                        </w:tcBorders>
                        <w:textDirection w:val="lrTb"/>
                        <w:vAlign w:val="top"/>
                      </w:tcPr>
                      <w:p/>
                    </w:tc>
                    <w:tc>
                      <w:tcPr>
                        <w:tcW w:w="2573" w:type="dxa"/>
                        <w:tcBorders>
                          <w:top w:val="none"/>
                          <w:left w:val="none"/>
                          <w:bottom w:val="single" w:sz="5" w:color="D8D8D8"/>
                          <w:right w:val="none"/>
                        </w:tcBorders>
                        <w:textDirection w:val="lrTb"/>
                        <w:vAlign w:val="top"/>
                      </w:tcPr>
                      <w:p/>
                    </w:tc>
                  </w:tr>
                  <w:tr>
                    <w:trPr>
                      <w:trHeight w:val="187" w:hRule="exact"/>
                    </w:trPr>
                    <w:tc>
                      <w:tcPr>
                        <w:tcW w:w="451" w:type="dxa"/>
                        <w:vMerge w:val="continue"/>
                        <w:tcBorders>
                          <w:top w:val="none"/>
                          <w:left w:val="none"/>
                          <w:bottom w:val="none"/>
                          <w:right w:val="none"/>
                        </w:tcBorders>
                        <w:textDirection w:val="lrTb"/>
                        <w:vAlign w:val="top"/>
                      </w:tcPr>
                      <w:p/>
                    </w:tc>
                    <w:tc>
                      <w:tcPr>
                        <w:tcW w:w="5565" w:type="dxa"/>
                        <w:tcBorders>
                          <w:top w:val="single" w:sz="5" w:color="D8D8D8"/>
                          <w:left w:val="none"/>
                          <w:bottom w:val="none"/>
                          <w:right w:val="none"/>
                        </w:tcBorders>
                        <w:textDirection w:val="lrTb"/>
                        <w:vAlign w:val="center"/>
                      </w:tcPr>
                      <w:p>
                        <w:pPr>
                          <w:spacing w:before="0" w:after="0" w:line="155" w:lineRule="exact"/>
                          <w:ind w:right="805"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18</w:t>
                        </w:r>
                      </w:p>
                    </w:tc>
                    <w:tc>
                      <w:tcPr>
                        <w:tcW w:w="2573" w:type="dxa"/>
                        <w:tcBorders>
                          <w:top w:val="single" w:sz="5" w:color="D8D8D8"/>
                          <w:left w:val="none"/>
                          <w:bottom w:val="none"/>
                          <w:right w:val="none"/>
                        </w:tcBorders>
                        <w:textDirection w:val="lrTb"/>
                        <w:vAlign w:val="center"/>
                      </w:tcPr>
                      <w:p>
                        <w:pPr>
                          <w:spacing w:before="0" w:after="14" w:line="158" w:lineRule="exact"/>
                          <w:ind w:right="1281"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18.3</w:t>
                        </w:r>
                      </w:p>
                    </w:tc>
                  </w:tr>
                </w:tbl>
              </w:txbxContent>
            </v:textbox>
          </v:shape>
        </w:pict>
      </w:r>
      <w:r>
        <w:pict>
          <v:shapetype id="_x0000_t99" coordsize="21600,21600" o:spt="202" path="m,l,21600r21600,l21600,xe">
            <v:stroke joinstyle="miter"/>
            <v:path gradientshapeok="t" o:connecttype="rect"/>
          </v:shapetype>
          <v:shape id="_x0000_s98" type="#_x0000_t99" filled="f" stroked="f" style="position:absolute;width:415.9pt;height:142.05pt;z-index:-1;margin-left:113.05pt;margin-top:178.55pt;mso-wrap-distance-left:0pt;mso-wrap-distance-right:0pt;mso-position-horizontal-relative:page;mso-position-vertical-relative:page">
            <w10:wrap type="square" side="both"/>
            <v:fill opacity="1" o:opacity2="1" recolor="f" rotate="f" type="solid"/>
            <v:textbox inset="0pt, 0pt, 0pt, 0pt">
              <w:txbxContent>
                <w:p>
                  <w:pPr>
                    <w:spacing w:before="57" w:after="0" w:line="20" w:lineRule="exact"/>
                  </w:pPr>
                </w:p>
                <w:tbl>
                  <w:tblPr>
                    <w:jc w:val="left"/>
                    <w:tblLayout w:type="fixed"/>
                    <w:tblCellMar>
                      <w:left w:w="0" w:type="dxa"/>
                      <w:right w:w="0" w:type="dxa"/>
                    </w:tblCellMar>
                  </w:tblPr>
                  <w:tblGrid>
                    <w:gridCol w:w="350"/>
                    <w:gridCol w:w="322"/>
                    <w:gridCol w:w="691"/>
                    <w:gridCol w:w="327"/>
                    <w:gridCol w:w="686"/>
                    <w:gridCol w:w="326"/>
                    <w:gridCol w:w="692"/>
                    <w:gridCol w:w="321"/>
                    <w:gridCol w:w="696"/>
                    <w:gridCol w:w="317"/>
                    <w:gridCol w:w="696"/>
                    <w:gridCol w:w="322"/>
                    <w:gridCol w:w="691"/>
                    <w:gridCol w:w="326"/>
                    <w:gridCol w:w="691"/>
                    <w:gridCol w:w="322"/>
                    <w:gridCol w:w="362"/>
                  </w:tblGrid>
                  <w:tr>
                    <w:trPr>
                      <w:trHeight w:val="360" w:hRule="exact"/>
                    </w:trPr>
                    <w:tc>
                      <w:tcPr>
                        <w:tcW w:w="4411" w:type="dxa"/>
                        <w:gridSpan w:val="9"/>
                        <w:tcBorders>
                          <w:top w:val="single" w:sz="5" w:color="000000"/>
                          <w:left w:val="none"/>
                          <w:bottom w:val="single" w:sz="5" w:color="000000"/>
                          <w:right w:val="none"/>
                        </w:tcBorders>
                        <w:textDirection w:val="lrTb"/>
                        <w:vAlign w:val="center"/>
                      </w:tcPr>
                      <w:p>
                        <w:pPr>
                          <w:tabs>
                            <w:tab w:val="left" w:leader="none" w:pos="3384"/>
                          </w:tabs>
                          <w:spacing w:before="110" w:after="9" w:line="236" w:lineRule="exact"/>
                          <w:ind w:right="701"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15.9	</w:t>
                        </w:r>
                        <w:r>
                          <w:rPr>
                            <w:rFonts w:ascii="Calibri" w:hAnsi="Calibri" w:eastAsia="Calibri"/>
                            <w:color w:val="404040"/>
                            <w:spacing w:val="0"/>
                            <w:w w:val="100"/>
                            <w:sz w:val="18"/>
                            <w:vertAlign w:val="baseline"/>
                            <w:lang w:val="en-US"/>
                          </w:rPr>
                          <w:t xml:space="preserve">15.1</w:t>
                        </w:r>
                      </w:p>
                    </w:tc>
                    <w:tc>
                      <w:tcPr>
                        <w:tcW w:w="317" w:type="dxa"/>
                        <w:vMerge w:val="restart"/>
                        <w:tcBorders>
                          <w:top w:val="single" w:sz="5" w:color="000000"/>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709" w:type="dxa"/>
                        <w:gridSpan w:val="3"/>
                        <w:tcBorders>
                          <w:top w:val="single" w:sz="5" w:color="000000"/>
                          <w:left w:val="none"/>
                          <w:bottom w:val="single" w:sz="5" w:color="000000"/>
                          <w:right w:val="none"/>
                        </w:tcBorders>
                        <w:textDirection w:val="lrTb"/>
                        <w:vAlign w:val="center"/>
                      </w:tcPr>
                      <w:p>
                        <w:pPr>
                          <w:spacing w:before="118" w:after="58" w:line="179"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15.6</w:t>
                        </w:r>
                      </w:p>
                    </w:tc>
                    <w:tc>
                      <w:tcPr>
                        <w:tcW w:w="326"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375" w:type="dxa"/>
                        <w:gridSpan w:val="3"/>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120" w:hRule="exact"/>
                    </w:trPr>
                    <w:tc>
                      <w:tcPr>
                        <w:tcW w:w="350" w:type="dxa"/>
                        <w:vMerge w:val="restart"/>
                        <w:tcBorders>
                          <w:top w:val="single" w:sz="5" w:color="000000"/>
                          <w:left w:val="none"/>
                          <w:bottom w:val="none"/>
                          <w:right w:val="none"/>
                        </w:tcBorders>
                        <w:textDirection w:val="lrTb"/>
                        <w:vAlign w:val="top"/>
                      </w:tcPr>
                      <w:p>
                        <w:pPr>
                          <w:spacing w:before="254" w:after="0" w:line="240" w:lineRule="auto"/>
                          <w:ind w:right="0" w:left="43"/>
                          <w:jc w:val="center"/>
                          <w:textAlignment w:val="baseline"/>
                        </w:pPr>
                        <w:r>
                          <w:drawing>
                            <wp:inline>
                              <wp:extent cx="194945" cy="999490"/>
                              <wp:docPr name="Picture" id="27"/>
                              <a:graphic>
                                <a:graphicData uri="http://schemas.openxmlformats.org/drawingml/2006/picture">
                                  <pic:pic>
                                    <pic:nvPicPr>
                                      <pic:cNvPr id="27" name="Picture"/>
                                      <pic:cNvPicPr preferRelativeResize="false"/>
                                    </pic:nvPicPr>
                                    <pic:blipFill>
                                      <a:blip r:embed="prId27"/>
                                      <a:stretch>
                                        <a:fillRect/>
                                      </a:stretch>
                                    </pic:blipFill>
                                    <pic:spPr>
                                      <a:xfrm>
                                        <a:off x="0" y="0"/>
                                        <a:ext cx="194945" cy="999490"/>
                                      </a:xfrm>
                                      <a:prstGeom prst="rect"/>
                                    </pic:spPr>
                                  </pic:pic>
                                </a:graphicData>
                              </a:graphic>
                            </wp:inline>
                          </w:drawing>
                        </w:r>
                      </w:p>
                    </w:tc>
                    <w:tc>
                      <w:tcPr>
                        <w:tcW w:w="322" w:type="dxa"/>
                        <w:vMerge w:val="restart"/>
                        <w:tcBorders>
                          <w:top w:val="single" w:sz="5" w:color="000000"/>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722" w:type="dxa"/>
                        <w:gridSpan w:val="5"/>
                        <w:vMerge w:val="restart"/>
                        <w:tcBorders>
                          <w:top w:val="single" w:sz="5" w:color="000000"/>
                          <w:left w:val="none"/>
                          <w:bottom w:val="none"/>
                          <w:right w:val="none"/>
                        </w:tcBorders>
                        <w:textDirection w:val="lrTb"/>
                        <w:vAlign w:val="top"/>
                      </w:tcPr>
                      <w:p>
                        <w:pPr>
                          <w:tabs>
                            <w:tab w:val="left" w:leader="none" w:pos="1728"/>
                          </w:tabs>
                          <w:spacing w:before="0" w:after="72" w:line="194"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14.1	</w:t>
                        </w:r>
                        <w:r>
                          <w:rPr>
                            <w:rFonts w:ascii="Calibri" w:hAnsi="Calibri" w:eastAsia="Calibri"/>
                            <w:color w:val="404040"/>
                            <w:spacing w:val="0"/>
                            <w:w w:val="100"/>
                            <w:sz w:val="18"/>
                            <w:vertAlign w:val="baseline"/>
                            <w:lang w:val="en-US"/>
                          </w:rPr>
                          <w:t xml:space="preserve">13.6</w:t>
                        </w:r>
                      </w:p>
                    </w:tc>
                    <w:tc>
                      <w:tcPr>
                        <w:tcW w:w="321" w:type="dxa"/>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96"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restart"/>
                        <w:tcBorders>
                          <w:top w:val="single" w:sz="5" w:color="000000"/>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91"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1375" w:type="dxa"/>
                        <w:gridSpan w:val="3"/>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173"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2722" w:type="dxa"/>
                        <w:gridSpan w:val="5"/>
                        <w:vMerge w:val="continue"/>
                        <w:tcBorders>
                          <w:top w:val="none"/>
                          <w:left w:val="none"/>
                          <w:bottom w:val="none"/>
                          <w:right w:val="none"/>
                        </w:tcBorders>
                        <w:textDirection w:val="lrTb"/>
                        <w:vAlign w:val="top"/>
                      </w:tcPr>
                      <w:p/>
                    </w:tc>
                    <w:tc>
                      <w:tcPr>
                        <w:tcW w:w="321"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96" w:type="dxa"/>
                        <w:vMerge w:val="continue"/>
                        <w:tcBorders>
                          <w:top w:val="none"/>
                          <w:left w:val="none"/>
                          <w:bottom w:val="single" w:sz="5" w:color="000000"/>
                          <w:right w:val="none"/>
                        </w:tcBorders>
                        <w:textDirection w:val="lrTb"/>
                        <w:vAlign w:val="top"/>
                      </w:tcPr>
                      <w:p/>
                    </w:tc>
                    <w:tc>
                      <w:tcPr>
                        <w:tcW w:w="317" w:type="dxa"/>
                        <w:vMerge w:val="continue"/>
                        <w:tcBorders>
                          <w:top w:val="none"/>
                          <w:left w:val="none"/>
                          <w:bottom w:val="none"/>
                          <w:right w:val="none"/>
                        </w:tcBorders>
                        <w:shd w:val="clear" w:color="145F82" w:fill="145F82"/>
                        <w:textDirection w:val="lrTb"/>
                        <w:vAlign w:val="top"/>
                      </w:tcPr>
                      <w:p/>
                    </w:tc>
                    <w:tc>
                      <w:tcPr>
                        <w:tcW w:w="696" w:type="dxa"/>
                        <w:vMerge w:val="continue"/>
                        <w:tcBorders>
                          <w:top w:val="none"/>
                          <w:left w:val="none"/>
                          <w:bottom w:val="single" w:sz="5" w:color="000000"/>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vMerge w:val="continue"/>
                        <w:tcBorders>
                          <w:top w:val="none"/>
                          <w:left w:val="none"/>
                          <w:bottom w:val="single" w:sz="5" w:color="000000"/>
                          <w:right w:val="none"/>
                        </w:tcBorders>
                        <w:textDirection w:val="lrTb"/>
                        <w:vAlign w:val="top"/>
                      </w:tcPr>
                      <w:p/>
                    </w:tc>
                    <w:tc>
                      <w:tcPr>
                        <w:tcW w:w="326" w:type="dxa"/>
                        <w:vMerge w:val="continue"/>
                        <w:tcBorders>
                          <w:top w:val="none"/>
                          <w:left w:val="none"/>
                          <w:bottom w:val="none"/>
                          <w:right w:val="none"/>
                        </w:tcBorders>
                        <w:shd w:val="clear" w:color="145F82" w:fill="145F82"/>
                        <w:textDirection w:val="lrTb"/>
                        <w:vAlign w:val="top"/>
                      </w:tcPr>
                      <w:p/>
                    </w:tc>
                    <w:tc>
                      <w:tcPr>
                        <w:tcW w:w="1375" w:type="dxa"/>
                        <w:gridSpan w:val="3"/>
                        <w:vMerge w:val="continue"/>
                        <w:tcBorders>
                          <w:top w:val="none"/>
                          <w:left w:val="none"/>
                          <w:bottom w:val="single" w:sz="5" w:color="000000"/>
                          <w:right w:val="none"/>
                        </w:tcBorders>
                        <w:textDirection w:val="lrTb"/>
                        <w:vAlign w:val="top"/>
                      </w:tcPr>
                      <w:p/>
                    </w:tc>
                  </w:tr>
                  <w:tr>
                    <w:trPr>
                      <w:trHeight w:val="293"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none"/>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86" w:type="dxa"/>
                        <w:tcBorders>
                          <w:top w:val="none"/>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692" w:type="dxa"/>
                        <w:tcBorders>
                          <w:top w:val="none"/>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1375" w:type="dxa"/>
                        <w:gridSpan w:val="3"/>
                        <w:tcBorders>
                          <w:top w:val="single" w:sz="5" w:color="000000"/>
                          <w:left w:val="none"/>
                          <w:bottom w:val="single" w:sz="5" w:color="000000"/>
                          <w:right w:val="none"/>
                        </w:tcBorders>
                        <w:textDirection w:val="lrTb"/>
                        <w:vAlign w:val="top"/>
                      </w:tcPr>
                      <w:p>
                        <w:pPr>
                          <w:spacing w:before="146" w:after="0" w:line="146" w:lineRule="exact"/>
                          <w:ind w:right="362"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11.1</w:t>
                        </w:r>
                      </w:p>
                    </w:tc>
                  </w:tr>
                  <w:tr>
                    <w:trPr>
                      <w:trHeight w:val="134"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none"/>
                          <w:right w:val="none"/>
                        </w:tcBorders>
                        <w:shd w:val="clear" w:color="145F82" w:fill="145F82"/>
                        <w:textDirection w:val="lrTb"/>
                        <w:vAlign w:val="top"/>
                      </w:tcPr>
                      <w:p/>
                    </w:tc>
                    <w:tc>
                      <w:tcPr>
                        <w:tcW w:w="686"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2"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1" w:type="dxa"/>
                        <w:vMerge w:val="restart"/>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62" w:type="dxa"/>
                        <w:vMerge w:val="restart"/>
                        <w:tcBorders>
                          <w:top w:val="single" w:sz="5" w:color="000000"/>
                          <w:left w:val="none"/>
                          <w:bottom w:val="none"/>
                          <w:right w:val="none"/>
                        </w:tcBorders>
                        <w:textDirection w:val="lrTb"/>
                        <w:vAlign w:val="top"/>
                      </w:tcPr>
                      <w:p>
                        <w:pPr>
                          <w:spacing w:before="283" w:after="0" w:line="240" w:lineRule="auto"/>
                          <w:ind w:right="12" w:left="24"/>
                          <w:jc w:val="center"/>
                          <w:textAlignment w:val="baseline"/>
                        </w:pPr>
                        <w:r>
                          <w:drawing>
                            <wp:inline>
                              <wp:extent cx="194945" cy="609600"/>
                              <wp:docPr name="Picture" id="28"/>
                              <a:graphic>
                                <a:graphicData uri="http://schemas.openxmlformats.org/drawingml/2006/picture">
                                  <pic:pic>
                                    <pic:nvPicPr>
                                      <pic:cNvPr id="28" name="Picture"/>
                                      <pic:cNvPicPr preferRelativeResize="false"/>
                                    </pic:nvPicPr>
                                    <pic:blipFill>
                                      <a:blip r:embed="prId28"/>
                                      <a:stretch>
                                        <a:fillRect/>
                                      </a:stretch>
                                    </pic:blipFill>
                                    <pic:spPr>
                                      <a:xfrm>
                                        <a:off x="0" y="0"/>
                                        <a:ext cx="194945" cy="609600"/>
                                      </a:xfrm>
                                      <a:prstGeom prst="rect"/>
                                    </pic:spPr>
                                  </pic:pic>
                                </a:graphicData>
                              </a:graphic>
                            </wp:inline>
                          </w:drawing>
                        </w:r>
                      </w:p>
                    </w:tc>
                  </w:tr>
                  <w:tr>
                    <w:trPr>
                      <w:trHeight w:val="168"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vMerge w:val="continue"/>
                        <w:tcBorders>
                          <w:top w:val="none"/>
                          <w:left w:val="none"/>
                          <w:bottom w:val="single" w:sz="5" w:color="000000"/>
                          <w:right w:val="none"/>
                        </w:tcBorders>
                        <w:textDirection w:val="lrTb"/>
                        <w:vAlign w:val="top"/>
                      </w:tcPr>
                      <w:p/>
                    </w:tc>
                    <w:tc>
                      <w:tcPr>
                        <w:tcW w:w="327" w:type="dxa"/>
                        <w:vMerge w:val="continue"/>
                        <w:tcBorders>
                          <w:top w:val="none"/>
                          <w:left w:val="none"/>
                          <w:bottom w:val="none"/>
                          <w:right w:val="none"/>
                        </w:tcBorders>
                        <w:shd w:val="clear" w:color="145F82" w:fill="145F82"/>
                        <w:textDirection w:val="lrTb"/>
                        <w:vAlign w:val="top"/>
                      </w:tcPr>
                      <w:p/>
                    </w:tc>
                    <w:tc>
                      <w:tcPr>
                        <w:tcW w:w="686" w:type="dxa"/>
                        <w:vMerge w:val="continue"/>
                        <w:tcBorders>
                          <w:top w:val="none"/>
                          <w:left w:val="none"/>
                          <w:bottom w:val="single" w:sz="5" w:color="000000"/>
                          <w:right w:val="none"/>
                        </w:tcBorders>
                        <w:textDirection w:val="lrTb"/>
                        <w:vAlign w:val="top"/>
                      </w:tcPr>
                      <w:p/>
                    </w:tc>
                    <w:tc>
                      <w:tcPr>
                        <w:tcW w:w="326" w:type="dxa"/>
                        <w:vMerge w:val="continue"/>
                        <w:tcBorders>
                          <w:top w:val="none"/>
                          <w:left w:val="none"/>
                          <w:bottom w:val="none"/>
                          <w:right w:val="none"/>
                        </w:tcBorders>
                        <w:shd w:val="clear" w:color="145F82" w:fill="145F82"/>
                        <w:textDirection w:val="lrTb"/>
                        <w:vAlign w:val="top"/>
                      </w:tcPr>
                      <w:p/>
                    </w:tc>
                    <w:tc>
                      <w:tcPr>
                        <w:tcW w:w="692" w:type="dxa"/>
                        <w:vMerge w:val="continue"/>
                        <w:tcBorders>
                          <w:top w:val="none"/>
                          <w:left w:val="none"/>
                          <w:bottom w:val="single" w:sz="5" w:color="000000"/>
                          <w:right w:val="none"/>
                        </w:tcBorders>
                        <w:textDirection w:val="lrTb"/>
                        <w:vAlign w:val="top"/>
                      </w:tcPr>
                      <w:p/>
                    </w:tc>
                    <w:tc>
                      <w:tcPr>
                        <w:tcW w:w="321" w:type="dxa"/>
                        <w:vMerge w:val="continue"/>
                        <w:tcBorders>
                          <w:top w:val="none"/>
                          <w:left w:val="none"/>
                          <w:bottom w:val="none"/>
                          <w:right w:val="none"/>
                        </w:tcBorders>
                        <w:shd w:val="clear" w:color="145F82" w:fill="145F82"/>
                        <w:textDirection w:val="lrTb"/>
                        <w:vAlign w:val="top"/>
                      </w:tcPr>
                      <w:p/>
                    </w:tc>
                    <w:tc>
                      <w:tcPr>
                        <w:tcW w:w="696" w:type="dxa"/>
                        <w:vMerge w:val="continue"/>
                        <w:tcBorders>
                          <w:top w:val="none"/>
                          <w:left w:val="none"/>
                          <w:bottom w:val="single" w:sz="5" w:color="000000"/>
                          <w:right w:val="none"/>
                        </w:tcBorders>
                        <w:textDirection w:val="lrTb"/>
                        <w:vAlign w:val="top"/>
                      </w:tcPr>
                      <w:p/>
                    </w:tc>
                    <w:tc>
                      <w:tcPr>
                        <w:tcW w:w="317" w:type="dxa"/>
                        <w:vMerge w:val="continue"/>
                        <w:tcBorders>
                          <w:top w:val="none"/>
                          <w:left w:val="none"/>
                          <w:bottom w:val="none"/>
                          <w:right w:val="none"/>
                        </w:tcBorders>
                        <w:shd w:val="clear" w:color="145F82" w:fill="145F82"/>
                        <w:textDirection w:val="lrTb"/>
                        <w:vAlign w:val="top"/>
                      </w:tcPr>
                      <w:p/>
                    </w:tc>
                    <w:tc>
                      <w:tcPr>
                        <w:tcW w:w="696" w:type="dxa"/>
                        <w:vMerge w:val="continue"/>
                        <w:tcBorders>
                          <w:top w:val="none"/>
                          <w:left w:val="none"/>
                          <w:bottom w:val="single" w:sz="5" w:color="000000"/>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vMerge w:val="continue"/>
                        <w:tcBorders>
                          <w:top w:val="none"/>
                          <w:left w:val="none"/>
                          <w:bottom w:val="single" w:sz="5" w:color="000000"/>
                          <w:right w:val="none"/>
                        </w:tcBorders>
                        <w:textDirection w:val="lrTb"/>
                        <w:vAlign w:val="top"/>
                      </w:tcPr>
                      <w:p/>
                    </w:tc>
                    <w:tc>
                      <w:tcPr>
                        <w:tcW w:w="326" w:type="dxa"/>
                        <w:vMerge w:val="continue"/>
                        <w:tcBorders>
                          <w:top w:val="none"/>
                          <w:left w:val="none"/>
                          <w:bottom w:val="none"/>
                          <w:right w:val="none"/>
                        </w:tcBorders>
                        <w:shd w:val="clear" w:color="145F82" w:fill="145F82"/>
                        <w:textDirection w:val="lrTb"/>
                        <w:vAlign w:val="top"/>
                      </w:tcPr>
                      <w:p/>
                    </w:tc>
                    <w:tc>
                      <w:tcPr>
                        <w:tcW w:w="691" w:type="dxa"/>
                        <w:vMerge w:val="continue"/>
                        <w:tcBorders>
                          <w:top w:val="none"/>
                          <w:left w:val="none"/>
                          <w:bottom w:val="single" w:sz="5" w:color="000000"/>
                          <w:right w:val="none"/>
                        </w:tcBorders>
                        <w:textDirection w:val="lrTb"/>
                        <w:vAlign w:val="top"/>
                      </w:tcPr>
                      <w:p/>
                    </w:tc>
                    <w:tc>
                      <w:tcPr>
                        <w:tcW w:w="322"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62" w:type="dxa"/>
                        <w:vMerge w:val="continue"/>
                        <w:tcBorders>
                          <w:top w:val="none"/>
                          <w:left w:val="none"/>
                          <w:bottom w:val="none"/>
                          <w:right w:val="none"/>
                        </w:tcBorders>
                        <w:textDirection w:val="lrTb"/>
                        <w:vAlign w:val="top"/>
                      </w:tcPr>
                      <w:p/>
                    </w:tc>
                  </w:tr>
                  <w:tr>
                    <w:trPr>
                      <w:trHeight w:val="302"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none"/>
                          <w:right w:val="none"/>
                        </w:tcBorders>
                        <w:shd w:val="clear" w:color="145F82" w:fill="145F82"/>
                        <w:textDirection w:val="lrTb"/>
                        <w:vAlign w:val="top"/>
                      </w:tcPr>
                      <w:p/>
                    </w:tc>
                    <w:tc>
                      <w:tcPr>
                        <w:tcW w:w="68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362" w:type="dxa"/>
                        <w:vMerge w:val="continue"/>
                        <w:tcBorders>
                          <w:top w:val="none"/>
                          <w:left w:val="none"/>
                          <w:bottom w:val="none"/>
                          <w:right w:val="none"/>
                        </w:tcBorders>
                        <w:textDirection w:val="lrTb"/>
                        <w:vAlign w:val="top"/>
                      </w:tcPr>
                      <w:p/>
                    </w:tc>
                  </w:tr>
                  <w:tr>
                    <w:trPr>
                      <w:trHeight w:val="298"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none"/>
                          <w:right w:val="none"/>
                        </w:tcBorders>
                        <w:shd w:val="clear" w:color="145F82" w:fill="145F82"/>
                        <w:textDirection w:val="lrTb"/>
                        <w:vAlign w:val="top"/>
                      </w:tcPr>
                      <w:p/>
                    </w:tc>
                    <w:tc>
                      <w:tcPr>
                        <w:tcW w:w="68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362" w:type="dxa"/>
                        <w:vMerge w:val="continue"/>
                        <w:tcBorders>
                          <w:top w:val="none"/>
                          <w:left w:val="none"/>
                          <w:bottom w:val="none"/>
                          <w:right w:val="none"/>
                        </w:tcBorders>
                        <w:textDirection w:val="lrTb"/>
                        <w:vAlign w:val="top"/>
                      </w:tcPr>
                      <w:p/>
                    </w:tc>
                  </w:tr>
                  <w:tr>
                    <w:trPr>
                      <w:trHeight w:val="302" w:hRule="exact"/>
                    </w:trPr>
                    <w:tc>
                      <w:tcPr>
                        <w:tcW w:w="350" w:type="dxa"/>
                        <w:vMerge w:val="continue"/>
                        <w:tcBorders>
                          <w:top w:val="none"/>
                          <w:left w:val="none"/>
                          <w:bottom w:val="none"/>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none"/>
                          <w:right w:val="none"/>
                        </w:tcBorders>
                        <w:shd w:val="clear" w:color="145F82" w:fill="145F82"/>
                        <w:textDirection w:val="lrTb"/>
                        <w:vAlign w:val="top"/>
                      </w:tcPr>
                      <w:p/>
                    </w:tc>
                    <w:tc>
                      <w:tcPr>
                        <w:tcW w:w="68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362" w:type="dxa"/>
                        <w:vMerge w:val="continue"/>
                        <w:tcBorders>
                          <w:top w:val="none"/>
                          <w:left w:val="none"/>
                          <w:bottom w:val="none"/>
                          <w:right w:val="none"/>
                        </w:tcBorders>
                        <w:textDirection w:val="lrTb"/>
                        <w:vAlign w:val="top"/>
                      </w:tcPr>
                      <w:p/>
                    </w:tc>
                  </w:tr>
                  <w:tr>
                    <w:trPr>
                      <w:trHeight w:val="303" w:hRule="exact"/>
                    </w:trPr>
                    <w:tc>
                      <w:tcPr>
                        <w:tcW w:w="350" w:type="dxa"/>
                        <w:vMerge w:val="continue"/>
                        <w:tcBorders>
                          <w:top w:val="none"/>
                          <w:left w:val="none"/>
                          <w:bottom w:val="single" w:sz="5" w:color="000000"/>
                          <w:right w:val="none"/>
                        </w:tcBorders>
                        <w:textDirection w:val="lrTb"/>
                        <w:vAlign w:val="top"/>
                      </w:tcP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none"/>
                          <w:right w:val="none"/>
                        </w:tcBorders>
                        <w:shd w:val="clear" w:color="145F82" w:fill="145F82"/>
                        <w:textDirection w:val="lrTb"/>
                        <w:vAlign w:val="top"/>
                      </w:tcPr>
                      <w:p/>
                    </w:tc>
                    <w:tc>
                      <w:tcPr>
                        <w:tcW w:w="68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none"/>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none"/>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none"/>
                          <w:right w:val="none"/>
                        </w:tcBorders>
                        <w:shd w:val="clear" w:color="145F82" w:fill="145F82"/>
                        <w:textDirection w:val="lrTb"/>
                        <w:vAlign w:val="top"/>
                      </w:tcPr>
                      <w:p/>
                    </w:tc>
                    <w:tc>
                      <w:tcPr>
                        <w:tcW w:w="362" w:type="dxa"/>
                        <w:vMerge w:val="continue"/>
                        <w:tcBorders>
                          <w:top w:val="none"/>
                          <w:left w:val="none"/>
                          <w:bottom w:val="single" w:sz="5" w:color="000000"/>
                          <w:right w:val="none"/>
                        </w:tcBorders>
                        <w:textDirection w:val="lrTb"/>
                        <w:vAlign w:val="top"/>
                      </w:tcPr>
                      <w:p/>
                    </w:tc>
                  </w:tr>
                  <w:tr>
                    <w:trPr>
                      <w:trHeight w:val="297" w:hRule="exact"/>
                    </w:trPr>
                    <w:tc>
                      <w:tcPr>
                        <w:tcW w:w="35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single" w:sz="5" w:color="000000"/>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7" w:type="dxa"/>
                        <w:vMerge w:val="continue"/>
                        <w:tcBorders>
                          <w:top w:val="none"/>
                          <w:left w:val="none"/>
                          <w:bottom w:val="single" w:sz="5" w:color="000000"/>
                          <w:right w:val="none"/>
                        </w:tcBorders>
                        <w:shd w:val="clear" w:color="145F82" w:fill="145F82"/>
                        <w:textDirection w:val="lrTb"/>
                        <w:vAlign w:val="top"/>
                      </w:tcPr>
                      <w:p/>
                    </w:tc>
                    <w:tc>
                      <w:tcPr>
                        <w:tcW w:w="68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single" w:sz="5" w:color="000000"/>
                          <w:right w:val="none"/>
                        </w:tcBorders>
                        <w:shd w:val="clear" w:color="145F82" w:fill="145F82"/>
                        <w:textDirection w:val="lrTb"/>
                        <w:vAlign w:val="top"/>
                      </w:tcPr>
                      <w:p/>
                    </w:tc>
                    <w:tc>
                      <w:tcPr>
                        <w:tcW w:w="69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1" w:type="dxa"/>
                        <w:vMerge w:val="continue"/>
                        <w:tcBorders>
                          <w:top w:val="none"/>
                          <w:left w:val="none"/>
                          <w:bottom w:val="single" w:sz="5" w:color="000000"/>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17" w:type="dxa"/>
                        <w:vMerge w:val="continue"/>
                        <w:tcBorders>
                          <w:top w:val="none"/>
                          <w:left w:val="none"/>
                          <w:bottom w:val="single" w:sz="5" w:color="000000"/>
                          <w:right w:val="none"/>
                        </w:tcBorders>
                        <w:shd w:val="clear" w:color="145F82" w:fill="145F82"/>
                        <w:textDirection w:val="lrTb"/>
                        <w:vAlign w:val="top"/>
                      </w:tcPr>
                      <w:p/>
                    </w:tc>
                    <w:tc>
                      <w:tcPr>
                        <w:tcW w:w="696"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single" w:sz="5" w:color="000000"/>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6" w:type="dxa"/>
                        <w:vMerge w:val="continue"/>
                        <w:tcBorders>
                          <w:top w:val="none"/>
                          <w:left w:val="none"/>
                          <w:bottom w:val="single" w:sz="5" w:color="000000"/>
                          <w:right w:val="none"/>
                        </w:tcBorders>
                        <w:shd w:val="clear" w:color="145F82" w:fill="145F82"/>
                        <w:textDirection w:val="lrTb"/>
                        <w:vAlign w:val="top"/>
                      </w:tcPr>
                      <w:p/>
                    </w:tc>
                    <w:tc>
                      <w:tcPr>
                        <w:tcW w:w="691"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22" w:type="dxa"/>
                        <w:vMerge w:val="continue"/>
                        <w:tcBorders>
                          <w:top w:val="none"/>
                          <w:left w:val="none"/>
                          <w:bottom w:val="single" w:sz="5" w:color="000000"/>
                          <w:right w:val="none"/>
                        </w:tcBorders>
                        <w:shd w:val="clear" w:color="145F82" w:fill="145F82"/>
                        <w:textDirection w:val="lrTb"/>
                        <w:vAlign w:val="top"/>
                      </w:tcPr>
                      <w:p/>
                    </w:tc>
                    <w:tc>
                      <w:tcPr>
                        <w:tcW w:w="362"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bl>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415.9pt;height:27.25pt;z-index:-1;margin-left:113.05pt;margin-top:320.6pt;mso-wrap-distance-left:0pt;mso-wrap-distance-right:0pt;mso-position-horizontal-relative:page;mso-position-vertical-relative:page">
            <w10:wrap type="square" side="both"/>
            <v:fill opacity="1" o:opacity2="1" recolor="f" rotate="f" type="solid"/>
            <v:textbox inset="0pt, 0pt, 0pt, 0pt">
              <w:txbxContent>
                <w:p>
                  <w:pPr>
                    <w:spacing w:before="128" w:after="235" w:line="180" w:lineRule="exact"/>
                    <w:ind w:right="0" w:left="0" w:firstLine="0"/>
                    <w:jc w:val="center"/>
                    <w:textAlignment w:val="baseline"/>
                    <w:rPr>
                      <w:rFonts w:ascii="Calibri" w:hAnsi="Calibri" w:eastAsia="Calibri"/>
                      <w:color w:val="585858"/>
                      <w:spacing w:val="43"/>
                      <w:w w:val="100"/>
                      <w:sz w:val="18"/>
                      <w:vertAlign w:val="baseline"/>
                      <w:lang w:val="en-US"/>
                    </w:rPr>
                  </w:pPr>
                  <w:r>
                    <w:rPr>
                      <w:rFonts w:ascii="Calibri" w:hAnsi="Calibri" w:eastAsia="Calibri"/>
                      <w:color w:val="585858"/>
                      <w:spacing w:val="43"/>
                      <w:w w:val="100"/>
                      <w:sz w:val="18"/>
                      <w:vertAlign w:val="baseline"/>
                      <w:lang w:val="en-US"/>
                    </w:rPr>
                    <w:t xml:space="preserve">Chemung Livingston Ontario Schuyler Seneca Steuben Wayne Yates</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2.55pt;height:167.9pt;z-index:-1;margin-left:90.5pt;margin-top:178.55pt;mso-wrap-distance-left:0pt;mso-wrap-distance-right:0pt;mso-position-horizontal-relative:page;mso-position-vertical-relative:page">
            <w10:wrap type="square" side="both"/>
            <v:fill opacity="1" o:opacity2="1" recolor="f" rotate="f" type="solid"/>
            <v:textbox inset="0pt, 0pt, 0pt, 0pt">
              <w:txbxContent>
                <w:p>
                  <w:pPr>
                    <w:spacing w:before="0" w:after="0" w:line="282" w:lineRule="exact"/>
                    <w:ind w:right="0" w:left="0" w:firstLine="0"/>
                    <w:jc w:val="left"/>
                    <w:textAlignment w:val="baseline"/>
                    <w:rPr>
                      <w:rFonts w:ascii="Calibri" w:hAnsi="Calibri" w:eastAsia="Calibri"/>
                      <w:color w:val="585858"/>
                      <w:spacing w:val="49"/>
                      <w:w w:val="100"/>
                      <w:sz w:val="18"/>
                      <w:vertAlign w:val="baseline"/>
                      <w:lang w:val="en-US"/>
                    </w:rPr>
                  </w:pPr>
                  <w:r>
                    <w:rPr>
                      <w:rFonts w:ascii="Calibri" w:hAnsi="Calibri" w:eastAsia="Calibri"/>
                      <w:color w:val="585858"/>
                      <w:spacing w:val="49"/>
                      <w:w w:val="100"/>
                      <w:sz w:val="18"/>
                      <w:vertAlign w:val="baseline"/>
                      <w:lang w:val="en-US"/>
                    </w:rPr>
                    <w:t xml:space="preserve">18 16 14 12 10</w:t>
                  </w:r>
                </w:p>
                <w:p>
                  <w:pPr>
                    <w:spacing w:before="118" w:after="0"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w:t>
                  </w:r>
                </w:p>
                <w:p>
                  <w:pPr>
                    <w:spacing w:before="124" w:after="0"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w:t>
                  </w:r>
                </w:p>
                <w:p>
                  <w:pPr>
                    <w:spacing w:before="123" w:after="0"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w:t>
                  </w:r>
                </w:p>
                <w:p>
                  <w:pPr>
                    <w:spacing w:before="123" w:after="0"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w:t>
                  </w:r>
                </w:p>
                <w:p>
                  <w:pPr>
                    <w:spacing w:before="124" w:after="437"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423.3pt;height:45.85pt;z-index:-1;margin-left:98.2pt;margin-top:501.35pt;mso-wrap-distance-left:0pt;mso-wrap-distance-right:0pt;mso-position-horizontal-relative:page;mso-position-vertical-relative:page">
            <w10:wrap type="square" side="both"/>
            <v:fill opacity="1" o:opacity2="1" recolor="f" rotate="f" type="solid"/>
            <v:textbox inset="0pt, 0pt, 0pt, 0pt">
              <w:txbxContent>
                <w:p>
                  <w:pPr>
                    <w:spacing w:before="198" w:after="0" w:line="287"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Veteran Population by Percent of Total (2020)</w:t>
                  </w:r>
                </w:p>
                <w:p>
                  <w:pPr>
                    <w:tabs>
                      <w:tab w:val="left" w:leader="none" w:pos="3744"/>
                      <w:tab w:val="left" w:leader="none" w:pos="4752"/>
                      <w:tab w:val="left" w:leader="none" w:pos="5760"/>
                    </w:tabs>
                    <w:spacing w:before="192" w:after="41" w:line="199" w:lineRule="exact"/>
                    <w:ind w:right="0" w:left="0" w:firstLine="0"/>
                    <w:jc w:val="left"/>
                    <w:textAlignment w:val="baseline"/>
                    <w:rPr>
                      <w:rFonts w:ascii="Calibri" w:hAnsi="Calibri" w:eastAsia="Calibri"/>
                      <w:color w:val="585858"/>
                      <w:spacing w:val="-3"/>
                      <w:w w:val="100"/>
                      <w:sz w:val="18"/>
                      <w:vertAlign w:val="baseline"/>
                      <w:lang w:val="en-US"/>
                    </w:rPr>
                  </w:pPr>
                  <w:r>
                    <w:rPr>
                      <w:rFonts w:ascii="Calibri" w:hAnsi="Calibri" w:eastAsia="Calibri"/>
                      <w:color w:val="585858"/>
                      <w:spacing w:val="-3"/>
                      <w:w w:val="100"/>
                      <w:sz w:val="18"/>
                      <w:vertAlign w:val="baseline"/>
                      <w:lang w:val="en-US"/>
                    </w:rPr>
                    <w:t xml:space="preserve">10	</w:t>
                  </w:r>
                  <w:r>
                    <w:rPr>
                      <w:rFonts w:ascii="Calibri" w:hAnsi="Calibri" w:eastAsia="Calibri"/>
                      <w:color w:val="404040"/>
                      <w:spacing w:val="-3"/>
                      <w:w w:val="100"/>
                      <w:sz w:val="18"/>
                      <w:u w:val="single"/>
                      <w:vertAlign w:val="baseline"/>
                      <w:lang w:val="en-US"/>
                    </w:rPr>
                    <w:t xml:space="preserve">8.9	</w:t>
                  </w:r>
                  <w:r>
                    <w:rPr>
                      <w:rFonts w:ascii="Calibri" w:hAnsi="Calibri" w:eastAsia="Calibri"/>
                      <w:color w:val="404040"/>
                      <w:spacing w:val="-3"/>
                      <w:w w:val="100"/>
                      <w:sz w:val="18"/>
                      <w:vertAlign w:val="baseline"/>
                      <w:lang w:val="en-US"/>
                    </w:rPr>
                    <w:t xml:space="preserve">8.7	</w:t>
                  </w:r>
                  <w:r>
                    <w:rPr>
                      <w:rFonts w:ascii="Calibri" w:hAnsi="Calibri" w:eastAsia="Calibri"/>
                      <w:color w:val="404040"/>
                      <w:spacing w:val="-3"/>
                      <w:w w:val="100"/>
                      <w:sz w:val="18"/>
                      <w:vertAlign w:val="baseline"/>
                      <w:lang w:val="en-US"/>
                    </w:rPr>
                    <w:t xml:space="preserve">8.6</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403.65pt;height:84.95pt;z-index:-999;margin-left:108.5pt;margin-top:547.2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5126355" cy="1078865"/>
                        <wp:docPr name="Picture" id="29"/>
                        <a:graphic>
                          <a:graphicData uri="http://schemas.openxmlformats.org/drawingml/2006/picture">
                            <pic:pic>
                              <pic:nvPicPr>
                                <pic:cNvPr id="29" name="Picture"/>
                                <pic:cNvPicPr preferRelativeResize="false"/>
                              </pic:nvPicPr>
                              <pic:blipFill>
                                <a:blip r:embed="prId29"/>
                                <a:stretch>
                                  <a:fillRect/>
                                </a:stretch>
                              </pic:blipFill>
                              <pic:spPr>
                                <a:xfrm>
                                  <a:off x="0" y="0"/>
                                  <a:ext cx="5126355" cy="1078865"/>
                                </a:xfrm>
                                <a:prstGeom prst="rect"/>
                              </pic:spPr>
                            </pic:pic>
                          </a:graphicData>
                        </a:graphic>
                      </wp:inline>
                    </w:drawing>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59.75pt;height:8.9pt;z-index:-1;margin-left:433.7pt;margin-top:547.2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224"/>
                    </w:tabs>
                    <w:spacing w:before="0" w:after="0" w:line="172"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7.7	</w:t>
                  </w:r>
                  <w:r>
                    <w:rPr>
                      <w:rFonts w:ascii="Calibri" w:hAnsi="Calibri" w:eastAsia="Calibri"/>
                      <w:color w:val="404040"/>
                      <w:spacing w:val="0"/>
                      <w:w w:val="100"/>
                      <w:sz w:val="18"/>
                      <w:vertAlign w:val="baseline"/>
                      <w:lang w:val="en-US"/>
                    </w:rPr>
                    <w:t xml:space="preserve">7.4</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136.8pt;height:12.6pt;z-index:-1;margin-left:108.7pt;margin-top:548.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48"/>
                      <w:tab w:val="left" w:leader="none" w:pos="1584"/>
                      <w:tab w:val="right" w:leader="none" w:pos="2736"/>
                    </w:tabs>
                    <w:spacing w:before="51" w:after="0" w:line="187"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w:t>
                  </w:r>
                  <w:r>
                    <w:rPr>
                      <w:rFonts w:ascii="Calibri" w:hAnsi="Calibri" w:eastAsia="Calibri"/>
                      <w:color w:val="404040"/>
                      <w:spacing w:val="0"/>
                      <w:w w:val="100"/>
                      <w:sz w:val="18"/>
                      <w:u w:val="single"/>
                      <w:vertAlign w:val="baseline"/>
                      <w:lang w:val="en-US"/>
                    </w:rPr>
                    <w:t xml:space="preserve"> 	</w:t>
                  </w:r>
                  <w:r>
                    <w:rPr>
                      <w:rFonts w:ascii="Calibri" w:hAnsi="Calibri" w:eastAsia="Calibri"/>
                      <w:color w:val="404040"/>
                      <w:spacing w:val="0"/>
                      <w:w w:val="100"/>
                      <w:sz w:val="18"/>
                      <w:u w:val="single"/>
                      <w:vertAlign w:val="baseline"/>
                      <w:lang w:val="en-US"/>
                    </w:rPr>
                    <w:t xml:space="preserve">7.2	</w:t>
                  </w:r>
                  <w:r>
                    <w:rPr>
                      <w:rFonts w:ascii="Calibri" w:hAnsi="Calibri" w:eastAsia="Calibri"/>
                      <w:color w:val="404040"/>
                      <w:spacing w:val="0"/>
                      <w:w w:val="100"/>
                      <w:sz w:val="18"/>
                      <w:u w:val="single"/>
                      <w:vertAlign w:val="baseline"/>
                      <w:lang w:val="en-US"/>
                    </w:rPr>
                    <w:t xml:space="preserve">6.9	</w:t>
                  </w:r>
                  <w:r>
                    <w:rPr>
                      <w:rFonts w:ascii="Calibri" w:hAnsi="Calibri" w:eastAsia="Calibri"/>
                      <w:color w:val="404040"/>
                      <w:spacing w:val="0"/>
                      <w:w w:val="100"/>
                      <w:sz w:val="18"/>
                      <w:u w:val="single"/>
                      <w:vertAlign w:val="baseline"/>
                      <w:lang w:val="en-US"/>
                    </w:rPr>
                    <w:t xml:space="preserve">7</w:t>
                  </w:r>
                  <w:r>
                    <w:rPr>
                      <w:rFonts w:ascii="Calibri" w:hAnsi="Calibri" w:eastAsia="Calibri"/>
                      <w:color w:val="404040"/>
                      <w:spacing w:val="0"/>
                      <w:w w:val="100"/>
                      <w:sz w:val="18"/>
                      <w:vertAlign w:val="baseline"/>
                      <w:lang w:val="en-US"/>
                    </w:rPr>
                    <w:t xml:space="preserve">
</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9.85pt;height:9.95pt;z-index:-1;margin-left:105.7pt;margin-top:569.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w:t>
                  </w:r>
                </w:p>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10.35pt;height:9.95pt;z-index:-1;margin-left:105.35pt;margin-top:587.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9.3pt;height:9.95pt;z-index:-1;margin-left:105.85pt;margin-top:605.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w:t>
                  </w:r>
                </w:p>
              </w:txbxContent>
            </v:textbox>
          </v:shape>
        </w:pict>
      </w:r>
      <w:r>
        <w:pict>
          <v:shapetype id="_x0000_t109" coordsize="21600,21600" o:spt="202" path="m,l,21600r21600,l21600,xe">
            <v:stroke joinstyle="miter"/>
            <v:path gradientshapeok="t" o:connecttype="rect"/>
          </v:shapetype>
          <v:shape id="_x0000_s108" type="#_x0000_t109" filled="f" stroked="f" style="position:absolute;width:10.35pt;height:9.95pt;z-index:-1;margin-left:105.35pt;margin-top:623.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xbxContent>
            </v:textbox>
          </v:shape>
        </w:pict>
      </w:r>
      <w:r>
        <w:pict>
          <v:shapetype id="_x0000_t110" coordsize="21600,21600" o:spt="202" path="m,l,21600r21600,l21600,xe">
            <v:stroke joinstyle="miter"/>
            <v:path gradientshapeok="t" o:connecttype="rect"/>
          </v:shapetype>
          <v:shape id="_x0000_s109" type="#_x0000_t110" filled="f" stroked="f" style="position:absolute;width:423.3pt;height:20.05pt;z-index:-1;margin-left:98.2pt;margin-top:633.3pt;mso-wrap-distance-left:0pt;mso-wrap-distance-right:0pt;mso-position-horizontal-relative:page;mso-position-vertical-relative:page">
            <w10:wrap type="square" side="both"/>
            <v:fill opacity="1" o:opacity2="1" recolor="f" rotate="f" type="solid"/>
            <v:textbox inset="0pt, 0pt, 0pt, 0pt">
              <w:txbxContent>
                <w:p>
                  <w:pPr>
                    <w:spacing w:before="57" w:after="158" w:line="179" w:lineRule="exact"/>
                    <w:ind w:right="0" w:left="0" w:firstLine="0"/>
                    <w:jc w:val="center"/>
                    <w:textAlignment w:val="baseline"/>
                    <w:rPr>
                      <w:rFonts w:ascii="Calibri" w:hAnsi="Calibri" w:eastAsia="Calibri"/>
                      <w:color w:val="585858"/>
                      <w:spacing w:val="39"/>
                      <w:w w:val="100"/>
                      <w:sz w:val="18"/>
                      <w:vertAlign w:val="baseline"/>
                      <w:lang w:val="en-US"/>
                    </w:rPr>
                  </w:pPr>
                  <w:r>
                    <w:rPr>
                      <w:rFonts w:ascii="Calibri" w:hAnsi="Calibri" w:eastAsia="Calibri"/>
                      <w:color w:val="585858"/>
                      <w:spacing w:val="39"/>
                      <w:w w:val="100"/>
                      <w:sz w:val="18"/>
                      <w:vertAlign w:val="baseline"/>
                      <w:lang w:val="en-US"/>
                    </w:rPr>
                    <w:t xml:space="preserve">Chemung Livingston Ontario Schuyler Seneca Steuben Wayne Yates</w:t>
                  </w:r>
                </w:p>
              </w:txbxContent>
            </v:textbox>
          </v:shape>
        </w:pict>
      </w:r>
      <w:r>
        <w:pict>
          <v:shapetype id="_x0000_t111" coordsize="21600,21600" o:spt="202" path="m,l,21600r21600,l21600,xe">
            <v:stroke joinstyle="miter"/>
            <v:path gradientshapeok="t" o:connecttype="rect"/>
          </v:shapetype>
          <v:shape id="_x0000_s110" type="#_x0000_t111"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28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84.7pt" to="216.3pt,684.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12" coordsize="21600,21600" o:spt="202" path="m,l,21600r21600,l21600,xe">
            <v:stroke joinstyle="miter"/>
            <v:path gradientshapeok="t" o:connecttype="rect"/>
          </v:shapetype>
          <v:shape id="_x0000_s111" type="#_x0000_t112" filled="f" stroked="f" style="position:absolute;width:462.95pt;height:243.85pt;z-index:-1;margin-left:72.95pt;margin-top:218.4pt;mso-wrap-distance-left:72.95pt;mso-wrap-distance-right:75.6pt;mso-position-horizontal-relative:page;mso-position-vertical-relative:page">
            <w10:wrap type="square"/>
            <v:fill opacity="1" o:opacity2="1" recolor="f" rotate="f" type="solid"/>
            <v:textbox inset="0pt, 0pt, 0pt, 0pt">
              <w:txbxContent>
                <w:p>
                  <w:pPr>
                    <w:pBdr>
                      <w:top w:sz="5" w:space="0" w:color="D8D8D8" w:val="single"/>
                      <w:left w:sz="5" w:space="72" w:color="D8D8D8" w:val="single"/>
                      <w:bottom w:sz="5" w:space="0" w:color="D8D8D8" w:val="single"/>
                      <w:right w:sz="5" w:space="75" w:color="D8D8D8" w:val="single"/>
                    </w:pBdr>
                  </w:pPr>
                </w:p>
              </w:txbxContent>
            </v:textbox>
          </v:shape>
        </w:pict>
      </w:r>
      <w:r>
        <w:pict>
          <v:shapetype id="_x0000_t113" coordsize="21600,21600" o:spt="202" path="m,l,21600r21600,l21600,xe">
            <v:stroke joinstyle="miter"/>
            <v:path gradientshapeok="t" o:connecttype="rect"/>
          </v:shapetype>
          <v:shape id="_x0000_s112" type="#_x0000_t113"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114" coordsize="21600,21600" o:spt="202" path="m,l,21600r21600,l21600,xe">
            <v:stroke joinstyle="miter"/>
            <v:path gradientshapeok="t" o:connecttype="rect"/>
          </v:shapetype>
          <v:shape id="_x0000_s113" type="#_x0000_t114" filled="f" stroked="f" style="position:absolute;width:612pt;height:146.3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6" w:after="0" w:line="242"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Health Insurance Status</w:t>
                  </w:r>
                </w:p>
                <w:p>
                  <w:pPr>
                    <w:spacing w:before="136"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insurance plays an important role in ensuring people can obtain necessary medical services. Like individuals with limited financial resources, those without insurance are less likely to seek routine or preventive care, often lack a consistent healthcare provider, and may rely more heavily on emergency departments for issues that could be managed in primary care. Figure 12 illustrates the share of residents in each county who are uninsured. The notably higher uninsured rate in Yates County is likely influenced by the sizable Amish and Mennonite communities living there.</w:t>
                  </w:r>
                </w:p>
                <w:p>
                  <w:pPr>
                    <w:spacing w:before="434" w:after="163"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12: Health Insurance Status</w:t>
                  </w:r>
                </w:p>
              </w:txbxContent>
            </v:textbox>
          </v:shape>
        </w:pict>
      </w:r>
      <w:r>
        <w:pict>
          <v:shapetype id="_x0000_t115" coordsize="21600,21600" o:spt="202" path="m,l,21600r21600,l21600,xe">
            <v:stroke joinstyle="miter"/>
            <v:path gradientshapeok="t" o:connecttype="rect"/>
          </v:shapetype>
          <v:shape id="_x0000_s114" type="#_x0000_t115" filled="f" stroked="f" style="position:absolute;width:612pt;height:210.6pt;z-index:1;margin-left:0pt;margin-top:461.3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U.S. Census Bureau, 2020 Census</w:t>
                  </w:r>
                </w:p>
                <w:p>
                  <w:pPr>
                    <w:spacing w:before="326" w:after="2232"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In October of 2025, in New York, 6,812,160 residents were enrolled in Medicaid.</w:t>
                  </w:r>
                  <w:r>
                    <w:rPr>
                      <w:rFonts w:ascii="Calibri" w:hAnsi="Calibri" w:eastAsia="Calibri"/>
                      <w:color w:val="000000"/>
                      <w:spacing w:val="-2"/>
                      <w:w w:val="100"/>
                      <w:sz w:val="22"/>
                      <w:vertAlign w:val="superscript"/>
                      <w:lang w:val="en-US"/>
                    </w:rPr>
                    <w:t xml:space="preserve">17</w:t>
                  </w:r>
                  <w:r>
                    <w:rPr>
                      <w:rFonts w:ascii="Calibri" w:hAnsi="Calibri" w:eastAsia="Calibri"/>
                      <w:color w:val="000000"/>
                      <w:spacing w:val="-2"/>
                      <w:w w:val="100"/>
                      <w:sz w:val="22"/>
                      <w:vertAlign w:val="baseline"/>
                      <w:lang w:val="en-US"/>
                    </w:rPr>
                    <w:t xml:space="preserve"> Of these, 128,589 are residents of the eight county Finger Lakes Region. According to the NY State of Health, an estimated 1</w:t>
                    <w:softHyphen/>
                  </w:r>
                  <w:r>
                    <w:rPr>
                      <w:rFonts w:ascii="Calibri" w:hAnsi="Calibri" w:eastAsia="Calibri"/>
                      <w:color w:val="000000"/>
                      <w:spacing w:val="-2"/>
                      <w:w w:val="100"/>
                      <w:sz w:val="22"/>
                      <w:vertAlign w:val="baseline"/>
                      <w:lang w:val="en-US"/>
                    </w:rPr>
                    <w:t xml:space="preserve">1.5 million New Yorkers may lose Medicaid coverage in 2026 due to new federal requirements.</w:t>
                  </w:r>
                  <w:r>
                    <w:rPr>
                      <w:rFonts w:ascii="Calibri" w:hAnsi="Calibri" w:eastAsia="Calibri"/>
                      <w:color w:val="000000"/>
                      <w:spacing w:val="-2"/>
                      <w:w w:val="100"/>
                      <w:sz w:val="22"/>
                      <w:vertAlign w:val="superscript"/>
                      <w:lang w:val="en-US"/>
                    </w:rPr>
                    <w:t xml:space="preserve">18</w:t>
                  </w:r>
                  <w:r>
                    <w:rPr>
                      <w:rFonts w:ascii="Calibri" w:hAnsi="Calibri" w:eastAsia="Calibri"/>
                      <w:color w:val="000000"/>
                      <w:spacing w:val="-2"/>
                      <w:w w:val="100"/>
                      <w:sz w:val="22"/>
                      <w:vertAlign w:val="baseline"/>
                      <w:lang w:val="en-US"/>
                    </w:rPr>
                    <w:t xml:space="preserve"> Using this projection, between 18,774 and 28,290 Finger Lakes residents may lose coverage. Figure 13 highlights the number of residents with Medicaid coverage versus the overall population in each county.</w:t>
                  </w:r>
                </w:p>
              </w:txbxContent>
            </v:textbox>
          </v:shape>
        </w:pict>
      </w:r>
      <w:r>
        <w:pict>
          <v:shapetype id="_x0000_t116" coordsize="21600,21600" o:spt="202" path="m,l,21600r21600,l21600,xe">
            <v:stroke joinstyle="miter"/>
            <v:path gradientshapeok="t" o:connecttype="rect"/>
          </v:shapetype>
          <v:shape id="_x0000_s115" type="#_x0000_t116"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6" w:after="0"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17</w:t>
                  </w:r>
                  <w:r>
                    <w:rPr>
                      <w:rFonts w:ascii="Calibri" w:hAnsi="Calibri" w:eastAsia="Calibri"/>
                      <w:color w:val="000000"/>
                      <w:spacing w:val="0"/>
                      <w:w w:val="100"/>
                      <w:sz w:val="20"/>
                      <w:vertAlign w:val="baseline"/>
                      <w:lang w:val="en-US"/>
                    </w:rPr>
                    <w:t xml:space="preserve">Source: Medicaid Enrollment Databook, October 2025 at</w:t>
                  </w:r>
                </w:p>
                <w:p>
                  <w:pPr>
                    <w:spacing w:before="4" w:after="58" w:line="241" w:lineRule="exact"/>
                    <w:ind w:right="2304" w:left="1440" w:firstLine="0"/>
                    <w:jc w:val="left"/>
                    <w:textAlignment w:val="baseline"/>
                    <w:rPr>
                      <w:rFonts w:ascii="Calibri" w:hAnsi="Calibri" w:eastAsia="Calibri"/>
                      <w:color w:val="467885"/>
                      <w:spacing w:val="-1"/>
                      <w:w w:val="100"/>
                      <w:sz w:val="20"/>
                      <w:u w:val="single"/>
                      <w:vertAlign w:val="baseline"/>
                      <w:lang w:val="en-US"/>
                    </w:rPr>
                  </w:pPr>
                  <w:hyperlink r:id="dhId15">
                    <w:r>
                      <w:rPr>
                        <w:rFonts w:ascii="Calibri" w:hAnsi="Calibri" w:eastAsia="Calibri"/>
                        <w:color w:val="0000FF"/>
                        <w:spacing w:val="-1"/>
                        <w:w w:val="100"/>
                        <w:sz w:val="20"/>
                        <w:u w:val="single"/>
                        <w:vertAlign w:val="baseline"/>
                        <w:lang w:val="en-US"/>
                      </w:rPr>
                      <w:t xml:space="preserve">https://www.health.ny.gov/health_care/medicaid/enrollment/docs/by_resident_co/current_month.htm</w:t>
                    </w:r>
                  </w:hyperlink>
                  <w:r>
                    <w:rPr>
                      <w:rFonts w:ascii="Calibri" w:hAnsi="Calibri" w:eastAsia="Calibri"/>
                      <w:color w:val="000000"/>
                      <w:spacing w:val="-1"/>
                      <w:w w:val="100"/>
                      <w:sz w:val="20"/>
                      <w:vertAlign w:val="baseline"/>
                      <w:lang w:val="en-US"/>
                    </w:rPr>
                    <w:t xml:space="preserve">  </w:t>
                  </w:r>
                  <w:r>
                    <w:rPr>
                      <w:rFonts w:ascii="Calibri" w:hAnsi="Calibri" w:eastAsia="Calibri"/>
                      <w:color w:val="000000"/>
                      <w:spacing w:val="-1"/>
                      <w:w w:val="100"/>
                      <w:sz w:val="13"/>
                      <w:vertAlign w:val="superscript"/>
                      <w:lang w:val="en-US"/>
                    </w:rPr>
                    <w:t xml:space="preserve">18</w:t>
                  </w:r>
                  <w:r>
                    <w:rPr>
                      <w:rFonts w:ascii="Calibri" w:hAnsi="Calibri" w:eastAsia="Calibri"/>
                      <w:color w:val="000000"/>
                      <w:spacing w:val="-1"/>
                      <w:w w:val="100"/>
                      <w:sz w:val="20"/>
                      <w:vertAlign w:val="baseline"/>
                      <w:lang w:val="en-US"/>
                    </w:rPr>
                    <w:t xml:space="preserve"> Source: </w:t>
                  </w:r>
                  <w:hyperlink r:id="dhId16">
                    <w:r>
                      <w:rPr>
                        <w:rFonts w:ascii="Calibri" w:hAnsi="Calibri" w:eastAsia="Calibri"/>
                        <w:color w:val="0000FF"/>
                        <w:spacing w:val="-1"/>
                        <w:w w:val="100"/>
                        <w:sz w:val="20"/>
                        <w:u w:val="single"/>
                        <w:vertAlign w:val="baseline"/>
                        <w:lang w:val="en-US"/>
                      </w:rPr>
                      <w:t xml:space="preserve">https://info.nystateofhealth.ny.gov/stay-connected</w:t>
                    </w:r>
                  </w:hyperlink>
                  <w:r>
                    <w:rPr>
                      <w:rFonts w:ascii="Calibri" w:hAnsi="Calibri" w:eastAsia="Calibri"/>
                      <w:color w:val="000000"/>
                      <w:spacing w:val="-1"/>
                      <w:w w:val="100"/>
                      <w:sz w:val="20"/>
                      <w:vertAlign w:val="baseline"/>
                      <w:lang w:val="en-US"/>
                    </w:rPr>
                    <w:t xml:space="preserve">
</w:t>
                  </w:r>
                </w:p>
              </w:txbxContent>
            </v:textbox>
          </v:shape>
        </w:pict>
      </w:r>
      <w:r>
        <w:pict>
          <v:shapetype id="_x0000_t117" coordsize="21600,21600" o:spt="202" path="m,l,21600r21600,l21600,xe">
            <v:stroke joinstyle="miter"/>
            <v:path gradientshapeok="t" o:connecttype="rect"/>
          </v:shapetype>
          <v:shape id="_x0000_s116" type="#_x0000_t117" filled="f" stroked="f" style="position:absolute;width:459.55pt;height:31.75pt;z-index:-1;margin-left:74.65pt;margin-top:218.4pt;mso-wrap-distance-left:0pt;mso-wrap-distance-right:0pt;mso-position-horizontal-relative:page;mso-position-vertical-relative:page">
            <w10:wrap type="square" side="both"/>
            <v:fill opacity="1" o:opacity2="1" recolor="f" rotate="f" type="solid"/>
            <v:textbox inset="0pt, 0pt, 0pt, 0pt">
              <w:txbxContent>
                <w:p>
                  <w:pPr>
                    <w:spacing w:before="198" w:after="121" w:line="309"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Health Insurance Status</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18.85pt;height:10pt;z-index:-1;margin-left:74.65pt;margin-top:250.15pt;mso-wrap-distance-left:0pt;mso-wrap-distance-right:440.7pt;mso-position-horizontal-relative:page;mso-position-vertical-relative:page">
            <w10:wrap type="square" side="both"/>
            <v:fill opacity="1" o:opacity2="1" recolor="f" rotate="f" type="solid"/>
            <v:textbox inset="0pt, 0pt, 0pt, 0pt">
              <w:txbxContent>
                <w:p>
                  <w:pPr>
                    <w:spacing w:before="20"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25</w:t>
                  </w: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459.55pt;height:27.85pt;z-index:-1;margin-left:74.65pt;margin-top:260.15pt;mso-wrap-distance-left:0pt;mso-wrap-distance-right:0pt;mso-position-horizontal-relative:page;mso-position-vertical-relative:page">
            <w10:wrap type="square" side="both"/>
            <v:fill opacity="1" o:opacity2="1" recolor="f" rotate="f" type="solid"/>
            <v:textbox inset="0pt, 0pt, 0pt, 0pt">
              <w:txbxContent>
                <w:p>
                  <w:pPr>
                    <w:spacing w:before="387" w:after="0" w:line="170" w:lineRule="exact"/>
                    <w:ind w:right="0" w:left="828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19.6</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459.55pt;height:148.9pt;z-index:-1;margin-left:74.65pt;margin-top:28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51"/>
                    <w:gridCol w:w="365"/>
                    <w:gridCol w:w="341"/>
                    <w:gridCol w:w="729"/>
                    <w:gridCol w:w="336"/>
                    <w:gridCol w:w="735"/>
                    <w:gridCol w:w="340"/>
                    <w:gridCol w:w="725"/>
                    <w:gridCol w:w="341"/>
                    <w:gridCol w:w="730"/>
                    <w:gridCol w:w="336"/>
                    <w:gridCol w:w="728"/>
                    <w:gridCol w:w="342"/>
                    <w:gridCol w:w="724"/>
                    <w:gridCol w:w="342"/>
                    <w:gridCol w:w="728"/>
                    <w:gridCol w:w="712"/>
                  </w:tblGrid>
                  <w:tr>
                    <w:trPr>
                      <w:trHeight w:val="58" w:hRule="exact"/>
                    </w:trPr>
                    <w:tc>
                      <w:tcPr>
                        <w:tcW w:w="451" w:type="dxa"/>
                        <w:vMerge w:val="restart"/>
                        <w:tcBorders>
                          <w:top w:val="none"/>
                          <w:left w:val="none"/>
                          <w:bottom w:val="none"/>
                          <w:right w:val="none"/>
                        </w:tcBorders>
                        <w:textDirection w:val="lrTb"/>
                        <w:vAlign w:val="top"/>
                      </w:tcPr>
                      <w:p>
                        <w:pPr>
                          <w:spacing w:before="0" w:after="0" w:line="144"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p>
                        <w:pPr>
                          <w:spacing w:before="516"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w:t>
                        </w:r>
                      </w:p>
                      <w:p>
                        <w:pPr>
                          <w:spacing w:before="521" w:after="86"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tc>
                    <w:tc>
                      <w:tcPr>
                        <w:tcW w:w="365" w:type="dxa"/>
                        <w:tcBorders>
                          <w:top w:val="none"/>
                          <w:left w:val="none"/>
                          <w:bottom w:val="single" w:sz="5" w:color="D8D8D8"/>
                          <w:right w:val="none"/>
                        </w:tcBorders>
                        <w:textDirection w:val="lrTb"/>
                        <w:vAlign w:val="top"/>
                      </w:tcPr>
                      <w:p/>
                    </w:tc>
                    <w:tc>
                      <w:tcPr>
                        <w:tcW w:w="341" w:type="dxa"/>
                        <w:tcBorders>
                          <w:top w:val="none"/>
                          <w:left w:val="none"/>
                          <w:bottom w:val="single" w:sz="5" w:color="D8D8D8"/>
                          <w:right w:val="none"/>
                        </w:tcBorders>
                        <w:textDirection w:val="lrTb"/>
                        <w:vAlign w:val="top"/>
                      </w:tcPr>
                      <w:p/>
                    </w:tc>
                    <w:tc>
                      <w:tcPr>
                        <w:tcW w:w="729" w:type="dxa"/>
                        <w:tcBorders>
                          <w:top w:val="none"/>
                          <w:left w:val="none"/>
                          <w:bottom w:val="single" w:sz="5" w:color="D8D8D8"/>
                          <w:right w:val="none"/>
                        </w:tcBorders>
                        <w:textDirection w:val="lrTb"/>
                        <w:vAlign w:val="top"/>
                      </w:tcPr>
                      <w:p/>
                    </w:tc>
                    <w:tc>
                      <w:tcPr>
                        <w:tcW w:w="336" w:type="dxa"/>
                        <w:tcBorders>
                          <w:top w:val="none"/>
                          <w:left w:val="none"/>
                          <w:bottom w:val="single" w:sz="5" w:color="D8D8D8"/>
                          <w:right w:val="none"/>
                        </w:tcBorders>
                        <w:textDirection w:val="lrTb"/>
                        <w:vAlign w:val="top"/>
                      </w:tcPr>
                      <w:p/>
                    </w:tc>
                    <w:tc>
                      <w:tcPr>
                        <w:tcW w:w="735" w:type="dxa"/>
                        <w:tcBorders>
                          <w:top w:val="none"/>
                          <w:left w:val="none"/>
                          <w:bottom w:val="single" w:sz="5" w:color="D8D8D8"/>
                          <w:right w:val="none"/>
                        </w:tcBorders>
                        <w:textDirection w:val="lrTb"/>
                        <w:vAlign w:val="top"/>
                      </w:tcPr>
                      <w:p/>
                    </w:tc>
                    <w:tc>
                      <w:tcPr>
                        <w:tcW w:w="340" w:type="dxa"/>
                        <w:tcBorders>
                          <w:top w:val="none"/>
                          <w:left w:val="none"/>
                          <w:bottom w:val="single" w:sz="5" w:color="D8D8D8"/>
                          <w:right w:val="none"/>
                        </w:tcBorders>
                        <w:textDirection w:val="lrTb"/>
                        <w:vAlign w:val="top"/>
                      </w:tcPr>
                      <w:p/>
                    </w:tc>
                    <w:tc>
                      <w:tcPr>
                        <w:tcW w:w="725" w:type="dxa"/>
                        <w:tcBorders>
                          <w:top w:val="none"/>
                          <w:left w:val="none"/>
                          <w:bottom w:val="single" w:sz="5" w:color="D8D8D8"/>
                          <w:right w:val="none"/>
                        </w:tcBorders>
                        <w:textDirection w:val="lrTb"/>
                        <w:vAlign w:val="top"/>
                      </w:tcPr>
                      <w:p/>
                    </w:tc>
                    <w:tc>
                      <w:tcPr>
                        <w:tcW w:w="341" w:type="dxa"/>
                        <w:tcBorders>
                          <w:top w:val="none"/>
                          <w:left w:val="none"/>
                          <w:bottom w:val="single" w:sz="5" w:color="D8D8D8"/>
                          <w:right w:val="none"/>
                        </w:tcBorders>
                        <w:textDirection w:val="lrTb"/>
                        <w:vAlign w:val="top"/>
                      </w:tcPr>
                      <w:p/>
                    </w:tc>
                    <w:tc>
                      <w:tcPr>
                        <w:tcW w:w="730" w:type="dxa"/>
                        <w:tcBorders>
                          <w:top w:val="none"/>
                          <w:left w:val="none"/>
                          <w:bottom w:val="single" w:sz="5" w:color="D8D8D8"/>
                          <w:right w:val="none"/>
                        </w:tcBorders>
                        <w:textDirection w:val="lrTb"/>
                        <w:vAlign w:val="top"/>
                      </w:tcPr>
                      <w:p/>
                    </w:tc>
                    <w:tc>
                      <w:tcPr>
                        <w:tcW w:w="336" w:type="dxa"/>
                        <w:tcBorders>
                          <w:top w:val="none"/>
                          <w:left w:val="none"/>
                          <w:bottom w:val="single" w:sz="5" w:color="D8D8D8"/>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342" w:type="dxa"/>
                        <w:tcBorders>
                          <w:top w:val="none"/>
                          <w:left w:val="none"/>
                          <w:bottom w:val="single" w:sz="5" w:color="D8D8D8"/>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342" w:type="dxa"/>
                        <w:tcBorders>
                          <w:top w:val="none"/>
                          <w:left w:val="none"/>
                          <w:bottom w:val="single" w:sz="5" w:color="D8D8D8"/>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712" w:type="dxa"/>
                        <w:tcBorders>
                          <w:top w:val="none"/>
                          <w:left w:val="none"/>
                          <w:bottom w:val="single" w:sz="5" w:color="D8D8D8"/>
                          <w:right w:val="none"/>
                        </w:tcBorders>
                        <w:textDirection w:val="lrTb"/>
                        <w:vAlign w:val="top"/>
                      </w:tcPr>
                      <w:p/>
                    </w:tc>
                  </w:tr>
                  <w:tr>
                    <w:trPr>
                      <w:trHeight w:val="700" w:hRule="exact"/>
                    </w:trPr>
                    <w:tc>
                      <w:tcPr>
                        <w:tcW w:w="451" w:type="dxa"/>
                        <w:vMerge w:val="continue"/>
                        <w:tcBorders>
                          <w:top w:val="none"/>
                          <w:left w:val="none"/>
                          <w:bottom w:val="none"/>
                          <w:right w:val="none"/>
                        </w:tcBorders>
                        <w:textDirection w:val="lrTb"/>
                        <w:vAlign w:val="top"/>
                      </w:tcPr>
                      <w:p/>
                    </w:tc>
                    <w:tc>
                      <w:tcPr>
                        <w:tcW w:w="365" w:type="dxa"/>
                        <w:tcBorders>
                          <w:top w:val="single" w:sz="5" w:color="D8D8D8"/>
                          <w:left w:val="none"/>
                          <w:bottom w:val="single" w:sz="5" w:color="D8D8D8"/>
                          <w:right w:val="none"/>
                        </w:tcBorders>
                        <w:textDirection w:val="lrTb"/>
                        <w:vAlign w:val="top"/>
                      </w:tcPr>
                      <w:p/>
                    </w:tc>
                    <w:tc>
                      <w:tcPr>
                        <w:tcW w:w="341" w:type="dxa"/>
                        <w:tcBorders>
                          <w:top w:val="single" w:sz="5" w:color="D8D8D8"/>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336" w:type="dxa"/>
                        <w:tcBorders>
                          <w:top w:val="single" w:sz="5" w:color="D8D8D8"/>
                          <w:left w:val="none"/>
                          <w:bottom w:val="single" w:sz="5" w:color="D8D8D8"/>
                          <w:right w:val="none"/>
                        </w:tcBorders>
                        <w:textDirection w:val="lrTb"/>
                        <w:vAlign w:val="top"/>
                      </w:tcPr>
                      <w:p/>
                    </w:tc>
                    <w:tc>
                      <w:tcPr>
                        <w:tcW w:w="735" w:type="dxa"/>
                        <w:tcBorders>
                          <w:top w:val="single" w:sz="5" w:color="D8D8D8"/>
                          <w:left w:val="none"/>
                          <w:bottom w:val="single" w:sz="5" w:color="D8D8D8"/>
                          <w:right w:val="none"/>
                        </w:tcBorders>
                        <w:textDirection w:val="lrTb"/>
                        <w:vAlign w:val="top"/>
                      </w:tcPr>
                      <w:p/>
                    </w:tc>
                    <w:tc>
                      <w:tcPr>
                        <w:tcW w:w="340" w:type="dxa"/>
                        <w:tcBorders>
                          <w:top w:val="single" w:sz="5" w:color="D8D8D8"/>
                          <w:left w:val="none"/>
                          <w:bottom w:val="single" w:sz="5" w:color="D8D8D8"/>
                          <w:right w:val="none"/>
                        </w:tcBorders>
                        <w:textDirection w:val="lrTb"/>
                        <w:vAlign w:val="top"/>
                      </w:tcPr>
                      <w:p/>
                    </w:tc>
                    <w:tc>
                      <w:tcPr>
                        <w:tcW w:w="725" w:type="dxa"/>
                        <w:tcBorders>
                          <w:top w:val="single" w:sz="5" w:color="D8D8D8"/>
                          <w:left w:val="none"/>
                          <w:bottom w:val="single" w:sz="5" w:color="D8D8D8"/>
                          <w:right w:val="none"/>
                        </w:tcBorders>
                        <w:textDirection w:val="lrTb"/>
                        <w:vAlign w:val="top"/>
                      </w:tcPr>
                      <w:p/>
                    </w:tc>
                    <w:tc>
                      <w:tcPr>
                        <w:tcW w:w="341" w:type="dxa"/>
                        <w:tcBorders>
                          <w:top w:val="single" w:sz="5" w:color="D8D8D8"/>
                          <w:left w:val="none"/>
                          <w:bottom w:val="single" w:sz="5" w:color="D8D8D8"/>
                          <w:right w:val="none"/>
                        </w:tcBorders>
                        <w:textDirection w:val="lrTb"/>
                        <w:vAlign w:val="top"/>
                      </w:tcPr>
                      <w:p/>
                    </w:tc>
                    <w:tc>
                      <w:tcPr>
                        <w:tcW w:w="730" w:type="dxa"/>
                        <w:tcBorders>
                          <w:top w:val="single" w:sz="5" w:color="D8D8D8"/>
                          <w:left w:val="none"/>
                          <w:bottom w:val="single" w:sz="5" w:color="D8D8D8"/>
                          <w:right w:val="none"/>
                        </w:tcBorders>
                        <w:textDirection w:val="lrTb"/>
                        <w:vAlign w:val="top"/>
                      </w:tcPr>
                      <w:p/>
                    </w:tc>
                    <w:tc>
                      <w:tcPr>
                        <w:tcW w:w="336" w:type="dxa"/>
                        <w:tcBorders>
                          <w:top w:val="single" w:sz="5" w:color="D8D8D8"/>
                          <w:left w:val="none"/>
                          <w:bottom w:val="single" w:sz="5" w:color="D8D8D8"/>
                          <w:right w:val="none"/>
                        </w:tcBorders>
                        <w:textDirection w:val="lrTb"/>
                        <w:vAlign w:val="top"/>
                      </w:tcPr>
                      <w:p/>
                    </w:tc>
                    <w:tc>
                      <w:tcPr>
                        <w:tcW w:w="728" w:type="dxa"/>
                        <w:tcBorders>
                          <w:top w:val="single" w:sz="5" w:color="D8D8D8"/>
                          <w:left w:val="none"/>
                          <w:bottom w:val="single" w:sz="5" w:color="D8D8D8"/>
                          <w:right w:val="none"/>
                        </w:tcBorders>
                        <w:textDirection w:val="lrTb"/>
                        <w:vAlign w:val="top"/>
                      </w:tcPr>
                      <w:p/>
                    </w:tc>
                    <w:tc>
                      <w:tcPr>
                        <w:tcW w:w="342" w:type="dxa"/>
                        <w:tcBorders>
                          <w:top w:val="single" w:sz="5" w:color="D8D8D8"/>
                          <w:left w:val="none"/>
                          <w:bottom w:val="single" w:sz="5" w:color="D8D8D8"/>
                          <w:right w:val="none"/>
                        </w:tcBorders>
                        <w:textDirection w:val="lrTb"/>
                        <w:vAlign w:val="top"/>
                      </w:tcPr>
                      <w:p/>
                    </w:tc>
                    <w:tc>
                      <w:tcPr>
                        <w:tcW w:w="724" w:type="dxa"/>
                        <w:tcBorders>
                          <w:top w:val="single" w:sz="5" w:color="D8D8D8"/>
                          <w:left w:val="none"/>
                          <w:bottom w:val="single" w:sz="5" w:color="D8D8D8"/>
                          <w:right w:val="none"/>
                        </w:tcBorders>
                        <w:textDirection w:val="lrTb"/>
                        <w:vAlign w:val="top"/>
                      </w:tcPr>
                      <w:p/>
                    </w:tc>
                    <w:tc>
                      <w:tcPr>
                        <w:tcW w:w="342" w:type="dxa"/>
                        <w:tcBorders>
                          <w:top w:val="single" w:sz="5" w:color="D8D8D8"/>
                          <w:left w:val="none"/>
                          <w:bottom w:val="single" w:sz="5" w:color="D8D8D8"/>
                          <w:right w:val="none"/>
                        </w:tcBorders>
                        <w:textDirection w:val="lrTb"/>
                        <w:vAlign w:val="top"/>
                      </w:tcPr>
                      <w:p/>
                    </w:tc>
                    <w:tc>
                      <w:tcPr>
                        <w:tcW w:w="728" w:type="dxa"/>
                        <w:tcBorders>
                          <w:top w:val="single" w:sz="5" w:color="D8D8D8"/>
                          <w:left w:val="none"/>
                          <w:bottom w:val="single" w:sz="5" w:color="D8D8D8"/>
                          <w:right w:val="none"/>
                        </w:tcBorders>
                        <w:textDirection w:val="lrTb"/>
                        <w:vAlign w:val="top"/>
                      </w:tcPr>
                      <w:p/>
                    </w:tc>
                    <w:tc>
                      <w:tcPr>
                        <w:tcW w:w="712" w:type="dxa"/>
                        <w:vMerge w:val="restart"/>
                        <w:tcBorders>
                          <w:top w:val="single" w:sz="5" w:color="D8D8D8"/>
                          <w:left w:val="none"/>
                          <w:bottom w:val="none"/>
                          <w:right w:val="none"/>
                        </w:tcBorders>
                        <w:textDirection w:val="lrTb"/>
                        <w:vAlign w:val="top"/>
                      </w:tcPr>
                      <w:p>
                        <w:pPr>
                          <w:spacing w:before="0" w:after="0" w:line="240" w:lineRule="auto"/>
                          <w:ind w:right="0" w:left="1"/>
                          <w:jc w:val="center"/>
                          <w:textAlignment w:val="baseline"/>
                        </w:pPr>
                        <w:r>
                          <w:drawing>
                            <wp:inline>
                              <wp:extent cx="451485" cy="1740535"/>
                              <wp:docPr name="Picture" id="30"/>
                              <a:graphic>
                                <a:graphicData uri="http://schemas.openxmlformats.org/drawingml/2006/picture">
                                  <pic:pic>
                                    <pic:nvPicPr>
                                      <pic:cNvPr id="30" name="Picture"/>
                                      <pic:cNvPicPr preferRelativeResize="false"/>
                                    </pic:nvPicPr>
                                    <pic:blipFill>
                                      <a:blip r:embed="prId30"/>
                                      <a:stretch>
                                        <a:fillRect/>
                                      </a:stretch>
                                    </pic:blipFill>
                                    <pic:spPr>
                                      <a:xfrm>
                                        <a:off x="0" y="0"/>
                                        <a:ext cx="451485" cy="1740535"/>
                                      </a:xfrm>
                                      <a:prstGeom prst="rect"/>
                                    </pic:spPr>
                                  </pic:pic>
                                </a:graphicData>
                              </a:graphic>
                            </wp:inline>
                          </w:drawing>
                        </w:r>
                      </w:p>
                    </w:tc>
                  </w:tr>
                  <w:tr>
                    <w:trPr>
                      <w:trHeight w:val="879" w:hRule="exact"/>
                    </w:trPr>
                    <w:tc>
                      <w:tcPr>
                        <w:tcW w:w="451" w:type="dxa"/>
                        <w:vMerge w:val="continue"/>
                        <w:tcBorders>
                          <w:top w:val="none"/>
                          <w:left w:val="none"/>
                          <w:bottom w:val="none"/>
                          <w:right w:val="none"/>
                        </w:tcBorders>
                        <w:textDirection w:val="lrTb"/>
                        <w:vAlign w:val="top"/>
                      </w:tcPr>
                      <w:p/>
                    </w:tc>
                    <w:tc>
                      <w:tcPr>
                        <w:tcW w:w="365" w:type="dxa"/>
                        <w:tcBorders>
                          <w:top w:val="single" w:sz="5" w:color="D8D8D8"/>
                          <w:left w:val="none"/>
                          <w:bottom w:val="none"/>
                          <w:right w:val="none"/>
                        </w:tcBorders>
                        <w:textDirection w:val="lrTb"/>
                        <w:vAlign w:val="top"/>
                      </w:tcPr>
                      <w:p/>
                    </w:tc>
                    <w:tc>
                      <w:tcPr>
                        <w:tcW w:w="341" w:type="dxa"/>
                        <w:tcBorders>
                          <w:top w:val="single" w:sz="5" w:color="D8D8D8"/>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336" w:type="dxa"/>
                        <w:tcBorders>
                          <w:top w:val="single" w:sz="5" w:color="D8D8D8"/>
                          <w:left w:val="none"/>
                          <w:bottom w:val="none"/>
                          <w:right w:val="none"/>
                        </w:tcBorders>
                        <w:textDirection w:val="lrTb"/>
                        <w:vAlign w:val="top"/>
                      </w:tcPr>
                      <w:p/>
                    </w:tc>
                    <w:tc>
                      <w:tcPr>
                        <w:tcW w:w="735" w:type="dxa"/>
                        <w:tcBorders>
                          <w:top w:val="single" w:sz="5" w:color="D8D8D8"/>
                          <w:left w:val="none"/>
                          <w:bottom w:val="none"/>
                          <w:right w:val="none"/>
                        </w:tcBorders>
                        <w:textDirection w:val="lrTb"/>
                        <w:vAlign w:val="top"/>
                      </w:tcPr>
                      <w:p/>
                    </w:tc>
                    <w:tc>
                      <w:tcPr>
                        <w:tcW w:w="340" w:type="dxa"/>
                        <w:tcBorders>
                          <w:top w:val="single" w:sz="5" w:color="D8D8D8"/>
                          <w:left w:val="none"/>
                          <w:bottom w:val="none"/>
                          <w:right w:val="none"/>
                        </w:tcBorders>
                        <w:textDirection w:val="lrTb"/>
                        <w:vAlign w:val="top"/>
                      </w:tcPr>
                      <w:p/>
                    </w:tc>
                    <w:tc>
                      <w:tcPr>
                        <w:tcW w:w="725" w:type="dxa"/>
                        <w:tcBorders>
                          <w:top w:val="single" w:sz="5" w:color="D8D8D8"/>
                          <w:left w:val="none"/>
                          <w:bottom w:val="none"/>
                          <w:right w:val="none"/>
                        </w:tcBorders>
                        <w:textDirection w:val="lrTb"/>
                        <w:vAlign w:val="top"/>
                      </w:tcPr>
                      <w:p/>
                    </w:tc>
                    <w:tc>
                      <w:tcPr>
                        <w:tcW w:w="341" w:type="dxa"/>
                        <w:tcBorders>
                          <w:top w:val="single" w:sz="5" w:color="D8D8D8"/>
                          <w:left w:val="none"/>
                          <w:bottom w:val="none"/>
                          <w:right w:val="none"/>
                        </w:tcBorders>
                        <w:textDirection w:val="lrTb"/>
                        <w:vAlign w:val="top"/>
                      </w:tcPr>
                      <w:p/>
                    </w:tc>
                    <w:tc>
                      <w:tcPr>
                        <w:tcW w:w="730" w:type="dxa"/>
                        <w:tcBorders>
                          <w:top w:val="single" w:sz="5" w:color="D8D8D8"/>
                          <w:left w:val="none"/>
                          <w:bottom w:val="none"/>
                          <w:right w:val="none"/>
                        </w:tcBorders>
                        <w:textDirection w:val="lrTb"/>
                        <w:vAlign w:val="top"/>
                      </w:tcPr>
                      <w:p/>
                    </w:tc>
                    <w:tc>
                      <w:tcPr>
                        <w:tcW w:w="336" w:type="dxa"/>
                        <w:tcBorders>
                          <w:top w:val="single" w:sz="5" w:color="D8D8D8"/>
                          <w:left w:val="none"/>
                          <w:bottom w:val="none"/>
                          <w:right w:val="none"/>
                        </w:tcBorders>
                        <w:textDirection w:val="lrTb"/>
                        <w:vAlign w:val="bottom"/>
                      </w:tcPr>
                      <w:p>
                        <w:pPr>
                          <w:spacing w:before="593" w:after="77" w:line="199" w:lineRule="exact"/>
                          <w:ind w:right="0" w:left="0" w:firstLine="0"/>
                          <w:jc w:val="center"/>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8.7</w:t>
                        </w:r>
                        <w:r>
                          <w:rPr>
                            <w:rFonts w:ascii="Calibri" w:hAnsi="Calibri" w:eastAsia="Calibri"/>
                            <w:color w:val="404040"/>
                            <w:spacing w:val="0"/>
                            <w:w w:val="100"/>
                            <w:sz w:val="18"/>
                            <w:vertAlign w:val="baseline"/>
                            <w:lang w:val="en-US"/>
                          </w:rPr>
                          <w:t xml:space="preserve">
</w:t>
                        </w:r>
                      </w:p>
                    </w:tc>
                    <w:tc>
                      <w:tcPr>
                        <w:tcW w:w="728" w:type="dxa"/>
                        <w:tcBorders>
                          <w:top w:val="single" w:sz="5" w:color="D8D8D8"/>
                          <w:left w:val="none"/>
                          <w:bottom w:val="none"/>
                          <w:right w:val="none"/>
                        </w:tcBorders>
                        <w:textDirection w:val="lrTb"/>
                        <w:vAlign w:val="top"/>
                      </w:tcPr>
                      <w:p/>
                    </w:tc>
                    <w:tc>
                      <w:tcPr>
                        <w:tcW w:w="342" w:type="dxa"/>
                        <w:tcBorders>
                          <w:top w:val="single" w:sz="5" w:color="D8D8D8"/>
                          <w:left w:val="none"/>
                          <w:bottom w:val="none"/>
                          <w:right w:val="none"/>
                        </w:tcBorders>
                        <w:textDirection w:val="lrTb"/>
                        <w:vAlign w:val="top"/>
                      </w:tcPr>
                      <w:p/>
                    </w:tc>
                    <w:tc>
                      <w:tcPr>
                        <w:tcW w:w="724" w:type="dxa"/>
                        <w:tcBorders>
                          <w:top w:val="single" w:sz="5" w:color="D8D8D8"/>
                          <w:left w:val="none"/>
                          <w:bottom w:val="none"/>
                          <w:right w:val="none"/>
                        </w:tcBorders>
                        <w:textDirection w:val="lrTb"/>
                        <w:vAlign w:val="top"/>
                      </w:tcPr>
                      <w:p/>
                    </w:tc>
                    <w:tc>
                      <w:tcPr>
                        <w:tcW w:w="342" w:type="dxa"/>
                        <w:tcBorders>
                          <w:top w:val="single" w:sz="5" w:color="D8D8D8"/>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170" w:hRule="exact"/>
                    </w:trPr>
                    <w:tc>
                      <w:tcPr>
                        <w:tcW w:w="451" w:type="dxa"/>
                        <w:tcBorders>
                          <w:top w:val="none"/>
                          <w:left w:val="none"/>
                          <w:bottom w:val="none"/>
                          <w:right w:val="none"/>
                        </w:tcBorders>
                        <w:textDirection w:val="lrTb"/>
                        <w:vAlign w:val="top"/>
                      </w:tcPr>
                      <w:p/>
                    </w:tc>
                    <w:tc>
                      <w:tcPr>
                        <w:tcW w:w="36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35" w:type="dxa"/>
                        <w:tcBorders>
                          <w:top w:val="none"/>
                          <w:left w:val="none"/>
                          <w:bottom w:val="none"/>
                          <w:right w:val="none"/>
                        </w:tcBorders>
                        <w:textDirection w:val="lrTb"/>
                        <w:vAlign w:val="top"/>
                      </w:tcPr>
                      <w:p/>
                    </w:tc>
                    <w:tc>
                      <w:tcPr>
                        <w:tcW w:w="340" w:type="dxa"/>
                        <w:tcBorders>
                          <w:top w:val="none"/>
                          <w:left w:val="none"/>
                          <w:bottom w:val="none"/>
                          <w:right w:val="none"/>
                        </w:tcBorders>
                        <w:textDirection w:val="lrTb"/>
                        <w:vAlign w:val="top"/>
                      </w:tcPr>
                      <w:p/>
                    </w:tc>
                    <w:tc>
                      <w:tcPr>
                        <w:tcW w:w="72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8"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342" w:type="dxa"/>
                        <w:vMerge w:val="restart"/>
                        <w:tcBorders>
                          <w:top w:val="none"/>
                          <w:left w:val="none"/>
                          <w:bottom w:val="none"/>
                          <w:right w:val="none"/>
                        </w:tcBorders>
                        <w:textDirection w:val="lrTb"/>
                        <w:vAlign w:val="center"/>
                      </w:tcPr>
                      <w:p>
                        <w:pPr>
                          <w:spacing w:before="84" w:after="100" w:line="180"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6.1</w:t>
                        </w:r>
                      </w:p>
                    </w:tc>
                    <w:tc>
                      <w:tcPr>
                        <w:tcW w:w="728" w:type="dxa"/>
                        <w:tcBorders>
                          <w:top w:val="none"/>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195" w:hRule="exact"/>
                    </w:trPr>
                    <w:tc>
                      <w:tcPr>
                        <w:tcW w:w="451" w:type="dxa"/>
                        <w:tcBorders>
                          <w:top w:val="none"/>
                          <w:left w:val="none"/>
                          <w:bottom w:val="none"/>
                          <w:right w:val="none"/>
                        </w:tcBorders>
                        <w:textDirection w:val="lrTb"/>
                        <w:vAlign w:val="top"/>
                      </w:tcPr>
                      <w:p/>
                    </w:tc>
                    <w:tc>
                      <w:tcPr>
                        <w:tcW w:w="36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35" w:type="dxa"/>
                        <w:tcBorders>
                          <w:top w:val="none"/>
                          <w:left w:val="none"/>
                          <w:bottom w:val="none"/>
                          <w:right w:val="none"/>
                        </w:tcBorders>
                        <w:textDirection w:val="lrTb"/>
                        <w:vAlign w:val="top"/>
                      </w:tcPr>
                      <w:p/>
                    </w:tc>
                    <w:tc>
                      <w:tcPr>
                        <w:tcW w:w="340" w:type="dxa"/>
                        <w:tcBorders>
                          <w:top w:val="none"/>
                          <w:left w:val="none"/>
                          <w:bottom w:val="none"/>
                          <w:right w:val="none"/>
                        </w:tcBorders>
                        <w:textDirection w:val="lrTb"/>
                        <w:vAlign w:val="top"/>
                      </w:tcPr>
                      <w:p/>
                    </w:tc>
                    <w:tc>
                      <w:tcPr>
                        <w:tcW w:w="72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342" w:type="dxa"/>
                        <w:vMerge w:val="restart"/>
                        <w:tcBorders>
                          <w:top w:val="none"/>
                          <w:left w:val="none"/>
                          <w:bottom w:val="none"/>
                          <w:right w:val="none"/>
                        </w:tcBorders>
                        <w:textDirection w:val="lrTb"/>
                        <w:vAlign w:val="center"/>
                      </w:tcPr>
                      <w:p>
                        <w:pPr>
                          <w:spacing w:before="68" w:after="90" w:line="180"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5</w:t>
                        </w:r>
                      </w:p>
                    </w:tc>
                    <w:tc>
                      <w:tcPr>
                        <w:tcW w:w="724" w:type="dxa"/>
                        <w:tcBorders>
                          <w:top w:val="none"/>
                          <w:left w:val="none"/>
                          <w:bottom w:val="none"/>
                          <w:right w:val="none"/>
                        </w:tcBorders>
                        <w:textDirection w:val="lrTb"/>
                        <w:vAlign w:val="top"/>
                      </w:tcPr>
                      <w:p/>
                    </w:tc>
                    <w:tc>
                      <w:tcPr>
                        <w:tcW w:w="342" w:type="dxa"/>
                        <w:vMerge w:val="continue"/>
                        <w:tcBorders>
                          <w:top w:val="none"/>
                          <w:left w:val="none"/>
                          <w:bottom w:val="none"/>
                          <w:right w:val="none"/>
                        </w:tcBorders>
                        <w:textDirection w:val="lrTb"/>
                        <w:vAlign w:val="center"/>
                      </w:tcPr>
                      <w:p/>
                    </w:tc>
                    <w:tc>
                      <w:tcPr>
                        <w:tcW w:w="728" w:type="dxa"/>
                        <w:tcBorders>
                          <w:top w:val="none"/>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153" w:hRule="exact"/>
                    </w:trPr>
                    <w:tc>
                      <w:tcPr>
                        <w:tcW w:w="451" w:type="dxa"/>
                        <w:vMerge w:val="restart"/>
                        <w:tcBorders>
                          <w:top w:val="none"/>
                          <w:left w:val="none"/>
                          <w:bottom w:val="none"/>
                          <w:right w:val="none"/>
                        </w:tcBorders>
                        <w:textDirection w:val="lrTb"/>
                        <w:vAlign w:val="center"/>
                      </w:tcPr>
                      <w:p>
                        <w:pPr>
                          <w:spacing w:before="60" w:after="33"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w:t>
                        </w:r>
                      </w:p>
                    </w:tc>
                    <w:tc>
                      <w:tcPr>
                        <w:tcW w:w="36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2477" w:type="dxa"/>
                        <w:gridSpan w:val="5"/>
                        <w:vMerge w:val="restart"/>
                        <w:tcBorders>
                          <w:top w:val="none"/>
                          <w:left w:val="none"/>
                          <w:bottom w:val="none"/>
                          <w:right w:val="none"/>
                        </w:tcBorders>
                        <w:textDirection w:val="lrTb"/>
                        <w:vAlign w:val="top"/>
                      </w:tcPr>
                      <w:p>
                        <w:pPr>
                          <w:tabs>
                            <w:tab w:val="right" w:leader="none" w:pos="2448"/>
                          </w:tabs>
                          <w:spacing w:before="0" w:after="0" w:line="134" w:lineRule="exact"/>
                          <w:ind w:right="36" w:left="0" w:firstLine="0"/>
                          <w:jc w:val="right"/>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3.9	</w:t>
                        </w:r>
                        <w:r>
                          <w:rPr>
                            <w:rFonts w:ascii="Calibri" w:hAnsi="Calibri" w:eastAsia="Calibri"/>
                            <w:color w:val="404040"/>
                            <w:spacing w:val="0"/>
                            <w:w w:val="100"/>
                            <w:sz w:val="18"/>
                            <w:u w:val="single"/>
                            <w:vertAlign w:val="baseline"/>
                            <w:lang w:val="en-US"/>
                          </w:rPr>
                          <w:t xml:space="preserve">4.1</w:t>
                        </w:r>
                      </w:p>
                      <w:p>
                        <w:pPr>
                          <w:spacing w:before="0" w:after="0" w:line="130" w:lineRule="exact"/>
                          <w:ind w:right="36" w:left="0" w:firstLine="0"/>
                          <w:jc w:val="right"/>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3.5 </w:t>
                        </w:r>
                        <w:r>
                          <w:rPr>
                            <w:rFonts w:ascii="Calibri" w:hAnsi="Calibri" w:eastAsia="Calibri"/>
                            <w:color w:val="404040"/>
                            <w:spacing w:val="0"/>
                            <w:w w:val="100"/>
                            <w:sz w:val="18"/>
                            <w:vertAlign w:val="baseline"/>
                            <w:lang w:val="en-US"/>
                          </w:rPr>
                          <w:t xml:space="preserve">
</w:t>
                        </w: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342" w:type="dxa"/>
                        <w:vMerge w:val="continue"/>
                        <w:tcBorders>
                          <w:top w:val="none"/>
                          <w:left w:val="none"/>
                          <w:bottom w:val="single" w:sz="5" w:color="D8D8D8"/>
                          <w:right w:val="none"/>
                        </w:tcBorders>
                        <w:textDirection w:val="lrTb"/>
                        <w:vAlign w:val="center"/>
                      </w:tcPr>
                      <w:p/>
                    </w:tc>
                    <w:tc>
                      <w:tcPr>
                        <w:tcW w:w="724" w:type="dxa"/>
                        <w:tcBorders>
                          <w:top w:val="none"/>
                          <w:left w:val="none"/>
                          <w:bottom w:val="single" w:sz="5" w:color="D8D8D8"/>
                          <w:right w:val="none"/>
                        </w:tcBorders>
                        <w:textDirection w:val="lrTb"/>
                        <w:vAlign w:val="top"/>
                      </w:tcPr>
                      <w:p/>
                    </w:tc>
                    <w:tc>
                      <w:tcPr>
                        <w:tcW w:w="342"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8" w:type="dxa"/>
                        <w:tcBorders>
                          <w:top w:val="none"/>
                          <w:left w:val="none"/>
                          <w:bottom w:val="single" w:sz="5" w:color="D8D8D8"/>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125" w:hRule="exact"/>
                    </w:trPr>
                    <w:tc>
                      <w:tcPr>
                        <w:tcW w:w="451" w:type="dxa"/>
                        <w:vMerge w:val="continue"/>
                        <w:tcBorders>
                          <w:top w:val="none"/>
                          <w:left w:val="none"/>
                          <w:bottom w:val="none"/>
                          <w:right w:val="none"/>
                        </w:tcBorders>
                        <w:textDirection w:val="lrTb"/>
                        <w:vAlign w:val="center"/>
                      </w:tcPr>
                      <w:p/>
                    </w:tc>
                    <w:tc>
                      <w:tcPr>
                        <w:tcW w:w="365" w:type="dxa"/>
                        <w:tcBorders>
                          <w:top w:val="none"/>
                          <w:left w:val="none"/>
                          <w:bottom w:val="none"/>
                          <w:right w:val="none"/>
                        </w:tcBorders>
                        <w:textDirection w:val="lrTb"/>
                        <w:vAlign w:val="top"/>
                      </w:tcPr>
                      <w:p/>
                    </w:tc>
                    <w:tc>
                      <w:tcPr>
                        <w:tcW w:w="341" w:type="dxa"/>
                        <w:vMerge w:val="restart"/>
                        <w:tcBorders>
                          <w:top w:val="none"/>
                          <w:left w:val="none"/>
                          <w:bottom w:val="none"/>
                          <w:right w:val="none"/>
                        </w:tcBorders>
                        <w:textDirection w:val="lrTb"/>
                        <w:vAlign w:val="center"/>
                      </w:tcPr>
                      <w:p>
                        <w:pPr>
                          <w:spacing w:before="80" w:after="90" w:line="180"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2.4</w:t>
                        </w:r>
                      </w:p>
                    </w:tc>
                    <w:tc>
                      <w:tcPr>
                        <w:tcW w:w="729" w:type="dxa"/>
                        <w:tcBorders>
                          <w:top w:val="none"/>
                          <w:left w:val="none"/>
                          <w:bottom w:val="none"/>
                          <w:right w:val="none"/>
                        </w:tcBorders>
                        <w:textDirection w:val="lrTb"/>
                        <w:vAlign w:val="top"/>
                      </w:tcPr>
                      <w:p/>
                    </w:tc>
                    <w:tc>
                      <w:tcPr>
                        <w:tcW w:w="2477" w:type="dxa"/>
                        <w:gridSpan w:val="5"/>
                        <w:vMerge w:val="continue"/>
                        <w:tcBorders>
                          <w:top w:val="none"/>
                          <w:left w:val="none"/>
                          <w:bottom w:val="none"/>
                          <w:right w:val="none"/>
                        </w:tcBorders>
                        <w:textDirection w:val="lrTb"/>
                        <w:vAlign w:val="top"/>
                      </w:tcP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342" w:type="dxa"/>
                        <w:tcBorders>
                          <w:top w:val="single" w:sz="5" w:color="D8D8D8"/>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single" w:sz="5" w:color="D8D8D8"/>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29" w:hRule="exact"/>
                    </w:trPr>
                    <w:tc>
                      <w:tcPr>
                        <w:tcW w:w="451" w:type="dxa"/>
                        <w:tcBorders>
                          <w:top w:val="none"/>
                          <w:left w:val="none"/>
                          <w:bottom w:val="none"/>
                          <w:right w:val="none"/>
                        </w:tcBorders>
                        <w:textDirection w:val="lrTb"/>
                        <w:vAlign w:val="top"/>
                      </w:tcPr>
                      <w:p/>
                    </w:tc>
                    <w:tc>
                      <w:tcPr>
                        <w:tcW w:w="365" w:type="dxa"/>
                        <w:tcBorders>
                          <w:top w:val="none"/>
                          <w:left w:val="none"/>
                          <w:bottom w:val="none"/>
                          <w:right w:val="none"/>
                        </w:tcBorders>
                        <w:textDirection w:val="lrTb"/>
                        <w:vAlign w:val="top"/>
                      </w:tcPr>
                      <w:p/>
                    </w:tc>
                    <w:tc>
                      <w:tcPr>
                        <w:tcW w:w="341" w:type="dxa"/>
                        <w:vMerge w:val="continue"/>
                        <w:tcBorders>
                          <w:top w:val="none"/>
                          <w:left w:val="none"/>
                          <w:bottom w:val="none"/>
                          <w:right w:val="none"/>
                        </w:tcBorders>
                        <w:textDirection w:val="lrTb"/>
                        <w:vAlign w:val="center"/>
                      </w:tcPr>
                      <w:p/>
                    </w:tc>
                    <w:tc>
                      <w:tcPr>
                        <w:tcW w:w="729"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35" w:type="dxa"/>
                        <w:tcBorders>
                          <w:top w:val="none"/>
                          <w:left w:val="none"/>
                          <w:bottom w:val="none"/>
                          <w:right w:val="none"/>
                        </w:tcBorders>
                        <w:textDirection w:val="lrTb"/>
                        <w:vAlign w:val="top"/>
                      </w:tcPr>
                      <w:p/>
                    </w:tc>
                    <w:tc>
                      <w:tcPr>
                        <w:tcW w:w="340" w:type="dxa"/>
                        <w:tcBorders>
                          <w:top w:val="none"/>
                          <w:left w:val="none"/>
                          <w:bottom w:val="none"/>
                          <w:right w:val="none"/>
                        </w:tcBorders>
                        <w:textDirection w:val="lrTb"/>
                        <w:vAlign w:val="top"/>
                      </w:tcPr>
                      <w:p/>
                    </w:tc>
                    <w:tc>
                      <w:tcPr>
                        <w:tcW w:w="725" w:type="dxa"/>
                        <w:tcBorders>
                          <w:top w:val="none"/>
                          <w:left w:val="none"/>
                          <w:bottom w:val="none"/>
                          <w:right w:val="none"/>
                        </w:tcBorders>
                        <w:textDirection w:val="lrTb"/>
                        <w:vAlign w:val="top"/>
                      </w:tcPr>
                      <w:p/>
                    </w:tc>
                    <w:tc>
                      <w:tcPr>
                        <w:tcW w:w="341"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53" w:hRule="exact"/>
                    </w:trPr>
                    <w:tc>
                      <w:tcPr>
                        <w:tcW w:w="451" w:type="dxa"/>
                        <w:tcBorders>
                          <w:top w:val="none"/>
                          <w:left w:val="none"/>
                          <w:bottom w:val="none"/>
                          <w:right w:val="none"/>
                        </w:tcBorders>
                        <w:textDirection w:val="lrTb"/>
                        <w:vAlign w:val="top"/>
                      </w:tcPr>
                      <w:p/>
                    </w:tc>
                    <w:tc>
                      <w:tcPr>
                        <w:tcW w:w="365" w:type="dxa"/>
                        <w:tcBorders>
                          <w:top w:val="none"/>
                          <w:left w:val="none"/>
                          <w:bottom w:val="none"/>
                          <w:right w:val="none"/>
                        </w:tcBorders>
                        <w:textDirection w:val="lrTb"/>
                        <w:vAlign w:val="top"/>
                      </w:tcPr>
                      <w:p/>
                    </w:tc>
                    <w:tc>
                      <w:tcPr>
                        <w:tcW w:w="341" w:type="dxa"/>
                        <w:vMerge w:val="continue"/>
                        <w:tcBorders>
                          <w:top w:val="none"/>
                          <w:left w:val="none"/>
                          <w:bottom w:val="none"/>
                          <w:right w:val="none"/>
                        </w:tcBorders>
                        <w:textDirection w:val="lrTb"/>
                        <w:vAlign w:val="center"/>
                      </w:tcPr>
                      <w:p/>
                    </w:tc>
                    <w:tc>
                      <w:tcPr>
                        <w:tcW w:w="729" w:type="dxa"/>
                        <w:tcBorders>
                          <w:top w:val="none"/>
                          <w:left w:val="none"/>
                          <w:bottom w:val="none"/>
                          <w:right w:val="none"/>
                        </w:tcBorders>
                        <w:textDirection w:val="lrTb"/>
                        <w:vAlign w:val="top"/>
                      </w:tcPr>
                      <w:p/>
                    </w:tc>
                    <w:tc>
                      <w:tcPr>
                        <w:tcW w:w="336"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35" w:type="dxa"/>
                        <w:tcBorders>
                          <w:top w:val="none"/>
                          <w:left w:val="none"/>
                          <w:bottom w:val="none"/>
                          <w:right w:val="none"/>
                        </w:tcBorders>
                        <w:textDirection w:val="lrTb"/>
                        <w:vAlign w:val="top"/>
                      </w:tcPr>
                      <w:p/>
                    </w:tc>
                    <w:tc>
                      <w:tcPr>
                        <w:tcW w:w="340" w:type="dxa"/>
                        <w:tcBorders>
                          <w:top w:val="none"/>
                          <w:left w:val="none"/>
                          <w:bottom w:val="none"/>
                          <w:right w:val="none"/>
                        </w:tcBorders>
                        <w:textDirection w:val="lrTb"/>
                        <w:vAlign w:val="top"/>
                      </w:tcPr>
                      <w:p/>
                    </w:tc>
                    <w:tc>
                      <w:tcPr>
                        <w:tcW w:w="72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146" w:hRule="exact"/>
                    </w:trPr>
                    <w:tc>
                      <w:tcPr>
                        <w:tcW w:w="451" w:type="dxa"/>
                        <w:tcBorders>
                          <w:top w:val="none"/>
                          <w:left w:val="none"/>
                          <w:bottom w:val="none"/>
                          <w:right w:val="none"/>
                        </w:tcBorders>
                        <w:textDirection w:val="lrTb"/>
                        <w:vAlign w:val="top"/>
                      </w:tcPr>
                      <w:p/>
                    </w:tc>
                    <w:tc>
                      <w:tcPr>
                        <w:tcW w:w="365" w:type="dxa"/>
                        <w:tcBorders>
                          <w:top w:val="none"/>
                          <w:left w:val="none"/>
                          <w:bottom w:val="none"/>
                          <w:right w:val="none"/>
                        </w:tcBorders>
                        <w:textDirection w:val="lrTb"/>
                        <w:vAlign w:val="top"/>
                      </w:tcPr>
                      <w:p/>
                    </w:tc>
                    <w:tc>
                      <w:tcPr>
                        <w:tcW w:w="341" w:type="dxa"/>
                        <w:vMerge w:val="continue"/>
                        <w:tcBorders>
                          <w:top w:val="none"/>
                          <w:left w:val="none"/>
                          <w:bottom w:val="none"/>
                          <w:right w:val="none"/>
                        </w:tcBorders>
                        <w:textDirection w:val="lrTb"/>
                        <w:vAlign w:val="center"/>
                      </w:tcPr>
                      <w:p/>
                    </w:tc>
                    <w:tc>
                      <w:tcPr>
                        <w:tcW w:w="729"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35" w:type="dxa"/>
                        <w:tcBorders>
                          <w:top w:val="none"/>
                          <w:left w:val="none"/>
                          <w:bottom w:val="none"/>
                          <w:right w:val="none"/>
                        </w:tcBorders>
                        <w:textDirection w:val="lrTb"/>
                        <w:vAlign w:val="top"/>
                      </w:tcPr>
                      <w:p/>
                    </w:tc>
                    <w:tc>
                      <w:tcPr>
                        <w:tcW w:w="340"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5" w:type="dxa"/>
                        <w:tcBorders>
                          <w:top w:val="none"/>
                          <w:left w:val="none"/>
                          <w:bottom w:val="none"/>
                          <w:right w:val="none"/>
                        </w:tcBorders>
                        <w:textDirection w:val="lrTb"/>
                        <w:vAlign w:val="top"/>
                      </w:tcPr>
                      <w:p/>
                    </w:tc>
                    <w:tc>
                      <w:tcPr>
                        <w:tcW w:w="341" w:type="dxa"/>
                        <w:tcBorders>
                          <w:top w:val="none"/>
                          <w:left w:val="none"/>
                          <w:bottom w:val="none"/>
                          <w:right w:val="none"/>
                        </w:tcBorders>
                        <w:textDirection w:val="lrTb"/>
                        <w:vAlign w:val="top"/>
                      </w:tcPr>
                      <w:p/>
                    </w:tc>
                    <w:tc>
                      <w:tcPr>
                        <w:tcW w:w="730" w:type="dxa"/>
                        <w:tcBorders>
                          <w:top w:val="none"/>
                          <w:left w:val="none"/>
                          <w:bottom w:val="none"/>
                          <w:right w:val="none"/>
                        </w:tcBorders>
                        <w:textDirection w:val="lrTb"/>
                        <w:vAlign w:val="top"/>
                      </w:tcPr>
                      <w:p/>
                    </w:tc>
                    <w:tc>
                      <w:tcPr>
                        <w:tcW w:w="336"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342" w:type="dxa"/>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712" w:type="dxa"/>
                        <w:vMerge w:val="continue"/>
                        <w:tcBorders>
                          <w:top w:val="none"/>
                          <w:left w:val="none"/>
                          <w:bottom w:val="none"/>
                          <w:right w:val="none"/>
                        </w:tcBorders>
                        <w:textDirection w:val="lrTb"/>
                        <w:vAlign w:val="top"/>
                      </w:tcPr>
                      <w:p/>
                    </w:tc>
                  </w:tr>
                  <w:tr>
                    <w:trPr>
                      <w:trHeight w:val="343" w:hRule="exact"/>
                    </w:trPr>
                    <w:tc>
                      <w:tcPr>
                        <w:tcW w:w="451" w:type="dxa"/>
                        <w:vMerge w:val="restart"/>
                        <w:tcBorders>
                          <w:top w:val="none"/>
                          <w:left w:val="none"/>
                          <w:bottom w:val="none"/>
                          <w:right w:val="none"/>
                        </w:tcBorders>
                        <w:textDirection w:val="lrTb"/>
                        <w:vAlign w:val="bottom"/>
                      </w:tcPr>
                      <w:p>
                        <w:pPr>
                          <w:spacing w:before="255" w:after="0" w:line="145"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365" w:type="dxa"/>
                        <w:tcBorders>
                          <w:top w:val="none"/>
                          <w:left w:val="none"/>
                          <w:bottom w:val="single" w:sz="5" w:color="D8D8D8"/>
                          <w:right w:val="none"/>
                        </w:tcBorders>
                        <w:textDirection w:val="lrTb"/>
                        <w:vAlign w:val="top"/>
                      </w:tcPr>
                      <w:p/>
                    </w:tc>
                    <w:tc>
                      <w:tcPr>
                        <w:tcW w:w="341" w:type="dxa"/>
                        <w:tcBorders>
                          <w:top w:val="none"/>
                          <w:left w:val="none"/>
                          <w:bottom w:val="single" w:sz="5" w:color="D8D8D8"/>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single" w:sz="5" w:color="D8D8D8"/>
                          <w:right w:val="none"/>
                        </w:tcBorders>
                        <w:textDirection w:val="lrTb"/>
                        <w:vAlign w:val="top"/>
                      </w:tcPr>
                      <w:p/>
                    </w:tc>
                    <w:tc>
                      <w:tcPr>
                        <w:tcW w:w="336" w:type="dxa"/>
                        <w:tcBorders>
                          <w:top w:val="none"/>
                          <w:left w:val="none"/>
                          <w:bottom w:val="single" w:sz="5" w:color="D8D8D8"/>
                          <w:right w:val="none"/>
                        </w:tcBorders>
                        <w:textDirection w:val="lrTb"/>
                        <w:vAlign w:val="top"/>
                      </w:tcPr>
                      <w:p/>
                    </w:tc>
                    <w:tc>
                      <w:tcPr>
                        <w:tcW w:w="735" w:type="dxa"/>
                        <w:tcBorders>
                          <w:top w:val="none"/>
                          <w:left w:val="none"/>
                          <w:bottom w:val="single" w:sz="5" w:color="D8D8D8"/>
                          <w:right w:val="none"/>
                        </w:tcBorders>
                        <w:textDirection w:val="lrTb"/>
                        <w:vAlign w:val="top"/>
                      </w:tcPr>
                      <w:p/>
                    </w:tc>
                    <w:tc>
                      <w:tcPr>
                        <w:tcW w:w="340" w:type="dxa"/>
                        <w:tcBorders>
                          <w:top w:val="none"/>
                          <w:left w:val="none"/>
                          <w:bottom w:val="single" w:sz="5" w:color="D8D8D8"/>
                          <w:right w:val="none"/>
                        </w:tcBorders>
                        <w:textDirection w:val="lrTb"/>
                        <w:vAlign w:val="top"/>
                      </w:tcPr>
                      <w:p/>
                    </w:tc>
                    <w:tc>
                      <w:tcPr>
                        <w:tcW w:w="725" w:type="dxa"/>
                        <w:tcBorders>
                          <w:top w:val="none"/>
                          <w:left w:val="none"/>
                          <w:bottom w:val="single" w:sz="5" w:color="D8D8D8"/>
                          <w:right w:val="none"/>
                        </w:tcBorders>
                        <w:textDirection w:val="lrTb"/>
                        <w:vAlign w:val="top"/>
                      </w:tcPr>
                      <w:p/>
                    </w:tc>
                    <w:tc>
                      <w:tcPr>
                        <w:tcW w:w="341" w:type="dxa"/>
                        <w:tcBorders>
                          <w:top w:val="none"/>
                          <w:left w:val="none"/>
                          <w:bottom w:val="single" w:sz="5" w:color="D8D8D8"/>
                          <w:right w:val="none"/>
                        </w:tcBorders>
                        <w:textDirection w:val="lrTb"/>
                        <w:vAlign w:val="top"/>
                      </w:tcPr>
                      <w:p/>
                    </w:tc>
                    <w:tc>
                      <w:tcPr>
                        <w:tcW w:w="730" w:type="dxa"/>
                        <w:tcBorders>
                          <w:top w:val="none"/>
                          <w:left w:val="none"/>
                          <w:bottom w:val="single" w:sz="5" w:color="D8D8D8"/>
                          <w:right w:val="none"/>
                        </w:tcBorders>
                        <w:textDirection w:val="lrTb"/>
                        <w:vAlign w:val="top"/>
                      </w:tcPr>
                      <w:p/>
                    </w:tc>
                    <w:tc>
                      <w:tcPr>
                        <w:tcW w:w="336" w:type="dxa"/>
                        <w:tcBorders>
                          <w:top w:val="none"/>
                          <w:left w:val="none"/>
                          <w:bottom w:val="single" w:sz="5" w:color="D8D8D8"/>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342" w:type="dxa"/>
                        <w:tcBorders>
                          <w:top w:val="none"/>
                          <w:left w:val="none"/>
                          <w:bottom w:val="single" w:sz="5" w:color="D8D8D8"/>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342" w:type="dxa"/>
                        <w:tcBorders>
                          <w:top w:val="none"/>
                          <w:left w:val="none"/>
                          <w:bottom w:val="single" w:sz="5" w:color="D8D8D8"/>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712" w:type="dxa"/>
                        <w:vMerge w:val="continue"/>
                        <w:tcBorders>
                          <w:top w:val="none"/>
                          <w:left w:val="none"/>
                          <w:bottom w:val="single" w:sz="5" w:color="D8D8D8"/>
                          <w:right w:val="none"/>
                        </w:tcBorders>
                        <w:textDirection w:val="lrTb"/>
                        <w:vAlign w:val="top"/>
                      </w:tcPr>
                      <w:p/>
                    </w:tc>
                  </w:tr>
                  <w:tr>
                    <w:trPr>
                      <w:trHeight w:val="67" w:hRule="exact"/>
                    </w:trPr>
                    <w:tc>
                      <w:tcPr>
                        <w:tcW w:w="451" w:type="dxa"/>
                        <w:vMerge w:val="continue"/>
                        <w:tcBorders>
                          <w:top w:val="none"/>
                          <w:left w:val="none"/>
                          <w:bottom w:val="none"/>
                          <w:right w:val="none"/>
                        </w:tcBorders>
                        <w:textDirection w:val="lrTb"/>
                        <w:vAlign w:val="bottom"/>
                      </w:tcPr>
                      <w:p/>
                    </w:tc>
                    <w:tc>
                      <w:tcPr>
                        <w:tcW w:w="365" w:type="dxa"/>
                        <w:tcBorders>
                          <w:top w:val="single" w:sz="5" w:color="D8D8D8"/>
                          <w:left w:val="none"/>
                          <w:bottom w:val="single" w:sz="5" w:color="D8D8D8"/>
                          <w:right w:val="none"/>
                        </w:tcBorders>
                        <w:textDirection w:val="lrTb"/>
                        <w:vAlign w:val="top"/>
                      </w:tcPr>
                      <w:p/>
                    </w:tc>
                    <w:tc>
                      <w:tcPr>
                        <w:tcW w:w="341" w:type="dxa"/>
                        <w:tcBorders>
                          <w:top w:val="single" w:sz="5" w:color="D8D8D8"/>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336" w:type="dxa"/>
                        <w:tcBorders>
                          <w:top w:val="single" w:sz="5" w:color="D8D8D8"/>
                          <w:left w:val="none"/>
                          <w:bottom w:val="single" w:sz="5" w:color="D8D8D8"/>
                          <w:right w:val="none"/>
                        </w:tcBorders>
                        <w:textDirection w:val="lrTb"/>
                        <w:vAlign w:val="top"/>
                      </w:tcPr>
                      <w:p/>
                    </w:tc>
                    <w:tc>
                      <w:tcPr>
                        <w:tcW w:w="735" w:type="dxa"/>
                        <w:tcBorders>
                          <w:top w:val="single" w:sz="5" w:color="D8D8D8"/>
                          <w:left w:val="none"/>
                          <w:bottom w:val="single" w:sz="5" w:color="D8D8D8"/>
                          <w:right w:val="none"/>
                        </w:tcBorders>
                        <w:textDirection w:val="lrTb"/>
                        <w:vAlign w:val="top"/>
                      </w:tcPr>
                      <w:p/>
                    </w:tc>
                    <w:tc>
                      <w:tcPr>
                        <w:tcW w:w="340" w:type="dxa"/>
                        <w:tcBorders>
                          <w:top w:val="single" w:sz="5" w:color="D8D8D8"/>
                          <w:left w:val="none"/>
                          <w:bottom w:val="single" w:sz="5" w:color="D8D8D8"/>
                          <w:right w:val="none"/>
                        </w:tcBorders>
                        <w:textDirection w:val="lrTb"/>
                        <w:vAlign w:val="top"/>
                      </w:tcPr>
                      <w:p/>
                    </w:tc>
                    <w:tc>
                      <w:tcPr>
                        <w:tcW w:w="725" w:type="dxa"/>
                        <w:tcBorders>
                          <w:top w:val="single" w:sz="5" w:color="D8D8D8"/>
                          <w:left w:val="none"/>
                          <w:bottom w:val="single" w:sz="5" w:color="D8D8D8"/>
                          <w:right w:val="none"/>
                        </w:tcBorders>
                        <w:textDirection w:val="lrTb"/>
                        <w:vAlign w:val="top"/>
                      </w:tcPr>
                      <w:p/>
                    </w:tc>
                    <w:tc>
                      <w:tcPr>
                        <w:tcW w:w="341" w:type="dxa"/>
                        <w:tcBorders>
                          <w:top w:val="single" w:sz="5" w:color="D8D8D8"/>
                          <w:left w:val="none"/>
                          <w:bottom w:val="single" w:sz="5" w:color="D8D8D8"/>
                          <w:right w:val="none"/>
                        </w:tcBorders>
                        <w:textDirection w:val="lrTb"/>
                        <w:vAlign w:val="top"/>
                      </w:tcPr>
                      <w:p/>
                    </w:tc>
                    <w:tc>
                      <w:tcPr>
                        <w:tcW w:w="730" w:type="dxa"/>
                        <w:tcBorders>
                          <w:top w:val="single" w:sz="5" w:color="D8D8D8"/>
                          <w:left w:val="none"/>
                          <w:bottom w:val="single" w:sz="5" w:color="D8D8D8"/>
                          <w:right w:val="none"/>
                        </w:tcBorders>
                        <w:textDirection w:val="lrTb"/>
                        <w:vAlign w:val="top"/>
                      </w:tcPr>
                      <w:p/>
                    </w:tc>
                    <w:tc>
                      <w:tcPr>
                        <w:tcW w:w="336" w:type="dxa"/>
                        <w:tcBorders>
                          <w:top w:val="single" w:sz="5" w:color="D8D8D8"/>
                          <w:left w:val="none"/>
                          <w:bottom w:val="single" w:sz="5" w:color="D8D8D8"/>
                          <w:right w:val="none"/>
                        </w:tcBorders>
                        <w:textDirection w:val="lrTb"/>
                        <w:vAlign w:val="top"/>
                      </w:tcPr>
                      <w:p/>
                    </w:tc>
                    <w:tc>
                      <w:tcPr>
                        <w:tcW w:w="728" w:type="dxa"/>
                        <w:tcBorders>
                          <w:top w:val="single" w:sz="5" w:color="D8D8D8"/>
                          <w:left w:val="none"/>
                          <w:bottom w:val="single" w:sz="5" w:color="D8D8D8"/>
                          <w:right w:val="none"/>
                        </w:tcBorders>
                        <w:textDirection w:val="lrTb"/>
                        <w:vAlign w:val="top"/>
                      </w:tcPr>
                      <w:p/>
                    </w:tc>
                    <w:tc>
                      <w:tcPr>
                        <w:tcW w:w="342" w:type="dxa"/>
                        <w:tcBorders>
                          <w:top w:val="single" w:sz="5" w:color="D8D8D8"/>
                          <w:left w:val="none"/>
                          <w:bottom w:val="single" w:sz="5" w:color="D8D8D8"/>
                          <w:right w:val="none"/>
                        </w:tcBorders>
                        <w:textDirection w:val="lrTb"/>
                        <w:vAlign w:val="top"/>
                      </w:tcPr>
                      <w:p/>
                    </w:tc>
                    <w:tc>
                      <w:tcPr>
                        <w:tcW w:w="724" w:type="dxa"/>
                        <w:tcBorders>
                          <w:top w:val="single" w:sz="5" w:color="D8D8D8"/>
                          <w:left w:val="none"/>
                          <w:bottom w:val="single" w:sz="5" w:color="D8D8D8"/>
                          <w:right w:val="none"/>
                        </w:tcBorders>
                        <w:textDirection w:val="lrTb"/>
                        <w:vAlign w:val="top"/>
                      </w:tcPr>
                      <w:p/>
                    </w:tc>
                    <w:tc>
                      <w:tcPr>
                        <w:tcW w:w="342" w:type="dxa"/>
                        <w:tcBorders>
                          <w:top w:val="single" w:sz="5" w:color="D8D8D8"/>
                          <w:left w:val="none"/>
                          <w:bottom w:val="single" w:sz="5" w:color="D8D8D8"/>
                          <w:right w:val="none"/>
                        </w:tcBorders>
                        <w:textDirection w:val="lrTb"/>
                        <w:vAlign w:val="top"/>
                      </w:tcPr>
                      <w:p/>
                    </w:tc>
                    <w:tc>
                      <w:tcPr>
                        <w:tcW w:w="728" w:type="dxa"/>
                        <w:tcBorders>
                          <w:top w:val="single" w:sz="5" w:color="D8D8D8"/>
                          <w:left w:val="none"/>
                          <w:bottom w:val="single" w:sz="5" w:color="D8D8D8"/>
                          <w:right w:val="none"/>
                        </w:tcBorders>
                        <w:textDirection w:val="lrTb"/>
                        <w:vAlign w:val="top"/>
                      </w:tcPr>
                      <w:p/>
                    </w:tc>
                    <w:tc>
                      <w:tcPr>
                        <w:tcW w:w="712" w:type="dxa"/>
                        <w:tcBorders>
                          <w:top w:val="single" w:sz="5" w:color="D8D8D8"/>
                          <w:left w:val="none"/>
                          <w:bottom w:val="single" w:sz="5" w:color="D8D8D8"/>
                          <w:right w:val="none"/>
                        </w:tcBorders>
                        <w:textDirection w:val="lrTb"/>
                        <w:vAlign w:val="top"/>
                      </w:tcPr>
                      <w:p/>
                    </w:tc>
                  </w:tr>
                </w:tbl>
                <w:p>
                  <w:pPr>
                    <w:spacing w:before="0" w:after="26" w:line="20" w:lineRule="exact"/>
                  </w:pPr>
                </w:p>
              </w:txbxContent>
            </v:textbox>
          </v:shape>
        </w:pict>
      </w:r>
      <w:r>
        <w:pict>
          <v:shapetype id="_x0000_t121" coordsize="21600,21600" o:spt="202" path="m,l,21600r21600,l21600,xe">
            <v:stroke joinstyle="miter"/>
            <v:path gradientshapeok="t" o:connecttype="rect"/>
          </v:shapetype>
          <v:shape id="_x0000_s120" type="#_x0000_t121" filled="f" stroked="f" style="position:absolute;width:459.55pt;height:24.45pt;z-index:-1;margin-left:74.65pt;margin-top:436.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728"/>
                      <w:tab w:val="left" w:leader="none" w:pos="2880"/>
                      <w:tab w:val="left" w:leader="none" w:pos="3888"/>
                      <w:tab w:val="left" w:leader="none" w:pos="5040"/>
                      <w:tab w:val="left" w:leader="none" w:pos="6048"/>
                      <w:tab w:val="left" w:leader="none" w:pos="7128"/>
                      <w:tab w:val="left" w:leader="none" w:pos="8280"/>
                    </w:tabs>
                    <w:spacing w:before="20" w:after="278" w:line="180" w:lineRule="exact"/>
                    <w:ind w:right="0" w:left="648"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122" coordsize="21600,21600" o:spt="202" path="m,l,21600r21600,l21600,xe">
            <v:stroke joinstyle="miter"/>
            <v:path gradientshapeok="t" o:connecttype="rect"/>
          </v:shapetype>
          <v:shape id="_x0000_s121" type="#_x0000_t122"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29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0.7pt" strokecolor="#D8D8D8" from="97.2pt,255.85pt" to="524.95pt,255.8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23" coordsize="21600,21600" o:spt="202" path="m,l,21600r21600,l21600,xe">
            <v:stroke joinstyle="miter"/>
            <v:path gradientshapeok="t" o:connecttype="rect"/>
          </v:shapetype>
          <v:shape id="_x0000_s122" type="#_x0000_t123" filled="f" stroked="f" style="position:absolute;width:486pt;height:207.65pt;z-index:-1;margin-left:71.75pt;margin-top:448.3pt;mso-wrap-distance-left:0pt;mso-wrap-distance-right:0pt;mso-position-horizontal-relative:page;mso-position-vertical-relative:page">
            <w10:wrap type="square"/>
            <v:fill opacity="1" o:opacity2="1" recolor="f" rotate="f" type="solid"/>
            <v:textbox inset="0pt, 0pt, 0pt, 0pt">
              <w:txbxContent>
                <w:p>
                  <w:pPr>
                    <w:pBdr>
                      <w:top w:sz="5" w:space="0" w:color="D9D9D9" w:val="single"/>
                      <w:left w:sz="5" w:space="0" w:color="D9D9D9" w:val="single"/>
                      <w:bottom w:sz="5" w:space="0" w:color="D9D9D9" w:val="single"/>
                      <w:right w:sz="5" w:space="0" w:color="D9D9D9" w:val="single"/>
                    </w:pBdr>
                  </w:pPr>
                </w:p>
              </w:txbxContent>
            </v:textbox>
          </v:shape>
        </w:pict>
      </w:r>
      <w:r>
        <w:pict>
          <v:shapetype id="_x0000_t124" coordsize="21600,21600" o:spt="202" path="m,l,21600r21600,l21600,xe">
            <v:stroke joinstyle="miter"/>
            <v:path gradientshapeok="t" o:connecttype="rect"/>
          </v:shapetype>
          <v:shape id="_x0000_s123" type="#_x0000_t124"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125" coordsize="21600,21600" o:spt="202" path="m,l,21600r21600,l21600,xe">
            <v:stroke joinstyle="miter"/>
            <v:path gradientshapeok="t" o:connecttype="rect"/>
          </v:shapetype>
          <v:shape id="_x0000_s124" type="#_x0000_t125" filled="f" stroked="f" style="position:absolute;width:486pt;height:14.8pt;z-index:1;margin-left:71.75pt;margin-top:72.1pt;mso-wrap-distance-left:0pt;mso-wrap-distance-right:0pt;mso-position-horizontal-relative:page;mso-position-vertical-relative:page">
            <w10:wrap anchorx="page" anchory="page"/>
            <v:fill opacity="1" o:opacity2="1" recolor="f" rotate="f" type="solid"/>
            <v:textbox inset="0pt, 0pt, 0pt, 0pt">
              <w:txbxContent>
                <w:p>
                  <w:pPr>
                    <w:spacing w:before="20" w:after="86"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13: Residents with Medicaid Coverage</w:t>
                  </w:r>
                </w:p>
              </w:txbxContent>
            </v:textbox>
          </v:shape>
        </w:pict>
      </w:r>
      <w:r>
        <w:pict>
          <v:shapetype id="_x0000_t126" coordsize="21600,21600" o:spt="202" path="m,l,21600r21600,l21600,xe">
            <v:stroke joinstyle="miter"/>
            <v:path gradientshapeok="t" o:connecttype="rect"/>
          </v:shapetype>
          <v:shape id="_x0000_s125" type="#_x0000_t126" filled="f" stroked="f" style="position:absolute;width:486pt;height:174.3pt;z-index:-1;margin-left:71.75pt;margin-top:86.9pt;mso-wrap-distance-left:0pt;mso-wrap-distance-right:0pt;mso-position-horizontal-relative:page;mso-position-vertical-relative:page">
            <w10:wrap type="square" side="both"/>
            <v:fill opacity="1" o:opacity2="1" recolor="f" rotate="f" type="solid"/>
            <v:textbox inset="0pt, 0pt, 0pt, 0pt">
              <w:txbxContent>
                <w:p>
                  <w:pPr>
                    <w:spacing w:before="0" w:after="83" w:line="240" w:lineRule="auto"/>
                    <w:ind w:right="384" w:left="5"/>
                    <w:jc w:val="left"/>
                    <w:textAlignment w:val="baseline"/>
                  </w:pPr>
                  <w:r>
                    <w:drawing>
                      <wp:inline>
                        <wp:extent cx="5925185" cy="2160905"/>
                        <wp:docPr name="Picture" id="31"/>
                        <a:graphic>
                          <a:graphicData uri="http://schemas.openxmlformats.org/drawingml/2006/picture">
                            <pic:pic>
                              <pic:nvPicPr>
                                <pic:cNvPr id="31" name="Picture"/>
                                <pic:cNvPicPr preferRelativeResize="false"/>
                              </pic:nvPicPr>
                              <pic:blipFill>
                                <a:blip r:embed="prId31"/>
                                <a:stretch>
                                  <a:fillRect/>
                                </a:stretch>
                              </pic:blipFill>
                              <pic:spPr>
                                <a:xfrm>
                                  <a:off x="0" y="0"/>
                                  <a:ext cx="5925185" cy="2160905"/>
                                </a:xfrm>
                                <a:prstGeom prst="rect"/>
                              </pic:spPr>
                            </pic:pic>
                          </a:graphicData>
                        </a:graphic>
                      </wp:inline>
                    </w:drawing>
                  </w:r>
                </w:p>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486pt;height:187.1pt;z-index:1;margin-left:71.75pt;margin-top:261.2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Source: Medicaid Enrollment Databook</w:t>
                  </w:r>
                </w:p>
                <w:p>
                  <w:pPr>
                    <w:spacing w:before="575" w:after="0" w:line="242" w:lineRule="exact"/>
                    <w:ind w:right="0" w:left="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Broadband Access</w:t>
                  </w:r>
                </w:p>
                <w:p>
                  <w:pPr>
                    <w:spacing w:before="223" w:after="0" w:line="289" w:lineRule="exact"/>
                    <w:ind w:right="36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broadband services is considered a necessity. The Covid-19 pandemic elevated the need for broadband access to a new level with remote work and learning as well as accessible healthcare options. New York State as a whole has extensive broadband access (90%), but not every part of the state has the same access. Figure 14 notes the percentage of households with a broadband connection versus the percentage in the county who have no access to broadband services, meaning broadband service is not available to them to purchase or access.</w:t>
                  </w:r>
                </w:p>
                <w:p>
                  <w:pPr>
                    <w:spacing w:before="425" w:after="153"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14: Broadband Connection vs Broadband Access in each County</w:t>
                  </w:r>
                </w:p>
              </w:txbxContent>
            </v:textbox>
          </v:shape>
        </w:pict>
      </w:r>
      <w:r>
        <w:pict>
          <v:shapetype id="_x0000_t128" coordsize="21600,21600" o:spt="202" path="m,l,21600r21600,l21600,xe">
            <v:stroke joinstyle="miter"/>
            <v:path gradientshapeok="t" o:connecttype="rect"/>
          </v:shapetype>
          <v:shape id="_x0000_s127" type="#_x0000_t128" filled="f" stroked="f" style="position:absolute;width:486pt;height:61.8pt;z-index:1;margin-left:71.75pt;margin-top:655.05pt;mso-wrap-distance-left:0pt;mso-wrap-distance-right:0pt;mso-position-horizontal-relative:page;mso-position-vertical-relative:page">
            <w10:wrap anchorx="page" anchory="page"/>
            <v:fill opacity="1" o:opacity2="1" recolor="f" rotate="f" type="solid"/>
            <v:textbox inset="0pt, 0pt, 0pt, 0pt">
              <w:txbxContent>
                <w:p>
                  <w:pPr>
                    <w:spacing w:before="20" w:after="1027"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Office of the State Comptroller, ACS, County Health Rankings</w:t>
                  </w:r>
                </w:p>
              </w:txbxContent>
            </v:textbox>
          </v:shape>
        </w:pict>
      </w:r>
      <w:r>
        <w:pict>
          <v:shapetype id="_x0000_t129" coordsize="21600,21600" o:spt="202" path="m,l,21600r21600,l21600,xe">
            <v:stroke joinstyle="miter"/>
            <v:path gradientshapeok="t" o:connecttype="rect"/>
          </v:shapetype>
          <v:shape id="_x0000_s128" type="#_x0000_t129" filled="f" stroked="f" style="position:absolute;width:482.6pt;height:32.5pt;z-index:-1;margin-left:73.45pt;margin-top:448.3pt;mso-wrap-distance-left:0pt;mso-wrap-distance-right:0pt;mso-position-horizontal-relative:page;mso-position-vertical-relative:page">
            <w10:wrap type="square" side="both"/>
            <v:fill opacity="1" o:opacity2="1" recolor="f" rotate="f" type="solid"/>
            <v:textbox inset="0pt, 0pt, 0pt, 0pt">
              <w:txbxContent>
                <w:p>
                  <w:pPr>
                    <w:spacing w:before="203" w:after="153" w:line="282"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Broadband Connection vs. Access (2025)</w:t>
                  </w:r>
                </w:p>
              </w:txbxContent>
            </v:textbox>
          </v:shape>
        </w:pict>
      </w:r>
      <w:r>
        <w:pict>
          <v:shapetype id="_x0000_t130" coordsize="21600,21600" o:spt="202" path="m,l,21600r21600,l21600,xe">
            <v:stroke joinstyle="miter"/>
            <v:path gradientshapeok="t" o:connecttype="rect"/>
          </v:shapetype>
          <v:shape id="_x0000_s129" type="#_x0000_t130" filled="f" stroked="f" style="position:absolute;width:482.6pt;height:17.2pt;z-index:-1;margin-left:73.45pt;margin-top:480.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728"/>
                      <w:tab w:val="left" w:leader="none" w:pos="2592"/>
                      <w:tab w:val="left" w:leader="none" w:pos="3384"/>
                      <w:tab w:val="left" w:leader="none" w:pos="4176"/>
                      <w:tab w:val="left" w:leader="none" w:pos="5040"/>
                      <w:tab w:val="left" w:leader="none" w:pos="5832"/>
                      <w:tab w:val="left" w:leader="none" w:pos="6696"/>
                      <w:tab w:val="left" w:leader="none" w:pos="7488"/>
                      <w:tab w:val="left" w:leader="none" w:pos="8280"/>
                      <w:tab w:val="left" w:leader="none" w:pos="9072"/>
                    </w:tabs>
                    <w:spacing w:before="20" w:after="134" w:line="180" w:lineRule="exact"/>
                    <w:ind w:right="0" w:left="936" w:firstLine="0"/>
                    <w:jc w:val="left"/>
                    <w:textAlignment w:val="baseline"/>
                    <w:rPr>
                      <w:rFonts w:ascii="Calibri" w:hAnsi="Calibri" w:eastAsia="Calibri"/>
                      <w:color w:val="585858"/>
                      <w:spacing w:val="-1"/>
                      <w:w w:val="100"/>
                      <w:sz w:val="18"/>
                      <w:vertAlign w:val="baseline"/>
                      <w:lang w:val="en-US"/>
                    </w:rPr>
                  </w:pPr>
                  <w:r>
                    <w:rPr>
                      <w:rFonts w:ascii="Calibri" w:hAnsi="Calibri" w:eastAsia="Calibri"/>
                      <w:color w:val="585858"/>
                      <w:spacing w:val="-1"/>
                      <w:w w:val="100"/>
                      <w:sz w:val="18"/>
                      <w:vertAlign w:val="baseline"/>
                      <w:lang w:val="en-US"/>
                    </w:rPr>
                    <w:t xml:space="preserve">0	</w:t>
                  </w:r>
                  <w:r>
                    <w:rPr>
                      <w:rFonts w:ascii="Calibri" w:hAnsi="Calibri" w:eastAsia="Calibri"/>
                      <w:color w:val="585858"/>
                      <w:spacing w:val="-1"/>
                      <w:w w:val="100"/>
                      <w:sz w:val="18"/>
                      <w:vertAlign w:val="baseline"/>
                      <w:lang w:val="en-US"/>
                    </w:rPr>
                    <w:t xml:space="preserve">10	</w:t>
                  </w:r>
                  <w:r>
                    <w:rPr>
                      <w:rFonts w:ascii="Calibri" w:hAnsi="Calibri" w:eastAsia="Calibri"/>
                      <w:color w:val="585858"/>
                      <w:spacing w:val="-1"/>
                      <w:w w:val="100"/>
                      <w:sz w:val="18"/>
                      <w:vertAlign w:val="baseline"/>
                      <w:lang w:val="en-US"/>
                    </w:rPr>
                    <w:t xml:space="preserve">20	</w:t>
                  </w:r>
                  <w:r>
                    <w:rPr>
                      <w:rFonts w:ascii="Calibri" w:hAnsi="Calibri" w:eastAsia="Calibri"/>
                      <w:color w:val="585858"/>
                      <w:spacing w:val="-1"/>
                      <w:w w:val="100"/>
                      <w:sz w:val="18"/>
                      <w:vertAlign w:val="baseline"/>
                      <w:lang w:val="en-US"/>
                    </w:rPr>
                    <w:t xml:space="preserve">30	</w:t>
                  </w:r>
                  <w:r>
                    <w:rPr>
                      <w:rFonts w:ascii="Calibri" w:hAnsi="Calibri" w:eastAsia="Calibri"/>
                      <w:color w:val="585858"/>
                      <w:spacing w:val="-1"/>
                      <w:w w:val="100"/>
                      <w:sz w:val="18"/>
                      <w:vertAlign w:val="baseline"/>
                      <w:lang w:val="en-US"/>
                    </w:rPr>
                    <w:t xml:space="preserve">40	</w:t>
                  </w:r>
                  <w:r>
                    <w:rPr>
                      <w:rFonts w:ascii="Calibri" w:hAnsi="Calibri" w:eastAsia="Calibri"/>
                      <w:color w:val="585858"/>
                      <w:spacing w:val="-1"/>
                      <w:w w:val="100"/>
                      <w:sz w:val="18"/>
                      <w:vertAlign w:val="baseline"/>
                      <w:lang w:val="en-US"/>
                    </w:rPr>
                    <w:t xml:space="preserve">50	</w:t>
                  </w:r>
                  <w:r>
                    <w:rPr>
                      <w:rFonts w:ascii="Calibri" w:hAnsi="Calibri" w:eastAsia="Calibri"/>
                      <w:color w:val="585858"/>
                      <w:spacing w:val="-1"/>
                      <w:w w:val="100"/>
                      <w:sz w:val="18"/>
                      <w:vertAlign w:val="baseline"/>
                      <w:lang w:val="en-US"/>
                    </w:rPr>
                    <w:t xml:space="preserve">60	</w:t>
                  </w:r>
                  <w:r>
                    <w:rPr>
                      <w:rFonts w:ascii="Calibri" w:hAnsi="Calibri" w:eastAsia="Calibri"/>
                      <w:color w:val="585858"/>
                      <w:spacing w:val="-1"/>
                      <w:w w:val="100"/>
                      <w:sz w:val="18"/>
                      <w:vertAlign w:val="baseline"/>
                      <w:lang w:val="en-US"/>
                    </w:rPr>
                    <w:t xml:space="preserve">70	</w:t>
                  </w:r>
                  <w:r>
                    <w:rPr>
                      <w:rFonts w:ascii="Calibri" w:hAnsi="Calibri" w:eastAsia="Calibri"/>
                      <w:color w:val="585858"/>
                      <w:spacing w:val="-1"/>
                      <w:w w:val="100"/>
                      <w:sz w:val="18"/>
                      <w:vertAlign w:val="baseline"/>
                      <w:lang w:val="en-US"/>
                    </w:rPr>
                    <w:t xml:space="preserve">80	</w:t>
                  </w:r>
                  <w:r>
                    <w:rPr>
                      <w:rFonts w:ascii="Calibri" w:hAnsi="Calibri" w:eastAsia="Calibri"/>
                      <w:color w:val="585858"/>
                      <w:spacing w:val="-1"/>
                      <w:w w:val="100"/>
                      <w:sz w:val="18"/>
                      <w:vertAlign w:val="baseline"/>
                      <w:lang w:val="en-US"/>
                    </w:rPr>
                    <w:t xml:space="preserve">90	</w:t>
                  </w:r>
                  <w:r>
                    <w:rPr>
                      <w:rFonts w:ascii="Calibri" w:hAnsi="Calibri" w:eastAsia="Calibri"/>
                      <w:color w:val="585858"/>
                      <w:spacing w:val="-1"/>
                      <w:w w:val="100"/>
                      <w:sz w:val="18"/>
                      <w:vertAlign w:val="baseline"/>
                      <w:lang w:val="en-US"/>
                    </w:rPr>
                    <w:t xml:space="preserve">100</w:t>
                  </w:r>
                </w:p>
              </w:txbxContent>
            </v:textbox>
          </v:shape>
        </w:pict>
      </w:r>
      <w:r>
        <w:pict>
          <v:shapetype id="_x0000_t131" coordsize="21600,21600" o:spt="202" path="m,l,21600r21600,l21600,xe">
            <v:stroke joinstyle="miter"/>
            <v:path gradientshapeok="t" o:connecttype="rect"/>
          </v:shapetype>
          <v:shape id="_x0000_s130" type="#_x0000_t131" filled="f" stroked="f" style="position:absolute;width:461.2pt;height:118.55pt;z-index:-1;margin-left:71.75pt;margin-top:49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56"/>
                    <w:gridCol w:w="8168"/>
                  </w:tblGrid>
                  <w:tr>
                    <w:trPr>
                      <w:trHeight w:val="2370" w:hRule="exact"/>
                    </w:trPr>
                    <w:tc>
                      <w:tcPr>
                        <w:tcW w:w="1056" w:type="dxa"/>
                        <w:tcBorders>
                          <w:top w:val="none"/>
                          <w:left w:val="none"/>
                          <w:bottom w:val="none"/>
                          <w:right w:val="single" w:sz="5" w:color="D9D9D9"/>
                        </w:tcBorders>
                        <w:textDirection w:val="lrTb"/>
                        <w:vAlign w:val="top"/>
                      </w:tcPr>
                      <w:p>
                        <w:pPr>
                          <w:spacing w:before="0" w:after="52" w:line="289" w:lineRule="exact"/>
                          <w:ind w:right="0" w:left="144"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c>
                    <w:tc>
                      <w:tcPr>
                        <w:tcW w:w="8168" w:type="dxa"/>
                        <w:vMerge w:val="restart"/>
                        <w:tcBorders>
                          <w:top w:val="none"/>
                          <w:left w:val="single" w:sz="5" w:color="D9D9D9"/>
                          <w:bottom w:val="none"/>
                          <w:right w:val="none"/>
                        </w:tcBorders>
                        <w:textDirection w:val="lrTb"/>
                        <w:vAlign w:val="top"/>
                      </w:tcPr>
                      <w:p>
                        <w:pPr>
                          <w:spacing w:before="0" w:after="0" w:line="240" w:lineRule="auto"/>
                          <w:ind w:right="8" w:left="0"/>
                          <w:jc w:val="left"/>
                          <w:textAlignment w:val="baseline"/>
                        </w:pPr>
                        <w:r>
                          <w:drawing>
                            <wp:inline>
                              <wp:extent cx="4666615" cy="1505585"/>
                              <wp:docPr name="Picture" id="32"/>
                              <a:graphic>
                                <a:graphicData uri="http://schemas.openxmlformats.org/drawingml/2006/picture">
                                  <pic:pic>
                                    <pic:nvPicPr>
                                      <pic:cNvPr id="32" name="Picture"/>
                                      <pic:cNvPicPr preferRelativeResize="false"/>
                                    </pic:nvPicPr>
                                    <pic:blipFill>
                                      <a:blip r:embed="prId32"/>
                                      <a:stretch>
                                        <a:fillRect/>
                                      </a:stretch>
                                    </pic:blipFill>
                                    <pic:spPr>
                                      <a:xfrm>
                                        <a:off x="0" y="0"/>
                                        <a:ext cx="4666615" cy="1505585"/>
                                      </a:xfrm>
                                      <a:prstGeom prst="rect"/>
                                    </pic:spPr>
                                  </pic:pic>
                                </a:graphicData>
                              </a:graphic>
                            </wp:inline>
                          </w:drawing>
                        </w:r>
                      </w:p>
                    </w:tc>
                  </w:tr>
                  <w:tr>
                    <w:trPr>
                      <w:trHeight w:val="1" w:hRule="exact"/>
                    </w:trPr>
                    <w:tc>
                      <w:tcPr>
                        <w:tcW w:w="1056" w:type="dxa"/>
                        <w:tcBorders>
                          <w:top w:val="none"/>
                          <w:left w:val="none"/>
                          <w:bottom w:val="none"/>
                          <w:right w:val="none"/>
                        </w:tcBorders>
                        <w:textDirection w:val="lrTb"/>
                        <w:vAlign w:val="top"/>
                      </w:tcPr>
                      <w:p/>
                    </w:tc>
                    <w:tc>
                      <w:tcPr>
                        <w:tcW w:w="8168" w:type="dxa"/>
                        <w:vMerge w:val="continue"/>
                        <w:tcBorders>
                          <w:top w:val="none"/>
                          <w:left w:val="none"/>
                          <w:bottom w:val="none"/>
                          <w:right w:val="none"/>
                        </w:tcBorders>
                        <w:textDirection w:val="lrTb"/>
                        <w:vAlign w:val="top"/>
                      </w:tcPr>
                      <w:p/>
                    </w:tc>
                  </w:tr>
                </w:tbl>
              </w:txbxContent>
            </v:textbox>
          </v:shape>
        </w:pict>
      </w:r>
      <w:r>
        <w:pict>
          <v:shapetype id="_x0000_t132" coordsize="21600,21600" o:spt="202" path="m,l,21600r21600,l21600,xe">
            <v:stroke joinstyle="miter"/>
            <v:path gradientshapeok="t" o:connecttype="rect"/>
          </v:shapetype>
          <v:shape id="_x0000_s131" type="#_x0000_t132" filled="f" stroked="f" style="position:absolute;width:422.85pt;height:24.5pt;z-index:-1;margin-left:133.2pt;margin-top:630.5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3672"/>
                    </w:tabs>
                    <w:spacing w:before="20" w:after="278" w:line="180" w:lineRule="exact"/>
                    <w:ind w:right="0" w:left="72"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Households with Broadband Connection 	</w:t>
                  </w:r>
                  <w:r>
                    <w:rPr>
                      <w:rFonts w:ascii="Calibri" w:hAnsi="Calibri" w:eastAsia="Calibri"/>
                      <w:color w:val="585858"/>
                      <w:spacing w:val="0"/>
                      <w:w w:val="100"/>
                      <w:sz w:val="18"/>
                      <w:vertAlign w:val="baseline"/>
                      <w:lang w:val="en-US"/>
                    </w:rPr>
                    <w:t xml:space="preserve">Households with no Access to Broadband Services</w:t>
                  </w:r>
                </w:p>
              </w:txbxContent>
            </v:textbox>
          </v:shape>
        </w:pict>
      </w:r>
      <w:r>
        <w:pict>
          <v:shapetype id="_x0000_t133" coordsize="21600,21600" o:spt="202" path="m,l,21600r21600,l21600,xe">
            <v:stroke joinstyle="miter"/>
            <v:path gradientshapeok="t" o:connecttype="rect"/>
          </v:shapetype>
          <v:shape id="_x0000_s132" type="#_x0000_t133" filled="f" stroked="f" style="position:absolute;width:5.05pt;height:5.05pt;z-index:-1;margin-left:128.15pt;margin-top:633.35pt;mso-wrap-distance-left:0pt;mso-wrap-distance-right:0pt;mso-position-horizontal-relative:page;mso-position-vertical-relative:page">
            <w10:wrap type="square" side="both"/>
            <v:fill opacity="1" o:opacity2="1" recolor="f" rotate="f" type="solid"/>
            <v:textbox inset="0pt, 0pt, 0pt, 0pt">
              <w:txbxContent>
                <w:p>
                  <w:pPr>
                    <w:spacing w:before="0" w:after="0" w:line="101" w:lineRule="exact"/>
                    <w:ind w:right="0" w:left="0"/>
                    <w:jc w:val="left"/>
                    <w:textAlignment w:val="baseline"/>
                  </w:pPr>
                  <w:r>
                    <w:drawing>
                      <wp:inline>
                        <wp:extent cx="64135" cy="64135"/>
                        <wp:docPr name="Picture" id="33"/>
                        <a:graphic>
                          <a:graphicData uri="http://schemas.openxmlformats.org/drawingml/2006/picture">
                            <pic:pic>
                              <pic:nvPicPr>
                                <pic:cNvPr id="33" name="Picture"/>
                                <pic:cNvPicPr preferRelativeResize="false"/>
                              </pic:nvPicPr>
                              <pic:blipFill>
                                <a:blip r:embed="prId33"/>
                                <a:stretch>
                                  <a:fillRect/>
                                </a:stretch>
                              </pic:blipFill>
                              <pic:spPr>
                                <a:xfrm>
                                  <a:off x="0" y="0"/>
                                  <a:ext cx="64135" cy="64135"/>
                                </a:xfrm>
                                <a:prstGeom prst="rect"/>
                              </pic:spPr>
                            </pic:pic>
                          </a:graphicData>
                        </a:graphic>
                      </wp:inline>
                    </w:drawing>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30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32" w:after="0" w:line="20" w:lineRule="exact"/>
      </w:pPr>
      <w:r>
        <w:pict>
          <v:line strokeweight="1.7pt" strokecolor="#145F82" from="0pt,62.9pt" to="612.05pt,62.9pt" style="position:absolute;mso-position-horizontal-relative:page;mso-position-vertical-relative:page;">
            <v:stroke dashstyle="solid"/>
          </v:line>
        </w:pict>
      </w:r>
    </w:p>
    <w:tbl>
      <w:tblPr>
        <w:jc w:val="left"/>
        <w:tblLayout w:type="fixed"/>
        <w:tblCellMar>
          <w:left w:w="0" w:type="dxa"/>
          <w:right w:w="0" w:type="dxa"/>
        </w:tblCellMar>
      </w:tblPr>
      <w:tblGrid>
        <w:gridCol w:w="5918"/>
        <w:gridCol w:w="6322"/>
      </w:tblGrid>
      <w:tr>
        <w:trPr>
          <w:trHeight w:val="769" w:hRule="exact"/>
        </w:trPr>
        <w:tc>
          <w:tcPr>
            <w:tcW w:w="5918" w:type="dxa"/>
            <w:vMerge w:val="restart"/>
            <w:tcBorders>
              <w:top w:val="none"/>
              <w:left w:val="none"/>
              <w:bottom w:val="none"/>
              <w:right w:val="none"/>
            </w:tcBorders>
            <w:textDirection w:val="lrTb"/>
            <w:vAlign w:val="top"/>
          </w:tcPr>
          <w:p>
            <w:pPr>
              <w:spacing w:before="0" w:after="0" w:line="198" w:lineRule="exact"/>
              <w:ind w:right="0" w:left="1440" w:firstLine="0"/>
              <w:jc w:val="left"/>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Transportation</w:t>
            </w:r>
          </w:p>
          <w:p>
            <w:pPr>
              <w:spacing w:before="166" w:after="0" w:line="289" w:lineRule="exact"/>
              <w:ind w:right="216"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Rural residents lack equitable access to transportation. Low population density often makes public transportation implausible. Access to a personal vehicle can affect an individual’s health and wellness in many ways. Unreliable, inconsistent or inconvenient transportation can cause a strain on the ability to access health care services, purchase food and other items, and maintain a job. These can result in, poor health outcomes, and decreased economic stability.</w:t>
            </w:r>
          </w:p>
          <w:p>
            <w:pPr>
              <w:spacing w:before="166" w:after="0" w:line="289" w:lineRule="exact"/>
              <w:ind w:right="396"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Figure 15 shows the proportion of households in each Finger Lakes county that do not have access to a vehicle. Yates County’s higher percentage is largely due to the Amish and Mennonite communities, who typically use horse-and-buggy travel rather than motor vehicles. This is particularly evident in Map 2.</w:t>
            </w:r>
          </w:p>
          <w:p>
            <w:pPr>
              <w:spacing w:before="559" w:after="0" w:line="180" w:lineRule="exact"/>
              <w:ind w:right="301" w:left="0" w:firstLine="0"/>
              <w:jc w:val="right"/>
              <w:textAlignment w:val="baseline"/>
              <w:rPr>
                <w:rFonts w:ascii="Calibri" w:hAnsi="Calibri" w:eastAsia="Calibri"/>
                <w:i w:val="true"/>
                <w:color w:val="0D2941"/>
                <w:spacing w:val="0"/>
                <w:w w:val="100"/>
                <w:sz w:val="18"/>
                <w:vertAlign w:val="baseline"/>
                <w:lang w:val="en-US"/>
              </w:rPr>
            </w:pPr>
            <w:r>
              <w:rPr>
                <w:rFonts w:ascii="Calibri" w:hAnsi="Calibri" w:eastAsia="Calibri"/>
                <w:i w:val="true"/>
                <w:color w:val="0D2941"/>
                <w:spacing w:val="0"/>
                <w:w w:val="100"/>
                <w:sz w:val="18"/>
                <w:vertAlign w:val="baseline"/>
                <w:lang w:val="en-US"/>
              </w:rPr>
              <w:t xml:space="preserve">Figure 15: Percent of Households with No Vehicle Access</w:t>
            </w:r>
          </w:p>
        </w:tc>
        <w:tc>
          <w:tcPr>
            <w:tcW w:w="6322" w:type="dxa"/>
            <w:tcBorders>
              <w:top w:val="none"/>
              <w:left w:val="none"/>
              <w:bottom w:val="none"/>
              <w:right w:val="none"/>
            </w:tcBorders>
            <w:textDirection w:val="lrTb"/>
            <w:vAlign w:val="top"/>
          </w:tcPr>
          <w:p>
            <w:pPr>
              <w:spacing w:before="431" w:after="158" w:line="179" w:lineRule="exact"/>
              <w:ind w:right="2755" w:left="0" w:firstLine="0"/>
              <w:jc w:val="right"/>
              <w:textAlignment w:val="baseline"/>
              <w:rPr>
                <w:rFonts w:ascii="Calibri" w:hAnsi="Calibri" w:eastAsia="Calibri"/>
                <w:i w:val="true"/>
                <w:color w:val="0D2941"/>
                <w:spacing w:val="-3"/>
                <w:w w:val="100"/>
                <w:sz w:val="18"/>
                <w:vertAlign w:val="baseline"/>
                <w:lang w:val="en-US"/>
              </w:rPr>
            </w:pPr>
            <w:r>
              <w:rPr>
                <w:rFonts w:ascii="Calibri" w:hAnsi="Calibri" w:eastAsia="Calibri"/>
                <w:i w:val="true"/>
                <w:color w:val="0D2941"/>
                <w:spacing w:val="-3"/>
                <w:w w:val="100"/>
                <w:sz w:val="18"/>
                <w:vertAlign w:val="baseline"/>
                <w:lang w:val="en-US"/>
              </w:rPr>
              <w:t xml:space="preserve">Map 2: Households without a Vehicle by Zip Code</w:t>
            </w:r>
          </w:p>
        </w:tc>
      </w:tr>
      <w:tr>
        <w:trPr>
          <w:trHeight w:val="5707" w:hRule="exact"/>
        </w:trPr>
        <w:tc>
          <w:tcPr>
            <w:tcW w:w="5918" w:type="dxa"/>
            <w:vMerge w:val="continue"/>
            <w:tcBorders>
              <w:top w:val="none"/>
              <w:left w:val="none"/>
              <w:bottom w:val="none"/>
              <w:right w:val="none"/>
            </w:tcBorders>
            <w:textDirection w:val="lrTb"/>
            <w:vAlign w:val="top"/>
          </w:tcPr>
          <w:p/>
        </w:tc>
        <w:tc>
          <w:tcPr>
            <w:tcW w:w="6322" w:type="dxa"/>
            <w:tcBorders>
              <w:top w:val="none"/>
              <w:left w:val="none"/>
              <w:bottom w:val="none"/>
              <w:right w:val="none"/>
            </w:tcBorders>
            <w:textDirection w:val="lrTb"/>
            <w:vAlign w:val="top"/>
          </w:tcPr>
          <w:p>
            <w:pPr>
              <w:spacing w:before="0" w:after="0" w:line="240" w:lineRule="auto"/>
              <w:ind w:right="677" w:left="475"/>
              <w:jc w:val="left"/>
              <w:textAlignment w:val="baseline"/>
            </w:pPr>
            <w:r>
              <w:drawing>
                <wp:inline>
                  <wp:extent cx="3273425" cy="3434715"/>
                  <wp:docPr name="Picture" id="34"/>
                  <a:graphic>
                    <a:graphicData uri="http://schemas.openxmlformats.org/drawingml/2006/picture">
                      <pic:pic>
                        <pic:nvPicPr>
                          <pic:cNvPr id="34" name="Picture"/>
                          <pic:cNvPicPr preferRelativeResize="false"/>
                        </pic:nvPicPr>
                        <pic:blipFill>
                          <a:blip r:embed="prId34"/>
                          <a:stretch>
                            <a:fillRect/>
                          </a:stretch>
                        </pic:blipFill>
                        <pic:spPr>
                          <a:xfrm>
                            <a:off x="0" y="0"/>
                            <a:ext cx="3273425" cy="3434715"/>
                          </a:xfrm>
                          <a:prstGeom prst="rect"/>
                        </pic:spPr>
                      </pic:pic>
                    </a:graphicData>
                  </a:graphic>
                </wp:inline>
              </w:drawing>
            </w:r>
          </w:p>
        </w:tc>
      </w:tr>
    </w:tbl>
    <w:p>
      <w:pPr>
        <w:spacing w:before="0" w:after="148" w:line="20" w:lineRule="exact"/>
      </w:pPr>
    </w:p>
    <w:p>
      <w:pPr>
        <w:spacing w:before="20" w:after="0" w:line="179" w:lineRule="exact"/>
        <w:ind w:right="0" w:left="1440" w:firstLine="0"/>
        <w:jc w:val="left"/>
        <w:textAlignment w:val="baseline"/>
        <w:rPr>
          <w:rFonts w:ascii="Calibri" w:hAnsi="Calibri" w:eastAsia="Calibri"/>
          <w:i w:val="true"/>
          <w:color w:val="0D2941"/>
          <w:spacing w:val="0"/>
          <w:w w:val="100"/>
          <w:sz w:val="18"/>
          <w:vertAlign w:val="baseline"/>
          <w:lang w:val="en-US"/>
        </w:rPr>
      </w:pPr>
      <w:r>
        <w:pict>
          <v:shapetype id="_x0000_t135" coordsize="21600,21600" o:spt="202" path="m,l,21600r21600,l21600,xe">
            <v:stroke joinstyle="miter"/>
            <v:path gradientshapeok="t" o:connecttype="rect"/>
          </v:shapetype>
          <v:shape id="_x0000_s134" type="#_x0000_t135" filled="f" stroked="f" style="position:absolute;width:480.7pt;height:195.65pt;z-index:-1;margin-left:76.1pt;margin-top:406.8pt;mso-wrap-distance-left:76.1pt;mso-wrap-distance-right:55.2pt;mso-position-horizontal-relative:page;mso-position-vertical-relative:page">
            <w10:wrap type="square"/>
            <v:fill opacity="1" o:opacity2="1" recolor="f" rotate="f" type="solid"/>
            <v:textbox inset="0pt, 0pt, 0pt, 0pt">
              <w:txbxContent>
                <w:p>
                  <w:pPr>
                    <w:pBdr>
                      <w:top w:sz="5" w:space="0" w:color="D8D8D8" w:val="single"/>
                      <w:left w:sz="5" w:space="76" w:color="D8D8D8" w:val="single"/>
                      <w:bottom w:sz="5" w:space="0" w:color="D8D8D8" w:val="single"/>
                      <w:right w:sz="5" w:space="55" w:color="D8D8D8" w:val="single"/>
                    </w:pBdr>
                  </w:pPr>
                </w:p>
              </w:txbxContent>
            </v:textbox>
          </v:shape>
        </w:pict>
      </w:r>
      <w:r>
        <w:pict>
          <v:shapetype id="_x0000_t136" coordsize="21600,21600" o:spt="202" path="m,l,21600r21600,l21600,xe">
            <v:stroke joinstyle="miter"/>
            <v:path gradientshapeok="t" o:connecttype="rect"/>
          </v:shapetype>
          <v:shape id="_x0000_s135" type="#_x0000_t136" fillcolor="#145F82" stroked="f" style="position:absolute;width:17.5pt;height:81.35pt;z-index:-1;margin-left:342pt;margin-top:492.25pt;mso-wrap-distance-left:0pt;mso-wrap-distance-right:0pt;mso-position-horizontal-relative:page;mso-position-vertical-relative:page">
            <w10:wrap type="square"/>
            <v:textbox inset="0pt, 0pt, 0pt, 0pt">
              <w:txbxContent/>
            </v:textbox>
          </v:shape>
        </w:pict>
      </w:r>
      <w:r>
        <w:pict>
          <v:shapetype id="_x0000_t137" coordsize="21600,21600" o:spt="202" path="m,l,21600r21600,l21600,xe">
            <v:stroke joinstyle="miter"/>
            <v:path gradientshapeok="t" o:connecttype="rect"/>
          </v:shapetype>
          <v:shape id="_x0000_s136" type="#_x0000_t137" fillcolor="#145F82" stroked="f" style="position:absolute;width:17.75pt;height:91.45pt;z-index:-1;margin-left:397.45pt;margin-top:482.15pt;mso-wrap-distance-bottom:3.85pt;mso-wrap-distance-left:37.95pt;mso-wrap-distance-right:0pt;mso-position-horizontal-relative:page;mso-position-vertical-relative:page">
            <w10:wrap type="square"/>
            <v:textbox inset="0pt, 0pt, 0pt, 0pt">
              <w:txbxContent/>
            </v:textbox>
          </v:shape>
        </w:pict>
      </w:r>
      <w:r>
        <w:pict>
          <v:shapetype id="_x0000_t138" coordsize="21600,21600" o:spt="202" path="m,l,21600r21600,l21600,xe">
            <v:stroke joinstyle="miter"/>
            <v:path gradientshapeok="t" o:connecttype="rect"/>
          </v:shapetype>
          <v:shape id="_x0000_s137" type="#_x0000_t138" fillcolor="#145F82" stroked="f" style="position:absolute;width:17.8pt;height:64.55pt;z-index:-1;margin-left:453.1pt;margin-top:509.05pt;mso-wrap-distance-left:0pt;mso-wrap-distance-right:0pt;mso-position-horizontal-relative:page;mso-position-vertical-relative:page">
            <w10:wrap type="square"/>
            <v:textbox inset="0pt, 0pt, 0pt, 0pt">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477.3pt;height:46.55pt;z-index:-1;margin-left:77.8pt;margin-top:406.8pt;mso-wrap-distance-left:0pt;mso-wrap-distance-right:0pt;mso-position-horizontal-relative:page;mso-position-vertical-relative:page">
            <w10:wrap type="square" side="both"/>
            <v:fill opacity="1" o:opacity2="1" recolor="f" rotate="f" type="solid"/>
            <v:textbox inset="0pt, 0pt, 0pt, 0pt">
              <w:txbxContent>
                <w:p>
                  <w:pPr>
                    <w:spacing w:before="198" w:after="0" w:line="282" w:lineRule="exact"/>
                    <w:ind w:right="0" w:left="0" w:firstLine="0"/>
                    <w:jc w:val="center"/>
                    <w:textAlignment w:val="baseline"/>
                    <w:rPr>
                      <w:rFonts w:ascii="Calibri" w:hAnsi="Calibri" w:eastAsia="Calibri"/>
                      <w:color w:val="585858"/>
                      <w:spacing w:val="-2"/>
                      <w:w w:val="100"/>
                      <w:sz w:val="28"/>
                      <w:vertAlign w:val="baseline"/>
                      <w:lang w:val="en-US"/>
                    </w:rPr>
                  </w:pPr>
                  <w:r>
                    <w:rPr>
                      <w:rFonts w:ascii="Calibri" w:hAnsi="Calibri" w:eastAsia="Calibri"/>
                      <w:color w:val="585858"/>
                      <w:spacing w:val="-2"/>
                      <w:w w:val="100"/>
                      <w:sz w:val="28"/>
                      <w:vertAlign w:val="baseline"/>
                      <w:lang w:val="en-US"/>
                    </w:rPr>
                    <w:t xml:space="preserve">No Vehicle Access (2023)</w:t>
                  </w:r>
                </w:p>
                <w:p>
                  <w:pPr>
                    <w:tabs>
                      <w:tab w:val="left" w:leader="none" w:pos="8712"/>
                    </w:tabs>
                    <w:spacing w:before="149" w:after="93" w:line="19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14	</w:t>
                  </w:r>
                  <w:r>
                    <w:rPr>
                      <w:rFonts w:ascii="Calibri" w:hAnsi="Calibri" w:eastAsia="Calibri"/>
                      <w:color w:val="000000"/>
                      <w:spacing w:val="0"/>
                      <w:w w:val="100"/>
                      <w:sz w:val="18"/>
                      <w:u w:val="single"/>
                      <w:vertAlign w:val="baseline"/>
                      <w:lang w:val="en-US"/>
                    </w:rPr>
                    <w:t xml:space="preserve">13</w:t>
                  </w:r>
                  <w:r>
                    <w:rPr>
                      <w:rFonts w:ascii="Calibri" w:hAnsi="Calibri" w:eastAsia="Calibri"/>
                      <w:color w:val="000000"/>
                      <w:spacing w:val="0"/>
                      <w:w w:val="100"/>
                      <w:sz w:val="18"/>
                      <w:vertAlign w:val="baseline"/>
                      <w:lang w:val="en-US"/>
                    </w:rPr>
                    <w:t xml:space="preserve">
</w:t>
                  </w:r>
                </w:p>
              </w:txbxContent>
            </v:textbox>
          </v:shape>
        </w:pict>
      </w:r>
      <w:r>
        <w:pict>
          <v:shapetype id="_x0000_t140" coordsize="21600,21600" o:spt="202" path="m,l,21600r21600,l21600,xe">
            <v:stroke joinstyle="miter"/>
            <v:path gradientshapeok="t" o:connecttype="rect"/>
          </v:shapetype>
          <v:shape id="_x0000_s139" type="#_x0000_t140" filled="f" stroked="f" style="position:absolute;width:477.3pt;height:21.6pt;z-index:-1;margin-left:77.8pt;margin-top:579.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00"/>
                      <w:tab w:val="left" w:leader="none" w:pos="2952"/>
                      <w:tab w:val="left" w:leader="none" w:pos="4032"/>
                      <w:tab w:val="left" w:leader="none" w:pos="5184"/>
                      <w:tab w:val="left" w:leader="none" w:pos="6264"/>
                      <w:tab w:val="left" w:leader="none" w:pos="7416"/>
                      <w:tab w:val="left" w:leader="none" w:pos="8640"/>
                    </w:tabs>
                    <w:spacing w:before="20" w:after="226" w:line="179" w:lineRule="exact"/>
                    <w:ind w:right="0" w:left="648"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46.3pt;height:124.1pt;z-index:-999;margin-left:508.8pt;margin-top:453.35pt;mso-wrap-distance-left:0pt;mso-wrap-distance-right:0pt;mso-position-horizontal-relative:page;mso-position-vertical-relative:page">
            <v:fill opacity="1" o:opacity2="1" recolor="f" rotate="f" type="solid"/>
            <v:textbox inset="0pt, 0pt, 0pt, 0pt">
              <w:txbxContent>
                <w:p>
                  <w:pPr>
                    <w:spacing w:before="0" w:after="77" w:line="240" w:lineRule="auto"/>
                    <w:ind w:right="192" w:left="0"/>
                    <w:jc w:val="left"/>
                    <w:textAlignment w:val="baseline"/>
                  </w:pPr>
                  <w:r>
                    <w:drawing>
                      <wp:inline>
                        <wp:extent cx="466090" cy="1527175"/>
                        <wp:docPr name="Picture" id="35"/>
                        <a:graphic>
                          <a:graphicData uri="http://schemas.openxmlformats.org/drawingml/2006/picture">
                            <pic:pic>
                              <pic:nvPicPr>
                                <pic:cNvPr id="35" name="Picture"/>
                                <pic:cNvPicPr preferRelativeResize="false"/>
                              </pic:nvPicPr>
                              <pic:blipFill>
                                <a:blip r:embed="prId35"/>
                                <a:stretch>
                                  <a:fillRect/>
                                </a:stretch>
                              </pic:blipFill>
                              <pic:spPr>
                                <a:xfrm>
                                  <a:off x="0" y="0"/>
                                  <a:ext cx="466090" cy="1527175"/>
                                </a:xfrm>
                                <a:prstGeom prst="rect"/>
                              </pic:spPr>
                            </pic:pic>
                          </a:graphicData>
                        </a:graphic>
                      </wp:inline>
                    </w:drawing>
                  </w:r>
                </w:p>
              </w:txbxContent>
            </v:textbox>
          </v:shape>
        </w:pict>
      </w:r>
      <w:r>
        <w:pict>
          <v:shapetype id="_x0000_t142" coordsize="21600,21600" o:spt="202" path="m,l,21600r21600,l21600,xe">
            <v:stroke joinstyle="miter"/>
            <v:path gradientshapeok="t" o:connecttype="rect"/>
          </v:shapetype>
          <v:shape id="_x0000_s141" type="#_x0000_t142" filled="f" stroked="f" style="position:absolute;width:268.05pt;height:15.05pt;z-index:-1;margin-left:77.8pt;margin-top:470pt;mso-wrap-distance-left:0pt;mso-wrap-distance-right:0pt;mso-position-horizontal-relative:page;mso-position-vertical-relative:page">
            <w10:wrap type="square" side="both"/>
            <v:fill opacity="1" o:opacity2="1" recolor="f" rotate="f" type="solid"/>
            <v:textbox inset="0pt, 0pt, 0pt, 0pt">
              <w:txbxContent>
                <w:p>
                  <w:pPr>
                    <w:spacing w:before="20" w:after="0" w:line="147" w:lineRule="exact"/>
                    <w:ind w:right="0" w:left="792" w:firstLine="0"/>
                    <w:jc w:val="left"/>
                    <w:textAlignment w:val="baseline"/>
                    <w:rPr>
                      <w:rFonts w:ascii="Calibri" w:hAnsi="Calibri" w:eastAsia="Calibri"/>
                      <w:color w:val="000000"/>
                      <w:spacing w:val="0"/>
                      <w:w w:val="100"/>
                      <w:sz w:val="18"/>
                      <w:vertAlign w:val="baseline"/>
                      <w:lang w:val="en-US"/>
                    </w:rPr>
                  </w:pPr>
                  <w:r>
                    <w:rPr>
                      <w:rFonts w:ascii="Calibri" w:hAnsi="Calibri" w:eastAsia="Calibri"/>
                      <w:color w:val="000000"/>
                      <w:spacing w:val="0"/>
                      <w:w w:val="100"/>
                      <w:sz w:val="18"/>
                      <w:vertAlign w:val="baseline"/>
                      <w:lang w:val="en-US"/>
                    </w:rPr>
                    <w:t xml:space="preserve">9.6</w:t>
                  </w:r>
                </w:p>
                <w:p>
                  <w:pPr>
                    <w:spacing w:before="0" w:after="0" w:line="12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txbxContent>
            </v:textbox>
          </v:shape>
        </w:pict>
      </w:r>
      <w:r>
        <w:pict>
          <v:shapetype id="_x0000_t143" coordsize="21600,21600" o:spt="202" path="m,l,21600r21600,l21600,xe">
            <v:stroke joinstyle="miter"/>
            <v:path gradientshapeok="t" o:connecttype="rect"/>
          </v:shapetype>
          <v:shape id="_x0000_s142" type="#_x0000_t143" filled="f" stroked="f" style="position:absolute;width:264.2pt;height:92.4pt;z-index:-1;margin-left:77.8pt;margin-top:485.0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50"/>
                    <w:gridCol w:w="735"/>
                    <w:gridCol w:w="757"/>
                    <w:gridCol w:w="352"/>
                    <w:gridCol w:w="762"/>
                    <w:gridCol w:w="351"/>
                    <w:gridCol w:w="762"/>
                    <w:gridCol w:w="352"/>
                    <w:gridCol w:w="763"/>
                  </w:tblGrid>
                  <w:tr>
                    <w:trPr>
                      <w:trHeight w:val="293" w:hRule="exact"/>
                    </w:trPr>
                    <w:tc>
                      <w:tcPr>
                        <w:tcW w:w="450" w:type="dxa"/>
                        <w:vMerge w:val="restart"/>
                        <w:tcBorders>
                          <w:top w:val="none"/>
                          <w:left w:val="none"/>
                          <w:bottom w:val="none"/>
                          <w:right w:val="none"/>
                        </w:tcBorders>
                        <w:textDirection w:val="lrTb"/>
                        <w:vAlign w:val="center"/>
                      </w:tcPr>
                      <w:p>
                        <w:pPr>
                          <w:spacing w:before="199" w:after="202" w:line="179"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w:t>
                        </w:r>
                      </w:p>
                    </w:tc>
                    <w:tc>
                      <w:tcPr>
                        <w:tcW w:w="735" w:type="dxa"/>
                        <w:vMerge w:val="restart"/>
                        <w:tcBorders>
                          <w:top w:val="none"/>
                          <w:left w:val="none"/>
                          <w:bottom w:val="none"/>
                          <w:right w:val="none"/>
                        </w:tcBorders>
                        <w:textDirection w:val="lrTb"/>
                        <w:vAlign w:val="top"/>
                      </w:tcPr>
                      <w:p>
                        <w:pPr>
                          <w:spacing w:before="0" w:after="5" w:line="240" w:lineRule="auto"/>
                          <w:ind w:right="0" w:left="0"/>
                          <w:jc w:val="center"/>
                          <w:textAlignment w:val="baseline"/>
                        </w:pPr>
                        <w:r>
                          <w:drawing>
                            <wp:inline>
                              <wp:extent cx="466725" cy="1124585"/>
                              <wp:docPr name="Picture" id="36"/>
                              <a:graphic>
                                <a:graphicData uri="http://schemas.openxmlformats.org/drawingml/2006/picture">
                                  <pic:pic>
                                    <pic:nvPicPr>
                                      <pic:cNvPr id="36" name="Picture"/>
                                      <pic:cNvPicPr preferRelativeResize="false"/>
                                    </pic:nvPicPr>
                                    <pic:blipFill>
                                      <a:blip r:embed="prId36"/>
                                      <a:stretch>
                                        <a:fillRect/>
                                      </a:stretch>
                                    </pic:blipFill>
                                    <pic:spPr>
                                      <a:xfrm>
                                        <a:off x="0" y="0"/>
                                        <a:ext cx="466725" cy="1124585"/>
                                      </a:xfrm>
                                      <a:prstGeom prst="rect"/>
                                    </pic:spPr>
                                  </pic:pic>
                                </a:graphicData>
                              </a:graphic>
                            </wp:inline>
                          </w:drawing>
                        </w:r>
                      </w:p>
                    </w:tc>
                    <w:tc>
                      <w:tcPr>
                        <w:tcW w:w="757" w:type="dxa"/>
                        <w:tcBorders>
                          <w:top w:val="none"/>
                          <w:left w:val="none"/>
                          <w:bottom w:val="single" w:sz="5" w:color="D8D8D8"/>
                          <w:right w:val="none"/>
                        </w:tcBorders>
                        <w:textDirection w:val="lrTb"/>
                        <w:vAlign w:val="top"/>
                      </w:tcPr>
                      <w:p/>
                    </w:tc>
                    <w:tc>
                      <w:tcPr>
                        <w:tcW w:w="352" w:type="dxa"/>
                        <w:tcBorders>
                          <w:top w:val="none"/>
                          <w:left w:val="none"/>
                          <w:bottom w:val="single" w:sz="5" w:color="D8D8D8"/>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1" w:type="dxa"/>
                        <w:tcBorders>
                          <w:top w:val="none"/>
                          <w:left w:val="none"/>
                          <w:bottom w:val="single" w:sz="5" w:color="D8D8D8"/>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2" w:type="dxa"/>
                        <w:tcBorders>
                          <w:top w:val="none"/>
                          <w:left w:val="none"/>
                          <w:bottom w:val="single" w:sz="5" w:color="D8D8D8"/>
                          <w:right w:val="none"/>
                        </w:tcBorders>
                        <w:textDirection w:val="lrTb"/>
                        <w:vAlign w:val="top"/>
                      </w:tcPr>
                      <w:p/>
                    </w:tc>
                    <w:tc>
                      <w:tcPr>
                        <w:tcW w:w="763" w:type="dxa"/>
                        <w:tcBorders>
                          <w:top w:val="none"/>
                          <w:left w:val="none"/>
                          <w:bottom w:val="single" w:sz="5" w:color="D8D8D8"/>
                          <w:right w:val="none"/>
                        </w:tcBorders>
                        <w:textDirection w:val="lrTb"/>
                        <w:vAlign w:val="top"/>
                      </w:tcPr>
                      <w:p/>
                    </w:tc>
                  </w:tr>
                  <w:tr>
                    <w:trPr>
                      <w:trHeight w:val="297" w:hRule="exact"/>
                    </w:trPr>
                    <w:tc>
                      <w:tcPr>
                        <w:tcW w:w="450" w:type="dxa"/>
                        <w:vMerge w:val="continue"/>
                        <w:tcBorders>
                          <w:top w:val="none"/>
                          <w:left w:val="none"/>
                          <w:bottom w:val="none"/>
                          <w:right w:val="none"/>
                        </w:tcBorders>
                        <w:textDirection w:val="lrTb"/>
                        <w:vAlign w:val="center"/>
                      </w:tcPr>
                      <w:p/>
                    </w:tc>
                    <w:tc>
                      <w:tcPr>
                        <w:tcW w:w="735" w:type="dxa"/>
                        <w:vMerge w:val="continue"/>
                        <w:tcBorders>
                          <w:top w:val="none"/>
                          <w:left w:val="none"/>
                          <w:bottom w:val="none"/>
                          <w:right w:val="none"/>
                        </w:tcBorders>
                        <w:textDirection w:val="lrTb"/>
                        <w:vAlign w:val="top"/>
                      </w:tcPr>
                      <w:p/>
                    </w:tc>
                    <w:tc>
                      <w:tcPr>
                        <w:tcW w:w="757" w:type="dxa"/>
                        <w:tcBorders>
                          <w:top w:val="single" w:sz="5" w:color="D8D8D8"/>
                          <w:left w:val="none"/>
                          <w:bottom w:val="none"/>
                          <w:right w:val="none"/>
                        </w:tcBorders>
                        <w:textDirection w:val="lrTb"/>
                        <w:vAlign w:val="top"/>
                      </w:tcPr>
                      <w:p/>
                    </w:tc>
                    <w:tc>
                      <w:tcPr>
                        <w:tcW w:w="2579" w:type="dxa"/>
                        <w:gridSpan w:val="5"/>
                        <w:tcBorders>
                          <w:top w:val="single" w:sz="5" w:color="D8D8D8"/>
                          <w:left w:val="none"/>
                          <w:bottom w:val="none"/>
                          <w:right w:val="none"/>
                        </w:tcBorders>
                        <w:textDirection w:val="lrTb"/>
                        <w:vAlign w:val="top"/>
                      </w:tcPr>
                      <w:p>
                        <w:pPr>
                          <w:spacing w:before="0" w:after="0" w:line="117" w:lineRule="exact"/>
                          <w:ind w:right="0" w:left="0" w:firstLine="0"/>
                          <w:jc w:val="center"/>
                          <w:textAlignment w:val="baseline"/>
                          <w:rPr>
                            <w:rFonts w:ascii="Calibri" w:hAnsi="Calibri" w:eastAsia="Calibri"/>
                            <w:color w:val="000000"/>
                            <w:spacing w:val="0"/>
                            <w:w w:val="100"/>
                            <w:sz w:val="18"/>
                            <w:vertAlign w:val="baseline"/>
                            <w:lang w:val="en-US"/>
                          </w:rPr>
                        </w:pPr>
                        <w:r>
                          <w:rPr>
                            <w:rFonts w:ascii="Calibri" w:hAnsi="Calibri" w:eastAsia="Calibri"/>
                            <w:color w:val="000000"/>
                            <w:spacing w:val="0"/>
                            <w:w w:val="100"/>
                            <w:sz w:val="18"/>
                            <w:vertAlign w:val="baseline"/>
                            <w:lang w:val="en-US"/>
                          </w:rPr>
                          <w:t xml:space="preserve">6.4</w:t>
                        </w:r>
                      </w:p>
                      <w:p>
                        <w:pPr>
                          <w:tabs>
                            <w:tab w:val="right" w:leader="none" w:pos="2520"/>
                          </w:tabs>
                          <w:spacing w:before="0" w:after="28" w:line="125" w:lineRule="exact"/>
                          <w:ind w:right="0" w:left="0" w:firstLine="0"/>
                          <w:jc w:val="center"/>
                          <w:textAlignment w:val="baseline"/>
                          <w:rPr>
                            <w:rFonts w:ascii="Calibri" w:hAnsi="Calibri" w:eastAsia="Calibri"/>
                            <w:color w:val="000000"/>
                            <w:spacing w:val="0"/>
                            <w:w w:val="100"/>
                            <w:sz w:val="18"/>
                            <w:vertAlign w:val="baseline"/>
                            <w:lang w:val="en-US"/>
                          </w:rPr>
                        </w:pPr>
                        <w:r>
                          <w:rPr>
                            <w:rFonts w:ascii="Calibri" w:hAnsi="Calibri" w:eastAsia="Calibri"/>
                            <w:color w:val="000000"/>
                            <w:spacing w:val="0"/>
                            <w:w w:val="100"/>
                            <w:sz w:val="18"/>
                            <w:vertAlign w:val="baseline"/>
                            <w:lang w:val="en-US"/>
                          </w:rPr>
                          <w:t xml:space="preserve">5.9	</w:t>
                        </w:r>
                        <w:r>
                          <w:rPr>
                            <w:rFonts w:ascii="Calibri" w:hAnsi="Calibri" w:eastAsia="Calibri"/>
                            <w:color w:val="000000"/>
                            <w:spacing w:val="0"/>
                            <w:w w:val="100"/>
                            <w:sz w:val="18"/>
                            <w:vertAlign w:val="baseline"/>
                            <w:lang w:val="en-US"/>
                          </w:rPr>
                          <w:t xml:space="preserve">6.3</w:t>
                        </w:r>
                      </w:p>
                    </w:tc>
                    <w:tc>
                      <w:tcPr>
                        <w:tcW w:w="763" w:type="dxa"/>
                        <w:tcBorders>
                          <w:top w:val="single" w:sz="5" w:color="D8D8D8"/>
                          <w:left w:val="none"/>
                          <w:bottom w:val="none"/>
                          <w:right w:val="none"/>
                        </w:tcBorders>
                        <w:textDirection w:val="lrTb"/>
                        <w:vAlign w:val="top"/>
                      </w:tcPr>
                      <w:p/>
                    </w:tc>
                  </w:tr>
                  <w:tr>
                    <w:trPr>
                      <w:trHeight w:val="19" w:hRule="exact"/>
                    </w:trPr>
                    <w:tc>
                      <w:tcPr>
                        <w:tcW w:w="450" w:type="dxa"/>
                        <w:tcBorders>
                          <w:top w:val="none"/>
                          <w:left w:val="none"/>
                          <w:bottom w:val="none"/>
                          <w:right w:val="none"/>
                        </w:tcBorders>
                        <w:textDirection w:val="lrTb"/>
                        <w:vAlign w:val="top"/>
                      </w:tcPr>
                      <w:p/>
                    </w:tc>
                    <w:tc>
                      <w:tcPr>
                        <w:tcW w:w="735" w:type="dxa"/>
                        <w:vMerge w:val="continue"/>
                        <w:tcBorders>
                          <w:top w:val="none"/>
                          <w:left w:val="none"/>
                          <w:bottom w:val="none"/>
                          <w:right w:val="none"/>
                        </w:tcBorders>
                        <w:textDirection w:val="lrTb"/>
                        <w:vAlign w:val="top"/>
                      </w:tcPr>
                      <w:p/>
                    </w:tc>
                    <w:tc>
                      <w:tcPr>
                        <w:tcW w:w="757" w:type="dxa"/>
                        <w:tcBorders>
                          <w:top w:val="none"/>
                          <w:left w:val="none"/>
                          <w:bottom w:val="none"/>
                          <w:right w:val="none"/>
                        </w:tcBorders>
                        <w:textDirection w:val="lrTb"/>
                        <w:vAlign w:val="top"/>
                      </w:tcPr>
                      <w:p/>
                    </w:tc>
                    <w:tc>
                      <w:tcPr>
                        <w:tcW w:w="352" w:type="dxa"/>
                        <w:tcBorders>
                          <w:top w:val="none"/>
                          <w:left w:val="none"/>
                          <w:bottom w:val="none"/>
                          <w:right w:val="none"/>
                        </w:tcBorders>
                        <w:textDirection w:val="lrTb"/>
                        <w:vAlign w:val="top"/>
                      </w:tcPr>
                      <w:p/>
                    </w:tc>
                    <w:tc>
                      <w:tcPr>
                        <w:tcW w:w="762" w:type="dxa"/>
                        <w:tcBorders>
                          <w:top w:val="none"/>
                          <w:left w:val="none"/>
                          <w:bottom w:val="none"/>
                          <w:right w:val="none"/>
                        </w:tcBorders>
                        <w:textDirection w:val="lrTb"/>
                        <w:vAlign w:val="top"/>
                      </w:tcPr>
                      <w:p/>
                    </w:tc>
                    <w:tc>
                      <w:tcPr>
                        <w:tcW w:w="351"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62" w:type="dxa"/>
                        <w:tcBorders>
                          <w:top w:val="none"/>
                          <w:left w:val="none"/>
                          <w:bottom w:val="none"/>
                          <w:right w:val="none"/>
                        </w:tcBorders>
                        <w:textDirection w:val="lrTb"/>
                        <w:vAlign w:val="top"/>
                      </w:tcPr>
                      <w:p/>
                    </w:tc>
                    <w:tc>
                      <w:tcPr>
                        <w:tcW w:w="352" w:type="dxa"/>
                        <w:tcBorders>
                          <w:top w:val="none"/>
                          <w:left w:val="none"/>
                          <w:bottom w:val="none"/>
                          <w:right w:val="none"/>
                        </w:tcBorders>
                        <w:textDirection w:val="lrTb"/>
                        <w:vAlign w:val="top"/>
                      </w:tcPr>
                      <w:p/>
                    </w:tc>
                    <w:tc>
                      <w:tcPr>
                        <w:tcW w:w="763" w:type="dxa"/>
                        <w:tcBorders>
                          <w:top w:val="none"/>
                          <w:left w:val="none"/>
                          <w:bottom w:val="none"/>
                          <w:right w:val="none"/>
                        </w:tcBorders>
                        <w:textDirection w:val="lrTb"/>
                        <w:vAlign w:val="top"/>
                      </w:tcPr>
                      <w:p/>
                    </w:tc>
                  </w:tr>
                  <w:tr>
                    <w:trPr>
                      <w:trHeight w:val="53" w:hRule="exact"/>
                    </w:trPr>
                    <w:tc>
                      <w:tcPr>
                        <w:tcW w:w="450" w:type="dxa"/>
                        <w:vMerge w:val="restart"/>
                        <w:tcBorders>
                          <w:top w:val="none"/>
                          <w:left w:val="none"/>
                          <w:bottom w:val="none"/>
                          <w:right w:val="none"/>
                        </w:tcBorders>
                        <w:textDirection w:val="lrTb"/>
                        <w:vAlign w:val="top"/>
                      </w:tcPr>
                      <w:p>
                        <w:pPr>
                          <w:spacing w:before="0" w:after="86" w:line="144"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w:t>
                        </w:r>
                      </w:p>
                    </w:tc>
                    <w:tc>
                      <w:tcPr>
                        <w:tcW w:w="735" w:type="dxa"/>
                        <w:vMerge w:val="continue"/>
                        <w:tcBorders>
                          <w:top w:val="none"/>
                          <w:left w:val="none"/>
                          <w:bottom w:val="none"/>
                          <w:right w:val="none"/>
                        </w:tcBorders>
                        <w:textDirection w:val="lrTb"/>
                        <w:vAlign w:val="top"/>
                      </w:tcPr>
                      <w:p/>
                    </w:tc>
                    <w:tc>
                      <w:tcPr>
                        <w:tcW w:w="757" w:type="dxa"/>
                        <w:tcBorders>
                          <w:top w:val="none"/>
                          <w:left w:val="none"/>
                          <w:bottom w:val="single" w:sz="5" w:color="D8D8D8"/>
                          <w:right w:val="none"/>
                        </w:tcBorders>
                        <w:textDirection w:val="lrTb"/>
                        <w:vAlign w:val="top"/>
                      </w:tcPr>
                      <w:p/>
                    </w:tc>
                    <w:tc>
                      <w:tcPr>
                        <w:tcW w:w="352" w:type="dxa"/>
                        <w:tcBorders>
                          <w:top w:val="none"/>
                          <w:left w:val="none"/>
                          <w:bottom w:val="single" w:sz="5" w:color="D8D8D8"/>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1" w:type="dxa"/>
                        <w:tcBorders>
                          <w:top w:val="none"/>
                          <w:left w:val="none"/>
                          <w:bottom w:val="none"/>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2"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63" w:type="dxa"/>
                        <w:tcBorders>
                          <w:top w:val="none"/>
                          <w:left w:val="none"/>
                          <w:bottom w:val="single" w:sz="5" w:color="D8D8D8"/>
                          <w:right w:val="none"/>
                        </w:tcBorders>
                        <w:textDirection w:val="lrTb"/>
                        <w:vAlign w:val="top"/>
                      </w:tcPr>
                      <w:p/>
                    </w:tc>
                  </w:tr>
                  <w:tr>
                    <w:trPr>
                      <w:trHeight w:val="19" w:hRule="exact"/>
                    </w:trPr>
                    <w:tc>
                      <w:tcPr>
                        <w:tcW w:w="450" w:type="dxa"/>
                        <w:vMerge w:val="continue"/>
                        <w:tcBorders>
                          <w:top w:val="none"/>
                          <w:left w:val="none"/>
                          <w:bottom w:val="none"/>
                          <w:right w:val="none"/>
                        </w:tcBorders>
                        <w:textDirection w:val="lrTb"/>
                        <w:vAlign w:val="top"/>
                      </w:tcPr>
                      <w:p/>
                    </w:tc>
                    <w:tc>
                      <w:tcPr>
                        <w:tcW w:w="735" w:type="dxa"/>
                        <w:vMerge w:val="continue"/>
                        <w:tcBorders>
                          <w:top w:val="none"/>
                          <w:left w:val="none"/>
                          <w:bottom w:val="none"/>
                          <w:right w:val="none"/>
                        </w:tcBorders>
                        <w:textDirection w:val="lrTb"/>
                        <w:vAlign w:val="top"/>
                      </w:tcPr>
                      <w:p/>
                    </w:tc>
                    <w:tc>
                      <w:tcPr>
                        <w:tcW w:w="757" w:type="dxa"/>
                        <w:tcBorders>
                          <w:top w:val="single" w:sz="5" w:color="D8D8D8"/>
                          <w:left w:val="none"/>
                          <w:bottom w:val="none"/>
                          <w:right w:val="none"/>
                        </w:tcBorders>
                        <w:textDirection w:val="lrTb"/>
                        <w:vAlign w:val="top"/>
                      </w:tcPr>
                      <w:p/>
                    </w:tc>
                    <w:tc>
                      <w:tcPr>
                        <w:tcW w:w="352" w:type="dxa"/>
                        <w:tcBorders>
                          <w:top w:val="single" w:sz="5" w:color="D8D8D8"/>
                          <w:left w:val="none"/>
                          <w:bottom w:val="none"/>
                          <w:right w:val="none"/>
                        </w:tcBorders>
                        <w:textDirection w:val="lrTb"/>
                        <w:vAlign w:val="top"/>
                      </w:tcPr>
                      <w:p/>
                    </w:tc>
                    <w:tc>
                      <w:tcPr>
                        <w:tcW w:w="762" w:type="dxa"/>
                        <w:tcBorders>
                          <w:top w:val="single" w:sz="5" w:color="D8D8D8"/>
                          <w:left w:val="none"/>
                          <w:bottom w:val="none"/>
                          <w:right w:val="none"/>
                        </w:tcBorders>
                        <w:textDirection w:val="lrTb"/>
                        <w:vAlign w:val="top"/>
                      </w:tcPr>
                      <w:p/>
                    </w:tc>
                    <w:tc>
                      <w:tcPr>
                        <w:tcW w:w="351" w:type="dxa"/>
                        <w:tcBorders>
                          <w:top w:val="none"/>
                          <w:left w:val="none"/>
                          <w:bottom w:val="none"/>
                          <w:right w:val="none"/>
                        </w:tcBorders>
                        <w:textDirection w:val="lrTb"/>
                        <w:vAlign w:val="top"/>
                      </w:tcPr>
                      <w:p/>
                    </w:tc>
                    <w:tc>
                      <w:tcPr>
                        <w:tcW w:w="762" w:type="dxa"/>
                        <w:tcBorders>
                          <w:top w:val="single" w:sz="5" w:color="D8D8D8"/>
                          <w:left w:val="none"/>
                          <w:bottom w:val="none"/>
                          <w:right w:val="none"/>
                        </w:tcBorders>
                        <w:textDirection w:val="lrTb"/>
                        <w:vAlign w:val="top"/>
                      </w:tcPr>
                      <w:p/>
                    </w:tc>
                    <w:tc>
                      <w:tcPr>
                        <w:tcW w:w="352" w:type="dxa"/>
                        <w:tcBorders>
                          <w:top w:val="none"/>
                          <w:left w:val="none"/>
                          <w:bottom w:val="none"/>
                          <w:right w:val="none"/>
                        </w:tcBorders>
                        <w:textDirection w:val="lrTb"/>
                        <w:vAlign w:val="top"/>
                      </w:tcPr>
                      <w:p/>
                    </w:tc>
                    <w:tc>
                      <w:tcPr>
                        <w:tcW w:w="763" w:type="dxa"/>
                        <w:tcBorders>
                          <w:top w:val="single" w:sz="5" w:color="D8D8D8"/>
                          <w:left w:val="none"/>
                          <w:bottom w:val="none"/>
                          <w:right w:val="none"/>
                        </w:tcBorders>
                        <w:textDirection w:val="lrTb"/>
                        <w:vAlign w:val="top"/>
                      </w:tcPr>
                      <w:p/>
                    </w:tc>
                  </w:tr>
                  <w:tr>
                    <w:trPr>
                      <w:trHeight w:val="173" w:hRule="exact"/>
                    </w:trPr>
                    <w:tc>
                      <w:tcPr>
                        <w:tcW w:w="450" w:type="dxa"/>
                        <w:vMerge w:val="continue"/>
                        <w:tcBorders>
                          <w:top w:val="none"/>
                          <w:left w:val="none"/>
                          <w:bottom w:val="none"/>
                          <w:right w:val="none"/>
                        </w:tcBorders>
                        <w:textDirection w:val="lrTb"/>
                        <w:vAlign w:val="top"/>
                      </w:tcPr>
                      <w:p/>
                    </w:tc>
                    <w:tc>
                      <w:tcPr>
                        <w:tcW w:w="735" w:type="dxa"/>
                        <w:vMerge w:val="continue"/>
                        <w:tcBorders>
                          <w:top w:val="none"/>
                          <w:left w:val="none"/>
                          <w:bottom w:val="none"/>
                          <w:right w:val="none"/>
                        </w:tcBorders>
                        <w:textDirection w:val="lrTb"/>
                        <w:vAlign w:val="top"/>
                      </w:tcPr>
                      <w:p/>
                    </w:tc>
                    <w:tc>
                      <w:tcPr>
                        <w:tcW w:w="757" w:type="dxa"/>
                        <w:tcBorders>
                          <w:top w:val="none"/>
                          <w:left w:val="none"/>
                          <w:bottom w:val="none"/>
                          <w:right w:val="none"/>
                        </w:tcBorders>
                        <w:textDirection w:val="lrTb"/>
                        <w:vAlign w:val="top"/>
                      </w:tcPr>
                      <w:p/>
                    </w:tc>
                    <w:tc>
                      <w:tcPr>
                        <w:tcW w:w="352"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62" w:type="dxa"/>
                        <w:tcBorders>
                          <w:top w:val="none"/>
                          <w:left w:val="none"/>
                          <w:bottom w:val="none"/>
                          <w:right w:val="none"/>
                        </w:tcBorders>
                        <w:textDirection w:val="lrTb"/>
                        <w:vAlign w:val="top"/>
                      </w:tcPr>
                      <w:p/>
                    </w:tc>
                    <w:tc>
                      <w:tcPr>
                        <w:tcW w:w="351" w:type="dxa"/>
                        <w:tcBorders>
                          <w:top w:val="none"/>
                          <w:left w:val="none"/>
                          <w:bottom w:val="none"/>
                          <w:right w:val="none"/>
                        </w:tcBorders>
                        <w:textDirection w:val="lrTb"/>
                        <w:vAlign w:val="top"/>
                      </w:tcPr>
                      <w:p/>
                    </w:tc>
                    <w:tc>
                      <w:tcPr>
                        <w:tcW w:w="762" w:type="dxa"/>
                        <w:tcBorders>
                          <w:top w:val="none"/>
                          <w:left w:val="none"/>
                          <w:bottom w:val="none"/>
                          <w:right w:val="none"/>
                        </w:tcBorders>
                        <w:textDirection w:val="lrTb"/>
                        <w:vAlign w:val="top"/>
                      </w:tcPr>
                      <w:p/>
                    </w:tc>
                    <w:tc>
                      <w:tcPr>
                        <w:tcW w:w="352" w:type="dxa"/>
                        <w:tcBorders>
                          <w:top w:val="none"/>
                          <w:left w:val="none"/>
                          <w:bottom w:val="none"/>
                          <w:right w:val="none"/>
                        </w:tcBorders>
                        <w:textDirection w:val="lrTb"/>
                        <w:vAlign w:val="top"/>
                      </w:tcPr>
                      <w:p/>
                    </w:tc>
                    <w:tc>
                      <w:tcPr>
                        <w:tcW w:w="763" w:type="dxa"/>
                        <w:tcBorders>
                          <w:top w:val="none"/>
                          <w:left w:val="none"/>
                          <w:bottom w:val="none"/>
                          <w:right w:val="none"/>
                        </w:tcBorders>
                        <w:textDirection w:val="lrTb"/>
                        <w:vAlign w:val="top"/>
                      </w:tcPr>
                      <w:p/>
                    </w:tc>
                  </w:tr>
                  <w:tr>
                    <w:trPr>
                      <w:trHeight w:val="183" w:hRule="exact"/>
                    </w:trPr>
                    <w:tc>
                      <w:tcPr>
                        <w:tcW w:w="450" w:type="dxa"/>
                        <w:vMerge w:val="restart"/>
                        <w:tcBorders>
                          <w:top w:val="none"/>
                          <w:left w:val="none"/>
                          <w:bottom w:val="none"/>
                          <w:right w:val="none"/>
                        </w:tcBorders>
                        <w:textDirection w:val="lrTb"/>
                        <w:vAlign w:val="top"/>
                      </w:tcPr>
                      <w:p>
                        <w:pPr>
                          <w:spacing w:before="89" w:after="0" w:line="179"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w:t>
                        </w:r>
                      </w:p>
                      <w:p>
                        <w:pPr>
                          <w:spacing w:before="191" w:after="96" w:line="179"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w:t>
                        </w:r>
                      </w:p>
                    </w:tc>
                    <w:tc>
                      <w:tcPr>
                        <w:tcW w:w="735" w:type="dxa"/>
                        <w:vMerge w:val="continue"/>
                        <w:tcBorders>
                          <w:top w:val="none"/>
                          <w:left w:val="none"/>
                          <w:bottom w:val="none"/>
                          <w:right w:val="none"/>
                        </w:tcBorders>
                        <w:textDirection w:val="lrTb"/>
                        <w:vAlign w:val="top"/>
                      </w:tcPr>
                      <w:p/>
                    </w:tc>
                    <w:tc>
                      <w:tcPr>
                        <w:tcW w:w="757" w:type="dxa"/>
                        <w:tcBorders>
                          <w:top w:val="none"/>
                          <w:left w:val="none"/>
                          <w:bottom w:val="single" w:sz="5" w:color="D8D8D8"/>
                          <w:right w:val="none"/>
                        </w:tcBorders>
                        <w:textDirection w:val="lrTb"/>
                        <w:vAlign w:val="top"/>
                      </w:tcPr>
                      <w:p/>
                    </w:tc>
                    <w:tc>
                      <w:tcPr>
                        <w:tcW w:w="352" w:type="dxa"/>
                        <w:tcBorders>
                          <w:top w:val="none"/>
                          <w:left w:val="none"/>
                          <w:bottom w:val="none"/>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1" w:type="dxa"/>
                        <w:tcBorders>
                          <w:top w:val="none"/>
                          <w:left w:val="none"/>
                          <w:bottom w:val="none"/>
                          <w:right w:val="none"/>
                        </w:tcBorders>
                        <w:textDirection w:val="lrTb"/>
                        <w:vAlign w:val="top"/>
                      </w:tcPr>
                      <w:p/>
                    </w:tc>
                    <w:tc>
                      <w:tcPr>
                        <w:tcW w:w="762" w:type="dxa"/>
                        <w:tcBorders>
                          <w:top w:val="none"/>
                          <w:left w:val="none"/>
                          <w:bottom w:val="single" w:sz="5" w:color="D8D8D8"/>
                          <w:right w:val="none"/>
                        </w:tcBorders>
                        <w:textDirection w:val="lrTb"/>
                        <w:vAlign w:val="top"/>
                      </w:tcPr>
                      <w:p/>
                    </w:tc>
                    <w:tc>
                      <w:tcPr>
                        <w:tcW w:w="352" w:type="dxa"/>
                        <w:tcBorders>
                          <w:top w:val="none"/>
                          <w:left w:val="none"/>
                          <w:bottom w:val="none"/>
                          <w:right w:val="none"/>
                        </w:tcBorders>
                        <w:textDirection w:val="lrTb"/>
                        <w:vAlign w:val="top"/>
                      </w:tcPr>
                      <w:p/>
                    </w:tc>
                    <w:tc>
                      <w:tcPr>
                        <w:tcW w:w="763" w:type="dxa"/>
                        <w:tcBorders>
                          <w:top w:val="none"/>
                          <w:left w:val="none"/>
                          <w:bottom w:val="single" w:sz="5" w:color="D8D8D8"/>
                          <w:right w:val="none"/>
                        </w:tcBorders>
                        <w:textDirection w:val="lrTb"/>
                        <w:vAlign w:val="top"/>
                      </w:tcPr>
                      <w:p/>
                    </w:tc>
                  </w:tr>
                  <w:tr>
                    <w:trPr>
                      <w:trHeight w:val="364" w:hRule="exact"/>
                    </w:trPr>
                    <w:tc>
                      <w:tcPr>
                        <w:tcW w:w="450" w:type="dxa"/>
                        <w:vMerge w:val="continue"/>
                        <w:tcBorders>
                          <w:top w:val="none"/>
                          <w:left w:val="none"/>
                          <w:bottom w:val="none"/>
                          <w:right w:val="none"/>
                        </w:tcBorders>
                        <w:textDirection w:val="lrTb"/>
                        <w:vAlign w:val="top"/>
                      </w:tcPr>
                      <w:p/>
                    </w:tc>
                    <w:tc>
                      <w:tcPr>
                        <w:tcW w:w="735" w:type="dxa"/>
                        <w:vMerge w:val="continue"/>
                        <w:tcBorders>
                          <w:top w:val="none"/>
                          <w:left w:val="none"/>
                          <w:bottom w:val="none"/>
                          <w:right w:val="none"/>
                        </w:tcBorders>
                        <w:textDirection w:val="lrTb"/>
                        <w:vAlign w:val="top"/>
                      </w:tcPr>
                      <w:p/>
                    </w:tc>
                    <w:tc>
                      <w:tcPr>
                        <w:tcW w:w="757" w:type="dxa"/>
                        <w:tcBorders>
                          <w:top w:val="single" w:sz="5" w:color="D8D8D8"/>
                          <w:left w:val="none"/>
                          <w:bottom w:val="single" w:sz="5" w:color="D8D8D8"/>
                          <w:right w:val="none"/>
                        </w:tcBorders>
                        <w:textDirection w:val="lrTb"/>
                        <w:vAlign w:val="top"/>
                      </w:tcPr>
                      <w:p/>
                    </w:tc>
                    <w:tc>
                      <w:tcPr>
                        <w:tcW w:w="352" w:type="dxa"/>
                        <w:tcBorders>
                          <w:top w:val="none"/>
                          <w:left w:val="none"/>
                          <w:bottom w:val="none"/>
                          <w:right w:val="none"/>
                        </w:tcBorders>
                        <w:textDirection w:val="lrTb"/>
                        <w:vAlign w:val="top"/>
                      </w:tcPr>
                      <w:p/>
                    </w:tc>
                    <w:tc>
                      <w:tcPr>
                        <w:tcW w:w="762" w:type="dxa"/>
                        <w:tcBorders>
                          <w:top w:val="single" w:sz="5" w:color="D8D8D8"/>
                          <w:left w:val="none"/>
                          <w:bottom w:val="single" w:sz="5" w:color="D8D8D8"/>
                          <w:right w:val="none"/>
                        </w:tcBorders>
                        <w:textDirection w:val="lrTb"/>
                        <w:vAlign w:val="top"/>
                      </w:tcPr>
                      <w:p/>
                    </w:tc>
                    <w:tc>
                      <w:tcPr>
                        <w:tcW w:w="351" w:type="dxa"/>
                        <w:tcBorders>
                          <w:top w:val="none"/>
                          <w:left w:val="none"/>
                          <w:bottom w:val="none"/>
                          <w:right w:val="none"/>
                        </w:tcBorders>
                        <w:textDirection w:val="lrTb"/>
                        <w:vAlign w:val="top"/>
                      </w:tcPr>
                      <w:p/>
                    </w:tc>
                    <w:tc>
                      <w:tcPr>
                        <w:tcW w:w="762" w:type="dxa"/>
                        <w:tcBorders>
                          <w:top w:val="single" w:sz="5" w:color="D8D8D8"/>
                          <w:left w:val="none"/>
                          <w:bottom w:val="single" w:sz="5" w:color="D8D8D8"/>
                          <w:right w:val="none"/>
                        </w:tcBorders>
                        <w:textDirection w:val="lrTb"/>
                        <w:vAlign w:val="top"/>
                      </w:tcPr>
                      <w:p/>
                    </w:tc>
                    <w:tc>
                      <w:tcPr>
                        <w:tcW w:w="352" w:type="dxa"/>
                        <w:tcBorders>
                          <w:top w:val="none"/>
                          <w:left w:val="none"/>
                          <w:bottom w:val="none"/>
                          <w:right w:val="none"/>
                        </w:tcBorders>
                        <w:textDirection w:val="lrTb"/>
                        <w:vAlign w:val="top"/>
                      </w:tcPr>
                      <w:p/>
                    </w:tc>
                    <w:tc>
                      <w:tcPr>
                        <w:tcW w:w="763" w:type="dxa"/>
                        <w:tcBorders>
                          <w:top w:val="single" w:sz="5" w:color="D8D8D8"/>
                          <w:left w:val="none"/>
                          <w:bottom w:val="single" w:sz="5" w:color="D8D8D8"/>
                          <w:right w:val="none"/>
                        </w:tcBorders>
                        <w:textDirection w:val="lrTb"/>
                        <w:vAlign w:val="top"/>
                      </w:tcPr>
                      <w:p/>
                    </w:tc>
                  </w:tr>
                  <w:tr>
                    <w:trPr>
                      <w:trHeight w:val="192" w:hRule="exact"/>
                    </w:trPr>
                    <w:tc>
                      <w:tcPr>
                        <w:tcW w:w="450" w:type="dxa"/>
                        <w:vMerge w:val="continue"/>
                        <w:tcBorders>
                          <w:top w:val="none"/>
                          <w:left w:val="none"/>
                          <w:bottom w:val="none"/>
                          <w:right w:val="none"/>
                        </w:tcBorders>
                        <w:textDirection w:val="lrTb"/>
                        <w:vAlign w:val="top"/>
                      </w:tcPr>
                      <w:p/>
                    </w:tc>
                    <w:tc>
                      <w:tcPr>
                        <w:tcW w:w="735" w:type="dxa"/>
                        <w:vMerge w:val="continue"/>
                        <w:tcBorders>
                          <w:top w:val="none"/>
                          <w:left w:val="none"/>
                          <w:bottom w:val="none"/>
                          <w:right w:val="none"/>
                        </w:tcBorders>
                        <w:textDirection w:val="lrTb"/>
                        <w:vAlign w:val="top"/>
                      </w:tcPr>
                      <w:p/>
                    </w:tc>
                    <w:tc>
                      <w:tcPr>
                        <w:tcW w:w="757" w:type="dxa"/>
                        <w:tcBorders>
                          <w:top w:val="single" w:sz="5" w:color="D8D8D8"/>
                          <w:left w:val="none"/>
                          <w:bottom w:val="single" w:sz="4" w:color="D8D8D8"/>
                          <w:right w:val="none"/>
                        </w:tcBorders>
                        <w:textDirection w:val="lrTb"/>
                        <w:vAlign w:val="top"/>
                      </w:tcPr>
                      <w:p/>
                    </w:tc>
                    <w:tc>
                      <w:tcPr>
                        <w:tcW w:w="352" w:type="dxa"/>
                        <w:tcBorders>
                          <w:top w:val="none"/>
                          <w:left w:val="none"/>
                          <w:bottom w:val="single" w:sz="4" w:color="D8D8D8"/>
                          <w:right w:val="none"/>
                        </w:tcBorders>
                        <w:textDirection w:val="lrTb"/>
                        <w:vAlign w:val="top"/>
                      </w:tcPr>
                      <w:p/>
                    </w:tc>
                    <w:tc>
                      <w:tcPr>
                        <w:tcW w:w="762" w:type="dxa"/>
                        <w:tcBorders>
                          <w:top w:val="single" w:sz="5" w:color="D8D8D8"/>
                          <w:left w:val="none"/>
                          <w:bottom w:val="single" w:sz="4" w:color="D8D8D8"/>
                          <w:right w:val="none"/>
                        </w:tcBorders>
                        <w:textDirection w:val="lrTb"/>
                        <w:vAlign w:val="top"/>
                      </w:tcPr>
                      <w:p/>
                    </w:tc>
                    <w:tc>
                      <w:tcPr>
                        <w:tcW w:w="351" w:type="dxa"/>
                        <w:tcBorders>
                          <w:top w:val="none"/>
                          <w:left w:val="none"/>
                          <w:bottom w:val="single" w:sz="4" w:color="D8D8D8"/>
                          <w:right w:val="none"/>
                        </w:tcBorders>
                        <w:textDirection w:val="lrTb"/>
                        <w:vAlign w:val="top"/>
                      </w:tcPr>
                      <w:p/>
                    </w:tc>
                    <w:tc>
                      <w:tcPr>
                        <w:tcW w:w="762" w:type="dxa"/>
                        <w:tcBorders>
                          <w:top w:val="single" w:sz="5" w:color="D8D8D8"/>
                          <w:left w:val="none"/>
                          <w:bottom w:val="single" w:sz="4" w:color="D8D8D8"/>
                          <w:right w:val="none"/>
                        </w:tcBorders>
                        <w:textDirection w:val="lrTb"/>
                        <w:vAlign w:val="top"/>
                      </w:tcPr>
                      <w:p/>
                    </w:tc>
                    <w:tc>
                      <w:tcPr>
                        <w:tcW w:w="352" w:type="dxa"/>
                        <w:tcBorders>
                          <w:top w:val="none"/>
                          <w:left w:val="none"/>
                          <w:bottom w:val="single" w:sz="4" w:color="D8D8D8"/>
                          <w:right w:val="none"/>
                        </w:tcBorders>
                        <w:textDirection w:val="lrTb"/>
                        <w:vAlign w:val="top"/>
                      </w:tcPr>
                      <w:p/>
                    </w:tc>
                    <w:tc>
                      <w:tcPr>
                        <w:tcW w:w="763" w:type="dxa"/>
                        <w:tcBorders>
                          <w:top w:val="single" w:sz="5" w:color="D8D8D8"/>
                          <w:left w:val="none"/>
                          <w:bottom w:val="single" w:sz="4" w:color="D8D8D8"/>
                          <w:right w:val="none"/>
                        </w:tcBorders>
                        <w:textDirection w:val="lrTb"/>
                        <w:vAlign w:val="top"/>
                      </w:tcPr>
                      <w:p/>
                    </w:tc>
                  </w:tr>
                  <w:tr>
                    <w:trPr>
                      <w:trHeight w:val="183" w:hRule="exact"/>
                    </w:trPr>
                    <w:tc>
                      <w:tcPr>
                        <w:tcW w:w="450" w:type="dxa"/>
                        <w:vMerge w:val="restart"/>
                        <w:tcBorders>
                          <w:top w:val="none"/>
                          <w:left w:val="none"/>
                          <w:bottom w:val="none"/>
                          <w:right w:val="none"/>
                        </w:tcBorders>
                        <w:textDirection w:val="lrTb"/>
                        <w:vAlign w:val="center"/>
                      </w:tcPr>
                      <w:p>
                        <w:pPr>
                          <w:spacing w:before="89" w:after="0" w:line="165" w:lineRule="exact"/>
                          <w:ind w:right="0" w:left="0" w:firstLine="0"/>
                          <w:jc w:val="center"/>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735" w:type="dxa"/>
                        <w:vMerge w:val="continue"/>
                        <w:tcBorders>
                          <w:top w:val="none"/>
                          <w:left w:val="none"/>
                          <w:bottom w:val="single" w:sz="4" w:color="D8D8D8"/>
                          <w:right w:val="none"/>
                        </w:tcBorders>
                        <w:textDirection w:val="lrTb"/>
                        <w:vAlign w:val="top"/>
                      </w:tcPr>
                      <w:p/>
                    </w:tc>
                    <w:tc>
                      <w:tcPr>
                        <w:tcW w:w="757" w:type="dxa"/>
                        <w:tcBorders>
                          <w:top w:val="single" w:sz="4" w:color="D8D8D8"/>
                          <w:left w:val="none"/>
                          <w:bottom w:val="single" w:sz="4" w:color="D8D8D8"/>
                          <w:right w:val="none"/>
                        </w:tcBorders>
                        <w:textDirection w:val="lrTb"/>
                        <w:vAlign w:val="top"/>
                      </w:tcPr>
                      <w:p/>
                    </w:tc>
                    <w:tc>
                      <w:tcPr>
                        <w:tcW w:w="352" w:type="dxa"/>
                        <w:tcBorders>
                          <w:top w:val="single" w:sz="4" w:color="D8D8D8"/>
                          <w:left w:val="none"/>
                          <w:bottom w:val="single" w:sz="4" w:color="D8D8D8"/>
                          <w:right w:val="none"/>
                        </w:tcBorders>
                        <w:textDirection w:val="lrTb"/>
                        <w:vAlign w:val="top"/>
                      </w:tcPr>
                      <w:p/>
                    </w:tc>
                    <w:tc>
                      <w:tcPr>
                        <w:tcW w:w="762" w:type="dxa"/>
                        <w:tcBorders>
                          <w:top w:val="single" w:sz="4" w:color="D8D8D8"/>
                          <w:left w:val="none"/>
                          <w:bottom w:val="single" w:sz="4" w:color="D8D8D8"/>
                          <w:right w:val="none"/>
                        </w:tcBorders>
                        <w:textDirection w:val="lrTb"/>
                        <w:vAlign w:val="top"/>
                      </w:tcPr>
                      <w:p/>
                    </w:tc>
                    <w:tc>
                      <w:tcPr>
                        <w:tcW w:w="351" w:type="dxa"/>
                        <w:tcBorders>
                          <w:top w:val="single" w:sz="4" w:color="D8D8D8"/>
                          <w:left w:val="none"/>
                          <w:bottom w:val="single" w:sz="4" w:color="D8D8D8"/>
                          <w:right w:val="none"/>
                        </w:tcBorders>
                        <w:textDirection w:val="lrTb"/>
                        <w:vAlign w:val="top"/>
                      </w:tcPr>
                      <w:p/>
                    </w:tc>
                    <w:tc>
                      <w:tcPr>
                        <w:tcW w:w="762" w:type="dxa"/>
                        <w:tcBorders>
                          <w:top w:val="single" w:sz="4" w:color="D8D8D8"/>
                          <w:left w:val="none"/>
                          <w:bottom w:val="single" w:sz="4" w:color="D8D8D8"/>
                          <w:right w:val="none"/>
                        </w:tcBorders>
                        <w:textDirection w:val="lrTb"/>
                        <w:vAlign w:val="top"/>
                      </w:tcPr>
                      <w:p/>
                    </w:tc>
                    <w:tc>
                      <w:tcPr>
                        <w:tcW w:w="352" w:type="dxa"/>
                        <w:tcBorders>
                          <w:top w:val="single" w:sz="4" w:color="D8D8D8"/>
                          <w:left w:val="none"/>
                          <w:bottom w:val="single" w:sz="4" w:color="D8D8D8"/>
                          <w:right w:val="none"/>
                        </w:tcBorders>
                        <w:textDirection w:val="lrTb"/>
                        <w:vAlign w:val="top"/>
                      </w:tcPr>
                      <w:p/>
                    </w:tc>
                    <w:tc>
                      <w:tcPr>
                        <w:tcW w:w="763" w:type="dxa"/>
                        <w:tcBorders>
                          <w:top w:val="single" w:sz="4" w:color="D8D8D8"/>
                          <w:left w:val="none"/>
                          <w:bottom w:val="single" w:sz="4" w:color="D8D8D8"/>
                          <w:right w:val="none"/>
                        </w:tcBorders>
                        <w:textDirection w:val="lrTb"/>
                        <w:vAlign w:val="top"/>
                      </w:tcPr>
                      <w:p/>
                    </w:tc>
                  </w:tr>
                  <w:tr>
                    <w:trPr>
                      <w:trHeight w:val="72" w:hRule="exact"/>
                    </w:trPr>
                    <w:tc>
                      <w:tcPr>
                        <w:tcW w:w="450" w:type="dxa"/>
                        <w:vMerge w:val="continue"/>
                        <w:tcBorders>
                          <w:top w:val="none"/>
                          <w:left w:val="none"/>
                          <w:bottom w:val="none"/>
                          <w:right w:val="none"/>
                        </w:tcBorders>
                        <w:textDirection w:val="lrTb"/>
                        <w:vAlign w:val="center"/>
                      </w:tcPr>
                      <w:p/>
                    </w:tc>
                    <w:tc>
                      <w:tcPr>
                        <w:tcW w:w="735" w:type="dxa"/>
                        <w:tcBorders>
                          <w:top w:val="single" w:sz="4" w:color="D8D8D8"/>
                          <w:left w:val="none"/>
                          <w:bottom w:val="none"/>
                          <w:right w:val="none"/>
                        </w:tcBorders>
                        <w:textDirection w:val="lrTb"/>
                        <w:vAlign w:val="top"/>
                      </w:tcPr>
                      <w:p/>
                    </w:tc>
                    <w:tc>
                      <w:tcPr>
                        <w:tcW w:w="757" w:type="dxa"/>
                        <w:tcBorders>
                          <w:top w:val="single" w:sz="4" w:color="D8D8D8"/>
                          <w:left w:val="none"/>
                          <w:bottom w:val="none"/>
                          <w:right w:val="none"/>
                        </w:tcBorders>
                        <w:textDirection w:val="lrTb"/>
                        <w:vAlign w:val="top"/>
                      </w:tcPr>
                      <w:p/>
                    </w:tc>
                    <w:tc>
                      <w:tcPr>
                        <w:tcW w:w="352" w:type="dxa"/>
                        <w:tcBorders>
                          <w:top w:val="single" w:sz="4" w:color="D8D8D8"/>
                          <w:left w:val="none"/>
                          <w:bottom w:val="none"/>
                          <w:right w:val="none"/>
                        </w:tcBorders>
                        <w:textDirection w:val="lrTb"/>
                        <w:vAlign w:val="top"/>
                      </w:tcPr>
                      <w:p/>
                    </w:tc>
                    <w:tc>
                      <w:tcPr>
                        <w:tcW w:w="762" w:type="dxa"/>
                        <w:tcBorders>
                          <w:top w:val="single" w:sz="4" w:color="D8D8D8"/>
                          <w:left w:val="none"/>
                          <w:bottom w:val="none"/>
                          <w:right w:val="none"/>
                        </w:tcBorders>
                        <w:textDirection w:val="lrTb"/>
                        <w:vAlign w:val="top"/>
                      </w:tcPr>
                      <w:p/>
                    </w:tc>
                    <w:tc>
                      <w:tcPr>
                        <w:tcW w:w="351" w:type="dxa"/>
                        <w:tcBorders>
                          <w:top w:val="single" w:sz="4" w:color="D8D8D8"/>
                          <w:left w:val="none"/>
                          <w:bottom w:val="none"/>
                          <w:right w:val="none"/>
                        </w:tcBorders>
                        <w:textDirection w:val="lrTb"/>
                        <w:vAlign w:val="top"/>
                      </w:tcPr>
                      <w:p/>
                    </w:tc>
                    <w:tc>
                      <w:tcPr>
                        <w:tcW w:w="762" w:type="dxa"/>
                        <w:tcBorders>
                          <w:top w:val="single" w:sz="4" w:color="D8D8D8"/>
                          <w:left w:val="none"/>
                          <w:bottom w:val="none"/>
                          <w:right w:val="none"/>
                        </w:tcBorders>
                        <w:textDirection w:val="lrTb"/>
                        <w:vAlign w:val="top"/>
                      </w:tcPr>
                      <w:p/>
                    </w:tc>
                    <w:tc>
                      <w:tcPr>
                        <w:tcW w:w="352" w:type="dxa"/>
                        <w:tcBorders>
                          <w:top w:val="single" w:sz="4" w:color="D8D8D8"/>
                          <w:left w:val="none"/>
                          <w:bottom w:val="none"/>
                          <w:right w:val="none"/>
                        </w:tcBorders>
                        <w:textDirection w:val="lrTb"/>
                        <w:vAlign w:val="top"/>
                      </w:tcPr>
                      <w:p/>
                    </w:tc>
                    <w:tc>
                      <w:tcPr>
                        <w:tcW w:w="763" w:type="dxa"/>
                        <w:tcBorders>
                          <w:top w:val="single" w:sz="4" w:color="D8D8D8"/>
                          <w:left w:val="none"/>
                          <w:bottom w:val="none"/>
                          <w:right w:val="none"/>
                        </w:tcBorders>
                        <w:textDirection w:val="lrTb"/>
                        <w:vAlign w:val="top"/>
                      </w:tcPr>
                      <w:p/>
                    </w:tc>
                  </w:tr>
                </w:tbl>
              </w:txbxContent>
            </v:textbox>
          </v:shape>
        </w:pict>
      </w:r>
      <w:r>
        <w:pict>
          <v:shapetype id="_x0000_t144" coordsize="21600,21600" o:spt="202" path="m,l,21600r21600,l21600,xe">
            <v:stroke joinstyle="miter"/>
            <v:path gradientshapeok="t" o:connecttype="rect"/>
          </v:shapetype>
          <v:shape id="_x0000_s143" type="#_x0000_t144" filled="f" stroked="f" style="position:absolute;width:10.8pt;height:9.95pt;z-index:-1;margin-left:345.85pt;margin-top:477.2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000000"/>
                      <w:spacing w:val="-27"/>
                      <w:w w:val="100"/>
                      <w:sz w:val="18"/>
                      <w:vertAlign w:val="baseline"/>
                      <w:lang w:val="en-US"/>
                    </w:rPr>
                  </w:pPr>
                  <w:r>
                    <w:rPr>
                      <w:rFonts w:ascii="Calibri" w:hAnsi="Calibri" w:eastAsia="Calibri"/>
                      <w:color w:val="000000"/>
                      <w:spacing w:val="-27"/>
                      <w:w w:val="100"/>
                      <w:sz w:val="18"/>
                      <w:vertAlign w:val="baseline"/>
                      <w:lang w:val="en-US"/>
                    </w:rPr>
                    <w:t xml:space="preserve">8.8_</w:t>
                  </w: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18.85pt;height:13.9pt;z-index:-1;margin-left:77.8pt;margin-top:453.35pt;mso-wrap-distance-left:0pt;mso-wrap-distance-right:412.15pt;mso-position-horizontal-relative:page;mso-position-vertical-relative:page">
            <w10:wrap type="square" side="both"/>
            <v:fill opacity="1" o:opacity2="1" recolor="f" rotate="f" type="solid"/>
            <v:textbox inset="0pt, 0pt, 0pt, 0pt">
              <w:txbxContent>
                <w:p>
                  <w:pPr>
                    <w:spacing w:before="99" w:after="0" w:line="16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12</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152.15pt;height:14.35pt;z-index:-1;margin-left:356.65pt;margin-top:467.25pt;mso-wrap-distance-left:0pt;mso-wrap-distance-right:0pt;mso-position-horizontal-relative:page;mso-position-vertical-relative:page">
            <w10:wrap type="square" side="both"/>
            <v:fill opacity="1" o:opacity2="1" recolor="f" rotate="f" type="solid"/>
            <v:textbox inset="0pt, 0pt, 0pt, 0pt">
              <w:txbxContent>
                <w:p>
                  <w:pPr>
                    <w:spacing w:before="18" w:after="77" w:line="179" w:lineRule="exact"/>
                    <w:ind w:right="0" w:left="792" w:firstLine="0"/>
                    <w:jc w:val="left"/>
                    <w:textAlignment w:val="baseline"/>
                    <w:rPr>
                      <w:rFonts w:ascii="Calibri" w:hAnsi="Calibri" w:eastAsia="Calibri"/>
                      <w:color w:val="000000"/>
                      <w:spacing w:val="0"/>
                      <w:w w:val="100"/>
                      <w:sz w:val="18"/>
                      <w:vertAlign w:val="baseline"/>
                      <w:lang w:val="en-US"/>
                    </w:rPr>
                  </w:pPr>
                  <w:r>
                    <w:rPr>
                      <w:rFonts w:ascii="Calibri" w:hAnsi="Calibri" w:eastAsia="Calibri"/>
                      <w:color w:val="000000"/>
                      <w:spacing w:val="0"/>
                      <w:w w:val="100"/>
                      <w:sz w:val="18"/>
                      <w:vertAlign w:val="baseline"/>
                      <w:lang w:val="en-US"/>
                    </w:rPr>
                    <w:t xml:space="preserve">9.9</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13.35pt;height:10.95pt;z-index:-1;margin-left:457.55pt;margin-top:494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000000"/>
                      <w:spacing w:val="0"/>
                      <w:w w:val="100"/>
                      <w:sz w:val="18"/>
                      <w:u w:val="single"/>
                      <w:vertAlign w:val="baseline"/>
                      <w:lang w:val="en-US"/>
                    </w:rPr>
                  </w:pPr>
                  <w:r>
                    <w:rPr>
                      <w:rFonts w:ascii="Calibri" w:hAnsi="Calibri" w:eastAsia="Calibri"/>
                      <w:color w:val="000000"/>
                      <w:spacing w:val="0"/>
                      <w:w w:val="100"/>
                      <w:sz w:val="18"/>
                      <w:u w:val="single"/>
                      <w:vertAlign w:val="baseline"/>
                      <w:lang w:val="en-US"/>
                    </w:rPr>
                    <w:t xml:space="preserve">7</w:t>
                  </w:r>
                  <w:r>
                    <w:rPr>
                      <w:rFonts w:ascii="Calibri" w:hAnsi="Calibri" w:eastAsia="Calibri"/>
                      <w:color w:val="000000"/>
                      <w:spacing w:val="0"/>
                      <w:w w:val="100"/>
                      <w:sz w:val="18"/>
                      <w:vertAlign w:val="baseline"/>
                      <w:lang w:val="en-US"/>
                    </w:rPr>
                    <w:t xml:space="preserve">
</w:t>
                  </w:r>
                </w:p>
              </w:txbxContent>
            </v:textbox>
          </v:shape>
        </w:pict>
      </w:r>
      <w:r>
        <w:pict>
          <v:line strokeweight="0.7pt" strokecolor="#D8D8D8" from="100.3pt,481.2pt" to="345.9pt,481.2pt" style="position:absolute;mso-position-horizontal-relative:page;mso-position-vertical-relative:page;">
            <v:stroke dashstyle="solid"/>
          </v:line>
        </w:pict>
      </w:r>
      <w:r>
        <w:pict>
          <v:line strokeweight="0.7pt" strokecolor="#D8D8D8" from="359.5pt,499.7pt" to="397.5pt,499.7pt" style="position:absolute;mso-position-horizontal-relative:page;mso-position-vertical-relative:page;">
            <v:stroke dashstyle="solid"/>
          </v:line>
        </w:pict>
      </w:r>
      <w:r>
        <w:pict>
          <v:line strokeweight="0.7pt" strokecolor="#D8D8D8" from="359.5pt,518.15pt" to="397.5pt,518.15pt" style="position:absolute;mso-position-horizontal-relative:page;mso-position-vertical-relative:page;">
            <v:stroke dashstyle="solid"/>
          </v:line>
        </w:pict>
      </w:r>
      <w:r>
        <w:pict>
          <v:line strokeweight="0.7pt" strokecolor="#D8D8D8" from="359.5pt,536.9pt" to="397.5pt,536.9pt" style="position:absolute;mso-position-horizontal-relative:page;mso-position-vertical-relative:page;">
            <v:stroke dashstyle="solid"/>
          </v:line>
        </w:pict>
      </w:r>
      <w:r>
        <w:pict>
          <v:line strokeweight="0.7pt" strokecolor="#D8D8D8" from="359.5pt,555.1pt" to="397.5pt,555.1pt" style="position:absolute;mso-position-horizontal-relative:page;mso-position-vertical-relative:page;">
            <v:stroke dashstyle="solid"/>
          </v:line>
        </w:pict>
      </w:r>
      <w:r>
        <w:pict>
          <v:line strokeweight="0.5pt" strokecolor="#D8D8D8" from="359.5pt,573.85pt" to="397.5pt,573.85pt" style="position:absolute;mso-position-horizontal-relative:page;mso-position-vertical-relative:page;">
            <v:stroke dashstyle="solid"/>
          </v:line>
        </w:pict>
      </w:r>
      <w:r>
        <w:pict>
          <v:line strokeweight="0.7pt" strokecolor="#D8D8D8" from="100.3pt,462.7pt" to="508.85pt,462.7pt" style="position:absolute;mso-position-horizontal-relative:page;mso-position-vertical-relative:page;">
            <v:stroke dashstyle="solid"/>
          </v:line>
        </w:pict>
      </w:r>
      <w:r>
        <w:pict>
          <v:line strokeweight="0.7pt" strokecolor="#D8D8D8" from="356.65pt,481.2pt" to="508.85pt,481.2pt" style="position:absolute;mso-position-horizontal-relative:page;mso-position-vertical-relative:page;">
            <v:stroke dashstyle="solid"/>
          </v:line>
        </w:pict>
      </w:r>
      <w:r>
        <w:pict>
          <v:line strokeweight="0.7pt" strokecolor="#D8D8D8" from="470.9pt,518.15pt" to="508.85pt,518.15pt" style="position:absolute;mso-position-horizontal-relative:page;mso-position-vertical-relative:page;">
            <v:stroke dashstyle="solid"/>
          </v:line>
        </w:pict>
      </w:r>
      <w:r>
        <w:pict>
          <v:line strokeweight="0.7pt" strokecolor="#D8D8D8" from="470.9pt,536.9pt" to="508.85pt,536.9pt" style="position:absolute;mso-position-horizontal-relative:page;mso-position-vertical-relative:page;">
            <v:stroke dashstyle="solid"/>
          </v:line>
        </w:pict>
      </w:r>
      <w:r>
        <w:pict>
          <v:line strokeweight="0.7pt" strokecolor="#D8D8D8" from="470.9pt,555.1pt" to="508.85pt,555.1pt" style="position:absolute;mso-position-horizontal-relative:page;mso-position-vertical-relative:page;">
            <v:stroke dashstyle="solid"/>
          </v:line>
        </w:pict>
      </w:r>
      <w:r>
        <w:pict>
          <v:line strokeweight="0.5pt" strokecolor="#D8D8D8" from="470.9pt,573.85pt" to="545.55pt,573.85pt" style="position:absolute;mso-position-horizontal-relative:page;mso-position-vertical-relative:page;">
            <v:stroke dashstyle="solid"/>
          </v:line>
        </w:pict>
      </w:r>
      <w:r>
        <w:pict>
          <v:line strokeweight="0.7pt" strokecolor="#D8D8D8" from="415.2pt,518.15pt" to="453.15pt,518.15pt" style="position:absolute;mso-position-horizontal-relative:page;mso-position-vertical-relative:page;">
            <v:stroke dashstyle="solid"/>
          </v:line>
        </w:pict>
      </w:r>
      <w:r>
        <w:pict>
          <v:line strokeweight="0.7pt" strokecolor="#D8D8D8" from="415.2pt,536.9pt" to="453.15pt,536.9pt" style="position:absolute;mso-position-horizontal-relative:page;mso-position-vertical-relative:page;">
            <v:stroke dashstyle="solid"/>
          </v:line>
        </w:pict>
      </w:r>
      <w:r>
        <w:pict>
          <v:line strokeweight="0.7pt" strokecolor="#D8D8D8" from="415.2pt,555.1pt" to="453.15pt,555.1pt" style="position:absolute;mso-position-horizontal-relative:page;mso-position-vertical-relative:page;">
            <v:stroke dashstyle="solid"/>
          </v:line>
        </w:pict>
      </w:r>
      <w:r>
        <w:pict>
          <v:line strokeweight="0.5pt" strokecolor="#D8D8D8" from="415.2pt,573.85pt" to="453.15pt,573.85pt" style="position:absolute;mso-position-horizontal-relative:page;mso-position-vertical-relative:page;">
            <v:stroke dashstyle="solid"/>
          </v:line>
        </w:pict>
      </w:r>
      <w:r>
        <w:pict>
          <v:line strokeweight="0.5pt" strokecolor="#D8D8D8" from="342pt,573.6pt" to="359.5pt,573.6pt" style="position:absolute;mso-position-horizontal-relative:page;mso-position-vertical-relative:page;">
            <v:stroke dashstyle="solid"/>
          </v:line>
        </w:pict>
      </w:r>
      <w:r>
        <w:pict>
          <v:line strokeweight="0.5pt" strokecolor="#D8D8D8" from="397.45pt,573.6pt" to="415.2pt,573.6pt" style="position:absolute;mso-position-horizontal-relative:page;mso-position-vertical-relative:page;">
            <v:stroke dashstyle="solid"/>
          </v:line>
        </w:pict>
      </w:r>
      <w:r>
        <w:pict>
          <v:line strokeweight="0.5pt" strokecolor="#D8D8D8" from="453.1pt,573.6pt" to="470.9pt,573.6pt" style="position:absolute;mso-position-horizontal-relative:page;mso-position-vertical-relative:page;">
            <v:stroke dashstyle="solid"/>
          </v:line>
        </w:pict>
      </w:r>
      <w:r>
        <w:rPr>
          <w:rFonts w:ascii="Calibri" w:hAnsi="Calibri" w:eastAsia="Calibri"/>
          <w:i w:val="true"/>
          <w:color w:val="0D2941"/>
          <w:spacing w:val="0"/>
          <w:w w:val="100"/>
          <w:sz w:val="18"/>
          <w:vertAlign w:val="baseline"/>
          <w:lang w:val="en-US"/>
        </w:rPr>
        <w:t xml:space="preserve">Source: U.S. Census Bureau 2023 5-year estimates</w:t>
      </w:r>
    </w:p>
    <w:p>
      <w:pPr>
        <w:spacing w:before="241" w:after="0" w:line="220" w:lineRule="exact"/>
        <w:ind w:right="0" w:left="1440" w:firstLine="0"/>
        <w:jc w:val="left"/>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Life Expectancy</w:t>
      </w:r>
    </w:p>
    <w:p>
      <w:pPr>
        <w:spacing w:before="159" w:after="322"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Genetics are not the only indicator of an individual’s life expectancy. Social determinants of health impact life expectancy. Table 5 notes the life expectancy in each county in the Finger Lakes region along with the percent change from 2018. Life expectancy is decreasing in most counties and is below the New York State average.</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31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22" w:after="201" w:line="180" w:lineRule="exact"/>
        <w:ind w:right="0" w:left="2880" w:firstLine="0"/>
        <w:jc w:val="left"/>
        <w:textAlignment w:val="baseline"/>
        <w:rPr>
          <w:rFonts w:ascii="Calibri" w:hAnsi="Calibri" w:eastAsia="Calibri"/>
          <w:i w:val="true"/>
          <w:color w:val="0E2841"/>
          <w:spacing w:val="0"/>
          <w:w w:val="100"/>
          <w:sz w:val="18"/>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i w:val="true"/>
          <w:color w:val="0E2841"/>
          <w:spacing w:val="0"/>
          <w:w w:val="100"/>
          <w:sz w:val="18"/>
          <w:vertAlign w:val="baseline"/>
          <w:lang w:val="en-US"/>
        </w:rPr>
        <w:t xml:space="preserve">Table 5: Life Expectancy</w:t>
      </w:r>
    </w:p>
    <w:tbl>
      <w:tblPr>
        <w:jc w:val="left"/>
        <w:tblInd w:w="2832" w:type="dxa"/>
        <w:tblLayout w:type="fixed"/>
        <w:tblCellMar>
          <w:left w:w="0" w:type="dxa"/>
          <w:right w:w="0" w:type="dxa"/>
        </w:tblCellMar>
      </w:tblPr>
      <w:tblGrid>
        <w:gridCol w:w="2338"/>
        <w:gridCol w:w="2160"/>
        <w:gridCol w:w="2073"/>
      </w:tblGrid>
      <w:tr>
        <w:trPr>
          <w:trHeight w:val="821" w:hRule="exact"/>
        </w:trPr>
        <w:tc>
          <w:tcPr>
            <w:tcW w:w="23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7" w:after="556" w:line="227" w:lineRule="exact"/>
              <w:ind w:right="84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2160"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7" w:after="0" w:line="227" w:lineRule="exact"/>
              <w:ind w:right="291"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Life Expectancy</w:t>
            </w:r>
          </w:p>
          <w:p>
            <w:pPr>
              <w:spacing w:before="0" w:after="20" w:line="268"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 79.4)</w:t>
            </w:r>
          </w:p>
        </w:tc>
        <w:tc>
          <w:tcPr>
            <w:tcW w:w="207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Change</w:t>
              <w:br/>
            </w:r>
            <w:r>
              <w:rPr>
                <w:rFonts w:ascii="Calibri" w:hAnsi="Calibri" w:eastAsia="Calibri"/>
                <w:b w:val="true"/>
                <w:color w:val="FFFFFF"/>
                <w:spacing w:val="0"/>
                <w:w w:val="100"/>
                <w:sz w:val="22"/>
                <w:vertAlign w:val="baseline"/>
                <w:lang w:val="en-US"/>
              </w:rPr>
              <w:t xml:space="preserve">from Baseline</w:t>
            </w:r>
          </w:p>
          <w:p>
            <w:pPr>
              <w:spacing w:before="44" w:after="20" w:line="225" w:lineRule="exact"/>
              <w:ind w:right="745"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(2018)</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2" w:after="14" w:line="227"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2" w:after="20"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75.0</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2" w:after="20"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3" w:after="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3" w:after="1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79.4</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2" w:after="20" w:line="225"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2"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79.8</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2" w:after="23" w:line="222"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 change</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3" w:after="14"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76.5</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3" w:after="10" w:line="225"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3" w:after="1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77.6</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 change</w:t>
            </w:r>
          </w:p>
        </w:tc>
      </w:tr>
      <w:tr>
        <w:trPr>
          <w:trHeight w:val="278"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2" w:after="20" w:line="225"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2"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76.3</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279"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3" w:after="14"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77.2</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r>
      <w:tr>
        <w:trPr>
          <w:trHeight w:val="292" w:hRule="exact"/>
        </w:trPr>
        <w:tc>
          <w:tcPr>
            <w:tcW w:w="2338" w:type="dxa"/>
            <w:tcBorders>
              <w:top w:val="single" w:sz="5" w:color="000000"/>
              <w:left w:val="single" w:sz="5" w:color="000000"/>
              <w:bottom w:val="single" w:sz="5" w:color="000000"/>
              <w:right w:val="single" w:sz="5" w:color="000000"/>
            </w:tcBorders>
            <w:shd w:val="clear" w:color="C0E4F5" w:fill="C0E4F5"/>
            <w:textDirection w:val="lrTb"/>
            <w:vAlign w:val="center"/>
          </w:tcPr>
          <w:p>
            <w:pPr>
              <w:spacing w:before="32" w:after="25" w:line="225"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2160" w:type="dxa"/>
            <w:tcBorders>
              <w:top w:val="single" w:sz="5" w:color="000000"/>
              <w:left w:val="single" w:sz="5" w:color="000000"/>
              <w:bottom w:val="single" w:sz="5" w:color="000000"/>
              <w:right w:val="single" w:sz="5" w:color="000000"/>
            </w:tcBorders>
            <w:textDirection w:val="lrTb"/>
            <w:vAlign w:val="center"/>
          </w:tcPr>
          <w:p>
            <w:pPr>
              <w:tabs>
                <w:tab w:val="decimal" w:leader="none" w:pos="1944"/>
              </w:tabs>
              <w:spacing w:before="32"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78.1</w:t>
            </w:r>
          </w:p>
        </w:tc>
        <w:tc>
          <w:tcPr>
            <w:tcW w:w="2073" w:type="dxa"/>
            <w:tcBorders>
              <w:top w:val="single" w:sz="5" w:color="000000"/>
              <w:left w:val="single" w:sz="5" w:color="000000"/>
              <w:bottom w:val="single" w:sz="5" w:color="000000"/>
              <w:right w:val="single" w:sz="5" w:color="000000"/>
            </w:tcBorders>
            <w:textDirection w:val="lrTb"/>
            <w:vAlign w:val="center"/>
          </w:tcPr>
          <w:p>
            <w:pPr>
              <w:spacing w:before="32" w:after="28" w:line="222"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 change</w:t>
            </w:r>
          </w:p>
        </w:tc>
      </w:tr>
    </w:tbl>
    <w:p>
      <w:pPr>
        <w:spacing w:before="0" w:after="279" w:line="20" w:lineRule="exact"/>
      </w:pPr>
    </w:p>
    <w:p>
      <w:pPr>
        <w:spacing w:before="20" w:after="269" w:line="180" w:lineRule="exact"/>
        <w:ind w:right="0" w:left="0" w:firstLine="0"/>
        <w:jc w:val="center"/>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County Health Rankings, National Center for Health Statistics-Mortality Files</w:t>
      </w:r>
    </w:p>
    <w:tbl>
      <w:tblPr>
        <w:jc w:val="left"/>
        <w:tblLayout w:type="fixed"/>
        <w:tblCellMar>
          <w:left w:w="0" w:type="dxa"/>
          <w:right w:w="0" w:type="dxa"/>
        </w:tblCellMar>
      </w:tblPr>
      <w:tblGrid>
        <w:gridCol w:w="5179"/>
        <w:gridCol w:w="7061"/>
      </w:tblGrid>
      <w:tr>
        <w:trPr>
          <w:trHeight w:val="292" w:hRule="exact"/>
        </w:trPr>
        <w:tc>
          <w:tcPr>
            <w:tcW w:w="5179" w:type="dxa"/>
            <w:vMerge w:val="restart"/>
            <w:tcBorders>
              <w:top w:val="none"/>
              <w:left w:val="none"/>
              <w:bottom w:val="none"/>
              <w:right w:val="none"/>
            </w:tcBorders>
            <w:textDirection w:val="lrTb"/>
            <w:vAlign w:val="top"/>
          </w:tcPr>
          <w:p>
            <w:pPr>
              <w:spacing w:before="0" w:after="0" w:line="274" w:lineRule="exact"/>
              <w:ind w:right="32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In addition, Map 3 further delineates life expectancy by Zip Code. Lower life expectancy by zip code corresponds with increased poverty rates (Maps 6</w:t>
              <w:softHyphen/>
            </w:r>
            <w:r>
              <w:rPr>
                <w:rFonts w:ascii="Calibri" w:hAnsi="Calibri" w:eastAsia="Calibri"/>
                <w:color w:val="000000"/>
                <w:spacing w:val="-2"/>
                <w:w w:val="100"/>
                <w:sz w:val="22"/>
                <w:vertAlign w:val="baseline"/>
                <w:lang w:val="en-US"/>
              </w:rPr>
              <w:t xml:space="preserve">8), higher preventable hospitalizations (Map 13) and higher Emergency Department visits (Maps 14-18).</w:t>
            </w:r>
          </w:p>
          <w:p>
            <w:pPr>
              <w:spacing w:before="230" w:after="0" w:line="222"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Leading Causes of Death</w:t>
            </w:r>
          </w:p>
          <w:p>
            <w:pPr>
              <w:spacing w:before="167" w:after="0" w:line="289" w:lineRule="exact"/>
              <w:ind w:right="252" w:left="1440"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The top causes of death in the counties of the Finger Lakes region may be seen in Table 6 along with the number of deaths per 100,000 population. The top two leading causes of death in all eight counties are heart disease and cancer. All counties except Ontario have a higher death rate per 100,000 population than the New York State average.</w:t>
            </w:r>
          </w:p>
        </w:tc>
        <w:tc>
          <w:tcPr>
            <w:tcW w:w="7061" w:type="dxa"/>
            <w:tcBorders>
              <w:top w:val="none"/>
              <w:left w:val="none"/>
              <w:bottom w:val="none"/>
              <w:right w:val="none"/>
            </w:tcBorders>
            <w:textDirection w:val="lrTb"/>
            <w:vAlign w:val="top"/>
          </w:tcPr>
          <w:p>
            <w:pPr>
              <w:spacing w:before="0" w:after="115" w:line="163" w:lineRule="exact"/>
              <w:ind w:right="2986" w:left="0" w:firstLine="0"/>
              <w:jc w:val="righ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3 Life Expectancy by Zip Code, Finger Lakes Region</w:t>
            </w:r>
          </w:p>
        </w:tc>
      </w:tr>
      <w:tr>
        <w:trPr>
          <w:trHeight w:val="5146" w:hRule="exact"/>
        </w:trPr>
        <w:tc>
          <w:tcPr>
            <w:tcW w:w="5179" w:type="dxa"/>
            <w:vMerge w:val="continue"/>
            <w:tcBorders>
              <w:top w:val="none"/>
              <w:left w:val="none"/>
              <w:bottom w:val="none"/>
              <w:right w:val="none"/>
            </w:tcBorders>
            <w:textDirection w:val="lrTb"/>
            <w:vAlign w:val="top"/>
          </w:tcPr>
          <w:p/>
        </w:tc>
        <w:tc>
          <w:tcPr>
            <w:tcW w:w="7061" w:type="dxa"/>
            <w:tcBorders>
              <w:top w:val="none"/>
              <w:left w:val="none"/>
              <w:bottom w:val="none"/>
              <w:right w:val="none"/>
            </w:tcBorders>
            <w:textDirection w:val="lrTb"/>
            <w:vAlign w:val="top"/>
          </w:tcPr>
          <w:p>
            <w:pPr>
              <w:spacing w:before="0" w:after="0" w:line="240" w:lineRule="auto"/>
              <w:ind w:right="461" w:left="0"/>
              <w:jc w:val="left"/>
              <w:textAlignment w:val="baseline"/>
            </w:pPr>
            <w:r>
              <w:drawing>
                <wp:inline>
                  <wp:extent cx="4191000" cy="3240405"/>
                  <wp:docPr name="Picture" id="37"/>
                  <a:graphic>
                    <a:graphicData uri="http://schemas.openxmlformats.org/drawingml/2006/picture">
                      <pic:pic>
                        <pic:nvPicPr>
                          <pic:cNvPr id="37" name="Picture"/>
                          <pic:cNvPicPr preferRelativeResize="false"/>
                        </pic:nvPicPr>
                        <pic:blipFill>
                          <a:blip r:embed="prId37"/>
                          <a:stretch>
                            <a:fillRect/>
                          </a:stretch>
                        </pic:blipFill>
                        <pic:spPr>
                          <a:xfrm>
                            <a:off x="0" y="0"/>
                            <a:ext cx="4191000" cy="3240405"/>
                          </a:xfrm>
                          <a:prstGeom prst="rect"/>
                        </pic:spPr>
                      </pic:pic>
                    </a:graphicData>
                  </a:graphic>
                </wp:inline>
              </w:drawing>
            </w:r>
          </w:p>
        </w:tc>
      </w:tr>
    </w:tbl>
    <w:p>
      <w:pPr>
        <w:spacing w:before="0" w:after="137" w:line="20" w:lineRule="exact"/>
      </w:pPr>
    </w:p>
    <w:p>
      <w:pPr>
        <w:spacing w:before="61" w:after="0" w:line="221" w:lineRule="exact"/>
        <w:ind w:right="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rates shown for Alzheimer’s in this </w:t>
      </w:r>
      <w:r>
        <w:rPr>
          <w:rFonts w:ascii="Calibri" w:hAnsi="Calibri" w:eastAsia="Calibri"/>
          <w:i w:val="true"/>
          <w:color w:val="0E2841"/>
          <w:spacing w:val="2"/>
          <w:w w:val="100"/>
          <w:sz w:val="18"/>
          <w:vertAlign w:val="baseline"/>
          <w:lang w:val="en-US"/>
        </w:rPr>
        <w:t xml:space="preserve">Courtesy Common Ground Health</w:t>
      </w:r>
    </w:p>
    <w:p>
      <w:pPr>
        <w:spacing w:before="74"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reflect a combined category of</w:t>
      </w:r>
    </w:p>
    <w:p>
      <w:pPr>
        <w:spacing w:before="9" w:after="715"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“Alzheimer’s disease and other dementias” that was age–sex adjusted using local population estimates, whereas the state Vital Statistics tables report age adjusted rates for “Alzheimer’s disease” alone. As a result, counts for Alzheimer’s disease align with state data, but the inclusion of other dementias and the different adjustment method produce higher overall rates and allow this combined category to appear among the leading causes of death in several counties while still following a trend similar to the state’s Alzheimer's only rates.</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32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9" w:lineRule="exact"/>
        <w:ind w:right="151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Across the region, the most commonly diagnosed cancers reflect patterns seen statewide, with female breast, prostate, and lung cancers appearing most frequently in many counties, alongside colorectal cancer in some areas. These cancers represent a substantial share of the overall cancer burden even when they are not always the leading causes of cancer death, underscoring the importance of continued emphasis on screening, early detection, and treatment.</w:t>
      </w:r>
    </w:p>
    <w:p>
      <w:pPr>
        <w:spacing w:before="224" w:after="19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6: Leading Causes of Death 2022</w:t>
      </w:r>
    </w:p>
    <w:tbl>
      <w:tblPr>
        <w:jc w:val="left"/>
        <w:tblInd w:w="1440" w:type="dxa"/>
        <w:tblLayout w:type="fixed"/>
        <w:tblCellMar>
          <w:left w:w="0" w:type="dxa"/>
          <w:right w:w="0" w:type="dxa"/>
        </w:tblCellMar>
      </w:tblPr>
      <w:tblGrid>
        <w:gridCol w:w="1387"/>
        <w:gridCol w:w="1944"/>
        <w:gridCol w:w="2069"/>
        <w:gridCol w:w="1891"/>
        <w:gridCol w:w="2203"/>
      </w:tblGrid>
      <w:tr>
        <w:trPr>
          <w:trHeight w:val="552" w:hRule="exact"/>
        </w:trPr>
        <w:tc>
          <w:tcPr>
            <w:tcW w:w="1387"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53"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944"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55" w:line="224"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First Cause</w:t>
            </w:r>
          </w:p>
        </w:tc>
        <w:tc>
          <w:tcPr>
            <w:tcW w:w="2069"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55" w:line="224"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Second Cause</w:t>
            </w:r>
          </w:p>
        </w:tc>
        <w:tc>
          <w:tcPr>
            <w:tcW w:w="1891"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55" w:line="224"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Third Cause</w:t>
            </w:r>
          </w:p>
        </w:tc>
        <w:tc>
          <w:tcPr>
            <w:tcW w:w="220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1" w:line="26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Death Rate/100,000</w:t>
              <w:br/>
            </w:r>
            <w:r>
              <w:rPr>
                <w:rFonts w:ascii="Calibri" w:hAnsi="Calibri" w:eastAsia="Calibri"/>
                <w:b w:val="true"/>
                <w:color w:val="FFFFFF"/>
                <w:spacing w:val="0"/>
                <w:w w:val="100"/>
                <w:sz w:val="22"/>
                <w:vertAlign w:val="baseline"/>
                <w:lang w:val="en-US"/>
              </w:rPr>
              <w:t xml:space="preserve">(NYS: 744.2/100,000)</w:t>
            </w:r>
          </w:p>
        </w:tc>
      </w:tr>
      <w:tr>
        <w:trPr>
          <w:trHeight w:val="840"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11" w:after="297"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944"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4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648"/>
              </w:tabs>
              <w:spacing w:before="25" w:after="30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235.6/100,000</w:t>
            </w:r>
          </w:p>
        </w:tc>
        <w:tc>
          <w:tcPr>
            <w:tcW w:w="2069"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4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720"/>
              </w:tabs>
              <w:spacing w:before="25" w:after="30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184.7/100,000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8" w:after="23"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87.0 /100,000</w:t>
            </w:r>
          </w:p>
        </w:tc>
        <w:tc>
          <w:tcPr>
            <w:tcW w:w="2203" w:type="dxa"/>
            <w:tcBorders>
              <w:top w:val="single" w:sz="5" w:color="000000"/>
              <w:left w:val="single" w:sz="5" w:color="000000"/>
              <w:bottom w:val="single" w:sz="5" w:color="000000"/>
              <w:right w:val="single" w:sz="5" w:color="000000"/>
            </w:tcBorders>
            <w:textDirection w:val="lrTb"/>
            <w:vAlign w:val="center"/>
          </w:tcPr>
          <w:p>
            <w:pPr>
              <w:spacing w:before="311" w:after="306"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1,014</w:t>
            </w:r>
          </w:p>
        </w:tc>
      </w:tr>
      <w:tr>
        <w:trPr>
          <w:trHeight w:val="835"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11" w:after="29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944"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4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648"/>
              </w:tabs>
              <w:spacing w:before="30" w:after="30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145.1/100,000</w:t>
            </w:r>
          </w:p>
        </w:tc>
        <w:tc>
          <w:tcPr>
            <w:tcW w:w="2069"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4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720"/>
              </w:tabs>
              <w:spacing w:before="30" w:after="30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122.1/100,000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3" w:after="24"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73.1/100,000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311" w:after="306"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763.1</w:t>
            </w:r>
          </w:p>
        </w:tc>
      </w:tr>
      <w:tr>
        <w:trPr>
          <w:trHeight w:val="840"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11" w:after="295"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944"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4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648"/>
              </w:tabs>
              <w:spacing w:before="30" w:after="30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141.8/100,000</w:t>
            </w:r>
          </w:p>
        </w:tc>
        <w:tc>
          <w:tcPr>
            <w:tcW w:w="2069"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4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720"/>
              </w:tabs>
              <w:spacing w:before="30" w:after="30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128.9/100,000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4" w:after="24"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69.8/100,000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311" w:after="306"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716.9</w:t>
            </w:r>
          </w:p>
        </w:tc>
      </w:tr>
      <w:tr>
        <w:trPr>
          <w:trHeight w:val="816"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02" w:after="28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944"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34"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648"/>
              </w:tabs>
              <w:spacing w:before="30" w:after="293"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221.5/100,000</w:t>
            </w:r>
          </w:p>
        </w:tc>
        <w:tc>
          <w:tcPr>
            <w:tcW w:w="2069" w:type="dxa"/>
            <w:tcBorders>
              <w:top w:val="single" w:sz="5" w:color="000000"/>
              <w:left w:val="single" w:sz="5" w:color="000000"/>
              <w:bottom w:val="single" w:sz="5" w:color="000000"/>
              <w:right w:val="single" w:sz="5" w:color="000000"/>
            </w:tcBorders>
            <w:shd w:val="clear" w:color="F9E1D4" w:fill="F9E1D4"/>
            <w:textDirection w:val="lrTb"/>
            <w:vAlign w:val="center"/>
          </w:tcPr>
          <w:p>
            <w:pPr>
              <w:spacing w:before="16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720"/>
              </w:tabs>
              <w:spacing w:before="30" w:after="158"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210.8/100,000</w:t>
            </w:r>
          </w:p>
        </w:tc>
        <w:tc>
          <w:tcPr>
            <w:tcW w:w="1891" w:type="dxa"/>
            <w:tcBorders>
              <w:top w:val="single" w:sz="5" w:color="000000"/>
              <w:left w:val="single" w:sz="5" w:color="000000"/>
              <w:bottom w:val="single" w:sz="5" w:color="000000"/>
              <w:right w:val="single" w:sz="5" w:color="000000"/>
            </w:tcBorders>
            <w:shd w:val="clear" w:color="D1D1D1" w:fill="D1D1D1"/>
            <w:textDirection w:val="lrTb"/>
            <w:vAlign w:val="top"/>
          </w:tcPr>
          <w:p>
            <w:pPr>
              <w:spacing w:before="34"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Diabetes</w:t>
            </w:r>
          </w:p>
          <w:p>
            <w:pPr>
              <w:tabs>
                <w:tab w:val="decimal" w:leader="none" w:pos="576"/>
              </w:tabs>
              <w:spacing w:before="30" w:after="293"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63.6/100,000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302" w:after="296"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974.3</w:t>
            </w:r>
          </w:p>
        </w:tc>
      </w:tr>
      <w:tr>
        <w:trPr>
          <w:trHeight w:val="1104"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46" w:after="433"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944"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648"/>
              </w:tabs>
              <w:spacing w:before="30" w:after="441"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167.6/100,000</w:t>
            </w:r>
          </w:p>
        </w:tc>
        <w:tc>
          <w:tcPr>
            <w:tcW w:w="2069"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720"/>
              </w:tabs>
              <w:spacing w:before="30" w:after="441"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155.8/100,000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8" w:after="297"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87.8 /100,000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446" w:after="444"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812.9</w:t>
            </w:r>
          </w:p>
        </w:tc>
      </w:tr>
      <w:tr>
        <w:trPr>
          <w:trHeight w:val="1104"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46" w:after="424"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944"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648"/>
              </w:tabs>
              <w:spacing w:before="30" w:after="432"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204.7/100,000</w:t>
            </w:r>
          </w:p>
        </w:tc>
        <w:tc>
          <w:tcPr>
            <w:tcW w:w="2069"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720"/>
              </w:tabs>
              <w:spacing w:before="30" w:after="432"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187.8/100,000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4" w:after="288"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71.5/100,000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446" w:after="435"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944.8</w:t>
            </w:r>
          </w:p>
        </w:tc>
      </w:tr>
      <w:tr>
        <w:trPr>
          <w:trHeight w:val="1109"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46" w:after="427"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944"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8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648"/>
              </w:tabs>
              <w:spacing w:before="25" w:after="437"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151.5/100,000</w:t>
            </w:r>
          </w:p>
        </w:tc>
        <w:tc>
          <w:tcPr>
            <w:tcW w:w="2069"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83"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720"/>
              </w:tabs>
              <w:spacing w:before="25" w:after="437"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170.4/100,000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8" w:after="288"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78.3/100,000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446" w:after="440"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828.0</w:t>
            </w:r>
          </w:p>
        </w:tc>
      </w:tr>
      <w:tr>
        <w:trPr>
          <w:trHeight w:val="1113" w:hRule="exact"/>
        </w:trPr>
        <w:tc>
          <w:tcPr>
            <w:tcW w:w="1387"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45" w:after="429"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944"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Cancer</w:t>
            </w:r>
          </w:p>
          <w:p>
            <w:pPr>
              <w:tabs>
                <w:tab w:val="decimal" w:leader="none" w:pos="648"/>
              </w:tabs>
              <w:spacing w:before="29" w:after="43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143.3/100,000</w:t>
            </w:r>
          </w:p>
        </w:tc>
        <w:tc>
          <w:tcPr>
            <w:tcW w:w="2069"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78" w:after="0" w:line="238" w:lineRule="exact"/>
              <w:ind w:right="0" w:left="0" w:firstLine="0"/>
              <w:jc w:val="center"/>
              <w:textAlignment w:val="baseline"/>
              <w:rPr>
                <w:rFonts w:ascii="Calibri" w:hAnsi="Calibri" w:eastAsia="Calibri"/>
                <w:i w:val="true"/>
                <w:color w:val="000000"/>
                <w:spacing w:val="0"/>
                <w:w w:val="100"/>
                <w:sz w:val="21"/>
                <w:vertAlign w:val="baseline"/>
                <w:lang w:val="en-US"/>
              </w:rPr>
            </w:pPr>
            <w:r>
              <w:rPr>
                <w:rFonts w:ascii="Calibri" w:hAnsi="Calibri" w:eastAsia="Calibri"/>
                <w:i w:val="true"/>
                <w:color w:val="000000"/>
                <w:spacing w:val="0"/>
                <w:w w:val="100"/>
                <w:sz w:val="21"/>
                <w:vertAlign w:val="baseline"/>
                <w:lang w:val="en-US"/>
              </w:rPr>
              <w:t xml:space="preserve">Heart Disease</w:t>
            </w:r>
          </w:p>
          <w:p>
            <w:pPr>
              <w:tabs>
                <w:tab w:val="decimal" w:leader="none" w:pos="720"/>
              </w:tabs>
              <w:spacing w:before="29" w:after="43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142.6/100,000</w:t>
            </w:r>
          </w:p>
        </w:tc>
        <w:tc>
          <w:tcPr>
            <w:tcW w:w="1891" w:type="dxa"/>
            <w:tcBorders>
              <w:top w:val="single" w:sz="5" w:color="000000"/>
              <w:left w:val="single" w:sz="5" w:color="000000"/>
              <w:bottom w:val="single" w:sz="5" w:color="000000"/>
              <w:right w:val="single" w:sz="5" w:color="000000"/>
            </w:tcBorders>
            <w:shd w:val="clear" w:color="F1CEEC" w:fill="F1CEEC"/>
            <w:textDirection w:val="lrTb"/>
            <w:vAlign w:val="top"/>
          </w:tcPr>
          <w:p>
            <w:pPr>
              <w:spacing w:before="0" w:after="0" w:line="278" w:lineRule="exact"/>
              <w:ind w:right="0" w:left="0" w:firstLine="0"/>
              <w:jc w:val="center"/>
              <w:textAlignment w:val="baseline"/>
              <w:rPr>
                <w:rFonts w:ascii="Segoe UI" w:hAnsi="Segoe UI" w:eastAsia="Segoe UI"/>
                <w:i w:val="true"/>
                <w:color w:val="000000"/>
                <w:spacing w:val="0"/>
                <w:w w:val="100"/>
                <w:sz w:val="21"/>
                <w:vertAlign w:val="baseline"/>
                <w:lang w:val="en-US"/>
              </w:rPr>
            </w:pPr>
            <w:r>
              <w:rPr>
                <w:rFonts w:ascii="Segoe UI" w:hAnsi="Segoe UI" w:eastAsia="Segoe UI"/>
                <w:i w:val="true"/>
                <w:color w:val="000000"/>
                <w:spacing w:val="0"/>
                <w:w w:val="100"/>
                <w:sz w:val="21"/>
                <w:vertAlign w:val="baseline"/>
                <w:lang w:val="en-US"/>
              </w:rPr>
              <w:t xml:space="preserve">Alzheimer's and</w:t>
              <w:br/>
            </w:r>
            <w:r>
              <w:rPr>
                <w:rFonts w:ascii="Segoe UI" w:hAnsi="Segoe UI" w:eastAsia="Segoe UI"/>
                <w:i w:val="true"/>
                <w:color w:val="000000"/>
                <w:spacing w:val="0"/>
                <w:w w:val="100"/>
                <w:sz w:val="21"/>
                <w:vertAlign w:val="baseline"/>
                <w:lang w:val="en-US"/>
              </w:rPr>
              <w:t xml:space="preserve">Other Dementias</w:t>
            </w:r>
          </w:p>
          <w:p>
            <w:pPr>
              <w:tabs>
                <w:tab w:val="decimal" w:leader="none" w:pos="576"/>
              </w:tabs>
              <w:spacing w:before="28" w:after="29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88.4/100,000</w:t>
            </w:r>
          </w:p>
        </w:tc>
        <w:tc>
          <w:tcPr>
            <w:tcW w:w="2203" w:type="dxa"/>
            <w:tcBorders>
              <w:top w:val="single" w:sz="5" w:color="000000"/>
              <w:left w:val="single" w:sz="5" w:color="000000"/>
              <w:bottom w:val="single" w:sz="5" w:color="000000"/>
              <w:right w:val="single" w:sz="5" w:color="000000"/>
            </w:tcBorders>
            <w:textDirection w:val="lrTb"/>
            <w:vAlign w:val="center"/>
          </w:tcPr>
          <w:p>
            <w:pPr>
              <w:tabs>
                <w:tab w:val="decimal" w:leader="none" w:pos="1224"/>
              </w:tabs>
              <w:spacing w:before="445" w:after="440" w:line="213"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839.3</w:t>
            </w:r>
          </w:p>
        </w:tc>
      </w:tr>
    </w:tbl>
    <w:p>
      <w:pPr>
        <w:spacing w:before="8" w:after="2347"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New York State Department of Health Vital Statistics, 2022</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33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shapetype id="_x0000_t148" coordsize="21600,21600" o:spt="202" path="m,l,21600r21600,l21600,xe">
            <v:stroke joinstyle="miter"/>
            <v:path gradientshapeok="t" o:connecttype="rect"/>
          </v:shapetype>
          <v:shape id="_x0000_s147" type="#_x0000_t148" fillcolor="#FEFDFD" stroked="f" style="position:absolute;width:612pt;height:792pt;z-index:-999;margin-left:0pt;margin-top:0pt;mso-position-horizontal-relative:page;mso-position-vertical-relative:page">
            <v:textbox>
              <w:txbxContent/>
            </v:textbox>
          </v:shape>
        </w:pict>
      </w:r>
      <w:r>
        <w:rPr>
          <w:rFonts w:ascii="Calibri" w:hAnsi="Calibri" w:eastAsia="Calibri"/>
          <w:b w:val="true"/>
          <w:color w:val="145F82"/>
          <w:spacing w:val="0"/>
          <w:w w:val="100"/>
          <w:sz w:val="28"/>
          <w:vertAlign w:val="baseline"/>
          <w:lang w:val="en-US"/>
        </w:rPr>
        <w:t xml:space="preserve">Comprehensive Regional Community Health Assessment</w:t>
      </w:r>
    </w:p>
    <w:p>
      <w:pPr>
        <w:spacing w:before="166" w:after="0" w:line="288" w:lineRule="exact"/>
        <w:ind w:right="1440" w:left="1440" w:firstLine="0"/>
        <w:jc w:val="left"/>
        <w:textAlignment w:val="baseline"/>
        <w:rPr>
          <w:rFonts w:ascii="Calibri" w:hAnsi="Calibri" w:eastAsia="Calibri"/>
          <w:color w:val="000000"/>
          <w:spacing w:val="-1"/>
          <w:w w:val="100"/>
          <w:sz w:val="22"/>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1"/>
          <w:w w:val="100"/>
          <w:sz w:val="22"/>
          <w:vertAlign w:val="baseline"/>
          <w:lang w:val="en-US"/>
        </w:rPr>
        <w:t xml:space="preserve">Map 4 highlights the age-adjusted death rate for heart disease per 100,000 population and Map 5 details the age-adjusted death rate for cancer per 100,000 population in each of the counties of the Finger Lakes. Note that the highest death rates for both cancer and heart disease in both maps coincide with the highest poverty rates (Maps 6-8), and lowest life expectancy of the counties. It also coincides with higher preventable hospitalizations (Map 13) and higher Emergency Department visits (Maps 14-18).</w:t>
      </w:r>
    </w:p>
    <w:p>
      <w:pPr>
        <w:tabs>
          <w:tab w:val="left" w:leader="none" w:pos="6336"/>
        </w:tabs>
        <w:spacing w:before="505" w:after="0" w:line="182" w:lineRule="exact"/>
        <w:ind w:right="0" w:left="36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4: Age-Adjusted Death Rate for Heart Disease Rate per	</w:t>
      </w:r>
      <w:r>
        <w:rPr>
          <w:rFonts w:ascii="Calibri" w:hAnsi="Calibri" w:eastAsia="Calibri"/>
          <w:i w:val="true"/>
          <w:color w:val="0E2841"/>
          <w:spacing w:val="0"/>
          <w:w w:val="100"/>
          <w:sz w:val="18"/>
          <w:vertAlign w:val="baseline"/>
          <w:lang w:val="en-US"/>
        </w:rPr>
        <w:t xml:space="preserve">Map 5: Age-adjusted Death Rate for Cancer Rate per</w:t>
      </w:r>
    </w:p>
    <w:p>
      <w:pPr>
        <w:tabs>
          <w:tab w:val="left" w:leader="none" w:pos="6336"/>
        </w:tabs>
        <w:spacing w:before="33" w:after="206" w:line="188" w:lineRule="exact"/>
        <w:ind w:right="0" w:left="360" w:firstLine="0"/>
        <w:jc w:val="left"/>
        <w:textAlignment w:val="baseline"/>
        <w:rPr>
          <w:rFonts w:ascii="Calibri" w:hAnsi="Calibri" w:eastAsia="Calibri"/>
          <w:i w:val="true"/>
          <w:color w:val="0E2841"/>
          <w:spacing w:val="-1"/>
          <w:w w:val="100"/>
          <w:sz w:val="18"/>
          <w:vertAlign w:val="baseline"/>
          <w:lang w:val="en-US"/>
        </w:rPr>
      </w:pPr>
      <w:r>
        <w:rPr>
          <w:rFonts w:ascii="Calibri" w:hAnsi="Calibri" w:eastAsia="Calibri"/>
          <w:i w:val="true"/>
          <w:color w:val="0E2841"/>
          <w:spacing w:val="-1"/>
          <w:w w:val="100"/>
          <w:sz w:val="18"/>
          <w:vertAlign w:val="baseline"/>
          <w:lang w:val="en-US"/>
        </w:rPr>
        <w:t xml:space="preserve">100,000	</w:t>
      </w:r>
      <w:r>
        <w:rPr>
          <w:rFonts w:ascii="Calibri" w:hAnsi="Calibri" w:eastAsia="Calibri"/>
          <w:i w:val="true"/>
          <w:color w:val="0E2841"/>
          <w:spacing w:val="-1"/>
          <w:w w:val="100"/>
          <w:sz w:val="18"/>
          <w:vertAlign w:val="baseline"/>
          <w:lang w:val="en-US"/>
        </w:rPr>
        <w:t xml:space="preserve">100,000</w:t>
      </w:r>
    </w:p>
    <w:p>
      <w:pPr>
        <w:spacing w:before="0" w:after="0" w:line="240" w:lineRule="auto"/>
        <w:ind w:right="326" w:left="384"/>
        <w:jc w:val="left"/>
        <w:textAlignment w:val="baseline"/>
      </w:pPr>
      <w:r>
        <w:drawing>
          <wp:inline>
            <wp:extent cx="7321550" cy="3221355"/>
            <wp:docPr name="Picture" id="38"/>
            <a:graphic>
              <a:graphicData uri="http://schemas.openxmlformats.org/drawingml/2006/picture">
                <pic:pic>
                  <pic:nvPicPr>
                    <pic:cNvPr id="38" name="Picture"/>
                    <pic:cNvPicPr preferRelativeResize="false"/>
                  </pic:nvPicPr>
                  <pic:blipFill>
                    <a:blip r:embed="prId38"/>
                    <a:stretch>
                      <a:fillRect/>
                    </a:stretch>
                  </pic:blipFill>
                  <pic:spPr>
                    <a:xfrm>
                      <a:off x="0" y="0"/>
                      <a:ext cx="7321550" cy="3221355"/>
                    </a:xfrm>
                    <a:prstGeom prst="rect"/>
                  </pic:spPr>
                </pic:pic>
              </a:graphicData>
            </a:graphic>
          </wp:inline>
        </w:drawing>
      </w:r>
    </w:p>
    <w:p>
      <w:pPr>
        <w:tabs>
          <w:tab w:val="left" w:leader="none" w:pos="6264"/>
        </w:tabs>
        <w:spacing w:before="0" w:after="0" w:line="178" w:lineRule="exact"/>
        <w:ind w:right="0" w:left="360" w:firstLine="0"/>
        <w:jc w:val="left"/>
        <w:textAlignment w:val="baseline"/>
        <w:rPr>
          <w:rFonts w:ascii="Calibri" w:hAnsi="Calibri" w:eastAsia="Calibri"/>
          <w:i w:val="true"/>
          <w:color w:val="0E2841"/>
          <w:spacing w:val="-1"/>
          <w:w w:val="100"/>
          <w:sz w:val="18"/>
          <w:vertAlign w:val="baseline"/>
          <w:lang w:val="en-US"/>
        </w:rPr>
      </w:pPr>
      <w:r>
        <w:rPr>
          <w:rFonts w:ascii="Calibri" w:hAnsi="Calibri" w:eastAsia="Calibri"/>
          <w:i w:val="true"/>
          <w:color w:val="0E2841"/>
          <w:spacing w:val="-1"/>
          <w:w w:val="100"/>
          <w:sz w:val="18"/>
          <w:vertAlign w:val="baseline"/>
          <w:lang w:val="en-US"/>
        </w:rPr>
        <w:t xml:space="preserve">Courtesy: Common Ground Health	</w:t>
      </w:r>
      <w:r>
        <w:rPr>
          <w:rFonts w:ascii="Calibri" w:hAnsi="Calibri" w:eastAsia="Calibri"/>
          <w:i w:val="true"/>
          <w:color w:val="0E2841"/>
          <w:spacing w:val="-1"/>
          <w:w w:val="100"/>
          <w:sz w:val="18"/>
          <w:vertAlign w:val="baseline"/>
          <w:lang w:val="en-US"/>
        </w:rPr>
        <w:t xml:space="preserve">Courtesy: Common Ground Health</w:t>
      </w:r>
    </w:p>
    <w:p>
      <w:pPr>
        <w:spacing w:before="0" w:after="654" w:line="240" w:lineRule="auto"/>
        <w:ind w:right="326" w:left="422"/>
        <w:jc w:val="left"/>
        <w:textAlignment w:val="baseline"/>
      </w:pPr>
      <w:r>
        <w:drawing>
          <wp:inline>
            <wp:extent cx="7297420" cy="240665"/>
            <wp:docPr name="Picture" id="39"/>
            <a:graphic>
              <a:graphicData uri="http://schemas.openxmlformats.org/drawingml/2006/picture">
                <pic:pic>
                  <pic:nvPicPr>
                    <pic:cNvPr id="39" name="Picture"/>
                    <pic:cNvPicPr preferRelativeResize="false"/>
                  </pic:nvPicPr>
                  <pic:blipFill>
                    <a:blip r:embed="prId39"/>
                    <a:stretch>
                      <a:fillRect/>
                    </a:stretch>
                  </pic:blipFill>
                  <pic:spPr>
                    <a:xfrm>
                      <a:off x="0" y="0"/>
                      <a:ext cx="7297420" cy="240665"/>
                    </a:xfrm>
                    <a:prstGeom prst="rect"/>
                  </pic:spPr>
                </pic:pic>
              </a:graphicData>
            </a:graphic>
          </wp:inline>
        </w:drawing>
      </w:r>
    </w:p>
    <w:p>
      <w:pPr>
        <w:spacing w:before="18" w:after="0" w:line="221" w:lineRule="exact"/>
        <w:ind w:right="0" w:left="1440" w:firstLine="0"/>
        <w:jc w:val="left"/>
        <w:textAlignment w:val="baseline"/>
        <w:rPr>
          <w:rFonts w:ascii="Calibri" w:hAnsi="Calibri" w:eastAsia="Calibri"/>
          <w:i w:val="true"/>
          <w:color w:val="000000"/>
          <w:spacing w:val="4"/>
          <w:w w:val="100"/>
          <w:sz w:val="21"/>
          <w:vertAlign w:val="baseline"/>
          <w:lang w:val="en-US"/>
        </w:rPr>
      </w:pPr>
      <w:r>
        <w:rPr>
          <w:rFonts w:ascii="Calibri" w:hAnsi="Calibri" w:eastAsia="Calibri"/>
          <w:i w:val="true"/>
          <w:color w:val="000000"/>
          <w:spacing w:val="4"/>
          <w:w w:val="100"/>
          <w:sz w:val="21"/>
          <w:vertAlign w:val="baseline"/>
          <w:lang w:val="en-US"/>
        </w:rPr>
        <w:t xml:space="preserve">Leading Causes of Premature Death</w:t>
      </w:r>
    </w:p>
    <w:p>
      <w:pPr>
        <w:spacing w:before="168" w:after="0" w:line="288"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top causes of premature death in the counties of the Finger Lakes region may be seen in Table 7 with the number of deaths per 100,000 population. Consistent across all eight counties, the top three causes of premature death (before age 75) are cancer, heart disease and unintentional injury. Most counties also exceed the New York State average rate for premature death.</w:t>
      </w:r>
    </w:p>
    <w:p>
      <w:pPr>
        <w:spacing w:before="163" w:after="1488" w:line="288"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Unintentional injury deaths in Yates County may be due in part to its Mennonite population. There are many family-owned farms on which children assist parents with chores. Transportation by horse and buggy and bicycle further increases the risks for injuries on roadways.</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34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0" w:after="20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i w:val="true"/>
          <w:color w:val="0E2841"/>
          <w:spacing w:val="0"/>
          <w:w w:val="100"/>
          <w:sz w:val="18"/>
          <w:vertAlign w:val="baseline"/>
          <w:lang w:val="en-US"/>
        </w:rPr>
        <w:t xml:space="preserve">Table 7: Leading Causes of Premature Death 2022</w:t>
      </w:r>
    </w:p>
    <w:tbl>
      <w:tblPr>
        <w:jc w:val="left"/>
        <w:tblInd w:w="1440" w:type="dxa"/>
        <w:tblLayout w:type="fixed"/>
        <w:tblCellMar>
          <w:left w:w="0" w:type="dxa"/>
          <w:right w:w="0" w:type="dxa"/>
        </w:tblCellMar>
      </w:tblPr>
      <w:tblGrid>
        <w:gridCol w:w="1531"/>
        <w:gridCol w:w="1978"/>
        <w:gridCol w:w="1982"/>
        <w:gridCol w:w="2160"/>
        <w:gridCol w:w="1709"/>
      </w:tblGrid>
      <w:tr>
        <w:trPr>
          <w:trHeight w:val="1090" w:hRule="exact"/>
        </w:trPr>
        <w:tc>
          <w:tcPr>
            <w:tcW w:w="1531"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41" w:after="412"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978"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41" w:after="413" w:line="22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First Cause</w:t>
            </w:r>
          </w:p>
        </w:tc>
        <w:tc>
          <w:tcPr>
            <w:tcW w:w="1982"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41" w:after="413" w:line="22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Second Cause</w:t>
            </w:r>
          </w:p>
        </w:tc>
        <w:tc>
          <w:tcPr>
            <w:tcW w:w="216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41" w:after="413" w:line="22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Third Cause</w:t>
            </w:r>
          </w:p>
        </w:tc>
        <w:tc>
          <w:tcPr>
            <w:tcW w:w="1709"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0"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Premature</w:t>
              <w:br/>
            </w:r>
            <w:r>
              <w:rPr>
                <w:rFonts w:ascii="Calibri" w:hAnsi="Calibri" w:eastAsia="Calibri"/>
                <w:b w:val="true"/>
                <w:color w:val="FFFFFF"/>
                <w:spacing w:val="0"/>
                <w:w w:val="100"/>
                <w:sz w:val="22"/>
                <w:vertAlign w:val="baseline"/>
                <w:lang w:val="en-US"/>
              </w:rPr>
              <w:t xml:space="preserve">Death Rate</w:t>
              <w:br/>
            </w:r>
            <w:r>
              <w:rPr>
                <w:rFonts w:ascii="Calibri" w:hAnsi="Calibri" w:eastAsia="Calibri"/>
                <w:b w:val="true"/>
                <w:color w:val="FFFFFF"/>
                <w:spacing w:val="0"/>
                <w:w w:val="100"/>
                <w:sz w:val="22"/>
                <w:vertAlign w:val="baseline"/>
                <w:lang w:val="en-US"/>
              </w:rPr>
              <w:t xml:space="preserve">(NYS:</w:t>
              <w:br/>
            </w:r>
            <w:r>
              <w:rPr>
                <w:rFonts w:ascii="Calibri" w:hAnsi="Calibri" w:eastAsia="Calibri"/>
                <w:b w:val="true"/>
                <w:color w:val="FFFFFF"/>
                <w:spacing w:val="0"/>
                <w:w w:val="100"/>
                <w:sz w:val="22"/>
                <w:vertAlign w:val="baseline"/>
                <w:lang w:val="en-US"/>
              </w:rPr>
              <w:t xml:space="preserve">326.8/100,000)</w:t>
            </w:r>
          </w:p>
        </w:tc>
      </w:tr>
      <w:tr>
        <w:trPr>
          <w:trHeight w:val="816"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01" w:after="28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32"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8" w:after="29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111.7/100,000</w:t>
            </w:r>
          </w:p>
        </w:tc>
        <w:tc>
          <w:tcPr>
            <w:tcW w:w="1982"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648"/>
              </w:tabs>
              <w:spacing w:before="47" w:after="158"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88.3/100,000</w:t>
            </w:r>
          </w:p>
        </w:tc>
        <w:tc>
          <w:tcPr>
            <w:tcW w:w="2160"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32" w:after="0" w:line="222"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Injury</w:t>
            </w:r>
          </w:p>
          <w:p>
            <w:pPr>
              <w:tabs>
                <w:tab w:val="decimal" w:leader="none" w:pos="720"/>
              </w:tabs>
              <w:spacing w:before="47" w:after="29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75.4/100,000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01" w:after="295"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496.2</w:t>
            </w:r>
          </w:p>
        </w:tc>
      </w:tr>
      <w:tr>
        <w:trPr>
          <w:trHeight w:val="1084"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5" w:after="412"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7" w:after="42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80.8/100,000</w:t>
            </w:r>
          </w:p>
        </w:tc>
        <w:tc>
          <w:tcPr>
            <w:tcW w:w="1982"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0" w:after="0" w:line="26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w:t>
              <w:br/>
            </w:r>
            <w:r>
              <w:rPr>
                <w:rFonts w:ascii="Calibri" w:hAnsi="Calibri" w:eastAsia="Calibri"/>
                <w:i w:val="true"/>
                <w:color w:val="000000"/>
                <w:spacing w:val="0"/>
                <w:w w:val="100"/>
                <w:sz w:val="22"/>
                <w:vertAlign w:val="baseline"/>
                <w:lang w:val="en-US"/>
              </w:rPr>
              <w:t xml:space="preserve">Injury</w:t>
            </w:r>
          </w:p>
          <w:p>
            <w:pPr>
              <w:tabs>
                <w:tab w:val="decimal" w:leader="none" w:pos="648"/>
              </w:tabs>
              <w:spacing w:before="43" w:after="29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43.6/100,000</w:t>
            </w:r>
          </w:p>
        </w:tc>
        <w:tc>
          <w:tcPr>
            <w:tcW w:w="2160"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720"/>
              </w:tabs>
              <w:spacing w:before="47" w:after="42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33.4/100,000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435" w:after="425"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324.1</w:t>
            </w:r>
          </w:p>
        </w:tc>
      </w:tr>
      <w:tr>
        <w:trPr>
          <w:trHeight w:val="816"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02" w:after="284" w:line="225"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8" w:after="293"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60.5/100,000</w:t>
            </w:r>
          </w:p>
        </w:tc>
        <w:tc>
          <w:tcPr>
            <w:tcW w:w="1982"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648"/>
              </w:tabs>
              <w:spacing w:before="48" w:after="293"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60.7/100,000</w:t>
            </w:r>
          </w:p>
        </w:tc>
        <w:tc>
          <w:tcPr>
            <w:tcW w:w="2160"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167" w:after="0" w:line="222"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Injury</w:t>
            </w:r>
          </w:p>
          <w:p>
            <w:pPr>
              <w:tabs>
                <w:tab w:val="decimal" w:leader="none" w:pos="720"/>
              </w:tabs>
              <w:spacing w:before="47" w:after="158"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38.1/100,000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02" w:after="295"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304.6</w:t>
            </w:r>
          </w:p>
        </w:tc>
      </w:tr>
      <w:tr>
        <w:trPr>
          <w:trHeight w:val="1085"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6" w:after="41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8" w:after="42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123.0/100,000</w:t>
            </w:r>
          </w:p>
        </w:tc>
        <w:tc>
          <w:tcPr>
            <w:tcW w:w="1982"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648"/>
              </w:tabs>
              <w:spacing w:before="48" w:after="557"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65.8/100,000</w:t>
            </w:r>
          </w:p>
        </w:tc>
        <w:tc>
          <w:tcPr>
            <w:tcW w:w="2160"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167" w:after="0" w:line="222"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Injury</w:t>
            </w:r>
          </w:p>
          <w:p>
            <w:pPr>
              <w:tabs>
                <w:tab w:val="decimal" w:leader="none" w:pos="720"/>
              </w:tabs>
              <w:spacing w:before="47" w:after="42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62.0/100,000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436" w:after="425"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420.2</w:t>
            </w:r>
          </w:p>
        </w:tc>
      </w:tr>
      <w:tr>
        <w:trPr>
          <w:trHeight w:val="816"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297" w:after="289" w:line="225"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3" w:after="298"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91.5/100,000</w:t>
            </w:r>
          </w:p>
        </w:tc>
        <w:tc>
          <w:tcPr>
            <w:tcW w:w="1982"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648"/>
              </w:tabs>
              <w:spacing w:before="43" w:after="298"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50.8/100,000</w:t>
            </w:r>
          </w:p>
        </w:tc>
        <w:tc>
          <w:tcPr>
            <w:tcW w:w="2160"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Injury</w:t>
            </w:r>
          </w:p>
          <w:p>
            <w:pPr>
              <w:tabs>
                <w:tab w:val="decimal" w:leader="none" w:pos="720"/>
              </w:tabs>
              <w:spacing w:before="43" w:after="29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36.7/100,000)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297" w:after="300"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369.6</w:t>
            </w:r>
          </w:p>
        </w:tc>
      </w:tr>
      <w:tr>
        <w:trPr>
          <w:trHeight w:val="816"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297" w:after="293" w:line="225"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3" w:after="302"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97.1/100,000</w:t>
            </w:r>
          </w:p>
        </w:tc>
        <w:tc>
          <w:tcPr>
            <w:tcW w:w="1982"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648"/>
              </w:tabs>
              <w:spacing w:before="43" w:after="302"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62.6/100,000</w:t>
            </w:r>
          </w:p>
        </w:tc>
        <w:tc>
          <w:tcPr>
            <w:tcW w:w="2160"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33"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Injury</w:t>
            </w:r>
          </w:p>
          <w:p>
            <w:pPr>
              <w:tabs>
                <w:tab w:val="decimal" w:leader="none" w:pos="720"/>
              </w:tabs>
              <w:spacing w:before="43" w:after="302"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48.9/100,000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297" w:after="304"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423.5</w:t>
            </w:r>
          </w:p>
        </w:tc>
      </w:tr>
      <w:tr>
        <w:trPr>
          <w:trHeight w:val="1080"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6" w:after="417"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978"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8" w:after="42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93.6/100,000</w:t>
            </w:r>
          </w:p>
        </w:tc>
        <w:tc>
          <w:tcPr>
            <w:tcW w:w="1982" w:type="dxa"/>
            <w:tcBorders>
              <w:top w:val="single" w:sz="5" w:color="000000"/>
              <w:left w:val="single" w:sz="5" w:color="000000"/>
              <w:bottom w:val="single" w:sz="5" w:color="000000"/>
              <w:right w:val="single" w:sz="5" w:color="000000"/>
            </w:tcBorders>
            <w:shd w:val="clear" w:color="0F9ED4" w:fill="0F9ED4"/>
            <w:textDirection w:val="lrTb"/>
            <w:vAlign w:val="top"/>
          </w:tcPr>
          <w:p>
            <w:pPr>
              <w:spacing w:before="0" w:after="0" w:line="26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w:t>
              <w:br/>
            </w:r>
            <w:r>
              <w:rPr>
                <w:rFonts w:ascii="Calibri" w:hAnsi="Calibri" w:eastAsia="Calibri"/>
                <w:i w:val="true"/>
                <w:color w:val="000000"/>
                <w:spacing w:val="0"/>
                <w:w w:val="100"/>
                <w:sz w:val="22"/>
                <w:vertAlign w:val="baseline"/>
                <w:lang w:val="en-US"/>
              </w:rPr>
              <w:t xml:space="preserve">Injury</w:t>
            </w:r>
          </w:p>
          <w:p>
            <w:pPr>
              <w:tabs>
                <w:tab w:val="decimal" w:leader="none" w:pos="648"/>
              </w:tabs>
              <w:spacing w:before="43" w:after="297" w:line="21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58.1/100,000</w:t>
            </w:r>
          </w:p>
        </w:tc>
        <w:tc>
          <w:tcPr>
            <w:tcW w:w="2160"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720"/>
              </w:tabs>
              <w:spacing w:before="48" w:after="42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65.6/100,000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436" w:after="429"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398.4</w:t>
            </w:r>
          </w:p>
        </w:tc>
      </w:tr>
      <w:tr>
        <w:trPr>
          <w:trHeight w:val="1094" w:hRule="exact"/>
        </w:trPr>
        <w:tc>
          <w:tcPr>
            <w:tcW w:w="1531"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6" w:after="418" w:line="225"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978" w:type="dxa"/>
            <w:tcBorders>
              <w:top w:val="single" w:sz="5" w:color="000000"/>
              <w:left w:val="single" w:sz="5" w:color="000000"/>
              <w:bottom w:val="single" w:sz="5" w:color="000000"/>
              <w:right w:val="single" w:sz="5" w:color="000000"/>
            </w:tcBorders>
            <w:shd w:val="clear" w:color="DAE9F7" w:fill="DAE9F7"/>
            <w:textDirection w:val="lrTb"/>
            <w:vAlign w:val="top"/>
          </w:tcPr>
          <w:p>
            <w:pPr>
              <w:spacing w:before="0" w:after="0" w:line="26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Unintentional</w:t>
              <w:br/>
            </w:r>
            <w:r>
              <w:rPr>
                <w:rFonts w:ascii="Calibri" w:hAnsi="Calibri" w:eastAsia="Calibri"/>
                <w:i w:val="true"/>
                <w:color w:val="000000"/>
                <w:spacing w:val="0"/>
                <w:w w:val="100"/>
                <w:sz w:val="22"/>
                <w:vertAlign w:val="baseline"/>
                <w:lang w:val="en-US"/>
              </w:rPr>
              <w:t xml:space="preserve">Injury</w:t>
            </w:r>
          </w:p>
          <w:p>
            <w:pPr>
              <w:tabs>
                <w:tab w:val="decimal" w:leader="none" w:pos="648"/>
              </w:tabs>
              <w:spacing w:before="47" w:after="292"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63.4/100,000</w:t>
            </w:r>
          </w:p>
        </w:tc>
        <w:tc>
          <w:tcPr>
            <w:tcW w:w="1982" w:type="dxa"/>
            <w:tcBorders>
              <w:top w:val="single" w:sz="5" w:color="000000"/>
              <w:left w:val="single" w:sz="5" w:color="000000"/>
              <w:bottom w:val="single" w:sz="5" w:color="000000"/>
              <w:right w:val="single" w:sz="5" w:color="000000"/>
            </w:tcBorders>
            <w:shd w:val="clear" w:color="D8F1D0" w:fill="D8F1D0"/>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Cancer</w:t>
            </w:r>
          </w:p>
          <w:p>
            <w:pPr>
              <w:tabs>
                <w:tab w:val="decimal" w:leader="none" w:pos="648"/>
              </w:tabs>
              <w:spacing w:before="48" w:after="42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61.4/100,000</w:t>
            </w:r>
          </w:p>
        </w:tc>
        <w:tc>
          <w:tcPr>
            <w:tcW w:w="2160" w:type="dxa"/>
            <w:tcBorders>
              <w:top w:val="single" w:sz="5" w:color="000000"/>
              <w:left w:val="single" w:sz="5" w:color="000000"/>
              <w:bottom w:val="single" w:sz="5" w:color="000000"/>
              <w:right w:val="single" w:sz="5" w:color="000000"/>
            </w:tcBorders>
            <w:shd w:val="clear" w:color="F9E1D4" w:fill="F9E1D4"/>
            <w:textDirection w:val="lrTb"/>
            <w:vAlign w:val="top"/>
          </w:tcPr>
          <w:p>
            <w:pPr>
              <w:spacing w:before="167" w:after="0" w:line="221" w:lineRule="exact"/>
              <w:ind w:right="0" w:left="0" w:firstLine="0"/>
              <w:jc w:val="center"/>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Heart Disease</w:t>
            </w:r>
          </w:p>
          <w:p>
            <w:pPr>
              <w:tabs>
                <w:tab w:val="decimal" w:leader="none" w:pos="720"/>
              </w:tabs>
              <w:spacing w:before="48" w:after="426" w:line="217"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46.0/100,000</w:t>
            </w:r>
          </w:p>
        </w:tc>
        <w:tc>
          <w:tcPr>
            <w:tcW w:w="1709"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436" w:after="429" w:line="21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334.4</w:t>
            </w:r>
          </w:p>
        </w:tc>
      </w:tr>
    </w:tbl>
    <w:p>
      <w:pPr>
        <w:spacing w:before="8"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New York State Department of Health Vital Statistics, 2022</w:t>
      </w:r>
    </w:p>
    <w:p>
      <w:pPr>
        <w:spacing w:before="244" w:after="0" w:line="221"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County Health Rankings</w:t>
      </w:r>
    </w:p>
    <w:p>
      <w:pPr>
        <w:spacing w:before="161"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University of Wisconsin Population Health Institute has created the County Health Rankings &amp; Roadmaps, a program that works to improve health outcomes for all and to close the health disparities gap between those with the most and least opportunities for good health.</w:t>
      </w:r>
      <w:r>
        <w:rPr>
          <w:rFonts w:ascii="Calibri" w:hAnsi="Calibri" w:eastAsia="Calibri"/>
          <w:color w:val="000000"/>
          <w:spacing w:val="0"/>
          <w:w w:val="100"/>
          <w:sz w:val="22"/>
          <w:vertAlign w:val="superscript"/>
          <w:lang w:val="en-US"/>
        </w:rPr>
        <w:t xml:space="preserve">19</w:t>
      </w:r>
      <w:r>
        <w:rPr>
          <w:rFonts w:ascii="Calibri" w:hAnsi="Calibri" w:eastAsia="Calibri"/>
          <w:color w:val="000000"/>
          <w:spacing w:val="0"/>
          <w:w w:val="100"/>
          <w:sz w:val="13"/>
          <w:vertAlign w:val="baseline"/>
          <w:lang w:val="en-US"/>
        </w:rPr>
        <w:t xml:space="preserve">
</w:t>
      </w:r>
    </w:p>
    <w:p>
      <w:pPr>
        <w:spacing w:before="164" w:after="354" w:line="289"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As the county health rankings model has evolved, so have the measures. Table 8 demonstrates how each county in the Finger Lakes ranks compared with New York State and the nation as a whole. Two categories are referenced: Health and Well-being describes health as “more than being free from disease and pain; health is the ability to thrive. Well-being covers both quality of life and the ability of people</w:t>
      </w:r>
    </w:p>
    <w:p>
      <w:pPr>
        <w:spacing w:before="145" w:after="58" w:line="199"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7pt" strokecolor="#000000" from="72pt,696.7pt" to="216.3pt,696.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19</w:t>
      </w:r>
      <w:r>
        <w:rPr>
          <w:rFonts w:ascii="Calibri" w:hAnsi="Calibri" w:eastAsia="Calibri"/>
          <w:color w:val="000000"/>
          <w:spacing w:val="0"/>
          <w:w w:val="100"/>
          <w:sz w:val="20"/>
          <w:vertAlign w:val="baseline"/>
          <w:lang w:val="en-US"/>
        </w:rPr>
        <w:t xml:space="preserve"> County Health Rankings, h</w:t>
      </w:r>
      <w:hyperlink r:id="dhId17">
        <w:r>
          <w:rPr>
            <w:rFonts w:ascii="Calibri" w:hAnsi="Calibri" w:eastAsia="Calibri"/>
            <w:color w:val="0000FF"/>
            <w:spacing w:val="0"/>
            <w:w w:val="100"/>
            <w:sz w:val="20"/>
            <w:u w:val="single"/>
            <w:vertAlign w:val="baseline"/>
            <w:lang w:val="en-US"/>
          </w:rPr>
          <w:t xml:space="preserve">ftps://www.countyhealthrankings.org/about-us</w:t>
        </w:r>
      </w:hyperlink>
      <w:r>
        <w:rPr>
          <w:rFonts w:ascii="Calibri" w:hAnsi="Calibri" w:eastAsia="Calibri"/>
          <w:color w:val="000000"/>
          <w:spacing w:val="0"/>
          <w:w w:val="100"/>
          <w:sz w:val="20"/>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35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157" w:after="0" w:line="291" w:lineRule="exact"/>
        <w:ind w:right="1656" w:left="1440" w:firstLine="0"/>
        <w:jc w:val="both"/>
        <w:textAlignment w:val="baseline"/>
        <w:rPr>
          <w:rFonts w:ascii="Calibri" w:hAnsi="Calibri" w:eastAsia="Calibri"/>
          <w:color w:val="030604"/>
          <w:spacing w:val="0"/>
          <w:w w:val="100"/>
          <w:sz w:val="22"/>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color w:val="030604"/>
          <w:spacing w:val="0"/>
          <w:w w:val="100"/>
          <w:sz w:val="22"/>
          <w:vertAlign w:val="baseline"/>
          <w:lang w:val="en-US"/>
        </w:rPr>
        <w:t xml:space="preserve">and communities to contribute to the world.”</w:t>
      </w:r>
      <w:r>
        <w:rPr>
          <w:rFonts w:ascii="Calibri" w:hAnsi="Calibri" w:eastAsia="Calibri"/>
          <w:color w:val="030604"/>
          <w:spacing w:val="0"/>
          <w:w w:val="100"/>
          <w:sz w:val="22"/>
          <w:vertAlign w:val="superscript"/>
          <w:lang w:val="en-US"/>
        </w:rPr>
        <w:t xml:space="preserve">20</w:t>
      </w:r>
      <w:r>
        <w:rPr>
          <w:rFonts w:ascii="Calibri" w:hAnsi="Calibri" w:eastAsia="Calibri"/>
          <w:color w:val="030604"/>
          <w:spacing w:val="0"/>
          <w:w w:val="100"/>
          <w:sz w:val="22"/>
          <w:vertAlign w:val="baseline"/>
          <w:lang w:val="en-US"/>
        </w:rPr>
        <w:t xml:space="preserve"> Community Conditions refer to the social determinants of health. Generally, the Finger Lakes region is better than or equal to New York State and the nation in terms of health and well-being and community conditions.</w:t>
      </w:r>
    </w:p>
    <w:p>
      <w:pPr>
        <w:spacing w:before="224" w:after="191" w:line="180" w:lineRule="exact"/>
        <w:ind w:right="0" w:left="1440" w:firstLine="0"/>
        <w:jc w:val="left"/>
        <w:textAlignment w:val="baseline"/>
        <w:rPr>
          <w:rFonts w:ascii="Calibri" w:hAnsi="Calibri" w:eastAsia="Calibri"/>
          <w:i w:val="true"/>
          <w:color w:val="102940"/>
          <w:spacing w:val="0"/>
          <w:w w:val="100"/>
          <w:sz w:val="18"/>
          <w:vertAlign w:val="baseline"/>
          <w:lang w:val="en-US"/>
        </w:rPr>
      </w:pPr>
      <w:r>
        <w:rPr>
          <w:rFonts w:ascii="Calibri" w:hAnsi="Calibri" w:eastAsia="Calibri"/>
          <w:i w:val="true"/>
          <w:color w:val="102940"/>
          <w:spacing w:val="0"/>
          <w:w w:val="100"/>
          <w:sz w:val="18"/>
          <w:vertAlign w:val="baseline"/>
          <w:lang w:val="en-US"/>
        </w:rPr>
        <w:t xml:space="preserve">Table 8: County Health Rankings (2025)</w:t>
      </w:r>
    </w:p>
    <w:tbl>
      <w:tblPr>
        <w:jc w:val="left"/>
        <w:tblInd w:w="1440" w:type="dxa"/>
        <w:tblLayout w:type="fixed"/>
        <w:tblCellMar>
          <w:left w:w="0" w:type="dxa"/>
          <w:right w:w="0" w:type="dxa"/>
        </w:tblCellMar>
      </w:tblPr>
      <w:tblGrid>
        <w:gridCol w:w="1978"/>
        <w:gridCol w:w="1963"/>
        <w:gridCol w:w="1805"/>
        <w:gridCol w:w="1804"/>
        <w:gridCol w:w="1810"/>
      </w:tblGrid>
      <w:tr>
        <w:trPr>
          <w:trHeight w:val="283" w:hRule="exact"/>
        </w:trPr>
        <w:tc>
          <w:tcPr>
            <w:tcW w:w="1978" w:type="dxa"/>
            <w:vMerge w:val="restart"/>
            <w:tcBorders>
              <w:top w:val="single" w:sz="5" w:color="000000"/>
              <w:left w:val="single" w:sz="5" w:color="000000"/>
              <w:bottom w:val="none"/>
              <w:right w:val="single" w:sz="5" w:color="000000"/>
            </w:tcBorders>
            <w:shd w:val="clear" w:color="145F82" w:fill="145F82"/>
            <w:textDirection w:val="lrTb"/>
            <w:vAlign w:val="top"/>
          </w:tcPr>
          <w:p>
            <w:pPr>
              <w:spacing w:before="34" w:after="287" w:line="230"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County</w:t>
            </w:r>
          </w:p>
        </w:tc>
        <w:tc>
          <w:tcPr>
            <w:tcW w:w="3768" w:type="dxa"/>
            <w:gridSpan w:val="2"/>
            <w:tcBorders>
              <w:top w:val="single" w:sz="5" w:color="000000"/>
              <w:left w:val="single" w:sz="5" w:color="000000"/>
              <w:bottom w:val="single" w:sz="5" w:color="000000"/>
              <w:right w:val="single" w:sz="5" w:color="000000"/>
            </w:tcBorders>
            <w:shd w:val="clear" w:color="145F82" w:fill="145F82"/>
            <w:textDirection w:val="lrTb"/>
            <w:vAlign w:val="center"/>
          </w:tcPr>
          <w:p>
            <w:pPr>
              <w:spacing w:before="34" w:after="14" w:line="230"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Health and Well-being</w:t>
            </w:r>
          </w:p>
        </w:tc>
        <w:tc>
          <w:tcPr>
            <w:tcW w:w="3614" w:type="dxa"/>
            <w:gridSpan w:val="2"/>
            <w:tcBorders>
              <w:top w:val="single" w:sz="5" w:color="000000"/>
              <w:left w:val="single" w:sz="5" w:color="000000"/>
              <w:bottom w:val="single" w:sz="5" w:color="000000"/>
              <w:right w:val="single" w:sz="5" w:color="000000"/>
            </w:tcBorders>
            <w:shd w:val="clear" w:color="145F82" w:fill="145F82"/>
            <w:textDirection w:val="lrTb"/>
            <w:vAlign w:val="center"/>
          </w:tcPr>
          <w:p>
            <w:pPr>
              <w:spacing w:before="34" w:after="14" w:line="230"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Community Conditions</w:t>
            </w:r>
          </w:p>
        </w:tc>
      </w:tr>
      <w:tr>
        <w:trPr>
          <w:trHeight w:val="279" w:hRule="exact"/>
        </w:trPr>
        <w:tc>
          <w:tcPr>
            <w:tcW w:w="1978" w:type="dxa"/>
            <w:vMerge w:val="continue"/>
            <w:tcBorders>
              <w:top w:val="none"/>
              <w:left w:val="single" w:sz="5" w:color="000000"/>
              <w:bottom w:val="single" w:sz="5" w:color="000000"/>
              <w:right w:val="single" w:sz="5" w:color="000000"/>
            </w:tcBorders>
            <w:shd w:val="clear" w:color="145F82" w:fill="145F82"/>
            <w:textDirection w:val="lrTb"/>
            <w:vAlign w:val="top"/>
          </w:tcPr>
          <w:p/>
        </w:tc>
        <w:tc>
          <w:tcPr>
            <w:tcW w:w="1963"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0" w:after="9"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New York State</w:t>
            </w:r>
          </w:p>
        </w:tc>
        <w:tc>
          <w:tcPr>
            <w:tcW w:w="1805"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0" w:after="9"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U.S.</w:t>
            </w:r>
          </w:p>
        </w:tc>
        <w:tc>
          <w:tcPr>
            <w:tcW w:w="1804"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0" w:after="9"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New York State</w:t>
            </w:r>
          </w:p>
        </w:tc>
        <w:tc>
          <w:tcPr>
            <w:tcW w:w="181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0" w:after="9"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U.S.</w:t>
            </w:r>
          </w:p>
        </w:tc>
      </w:tr>
      <w:tr>
        <w:trPr>
          <w:trHeight w:val="27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9"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Chemung</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0" w:left="115" w:firstLine="0"/>
              <w:jc w:val="left"/>
              <w:textAlignment w:val="baseline"/>
              <w:rPr>
                <w:rFonts w:ascii="Calibri" w:hAnsi="Calibri" w:eastAsia="Calibri"/>
                <w:color w:val="ED0000"/>
                <w:spacing w:val="0"/>
                <w:w w:val="100"/>
                <w:sz w:val="22"/>
                <w:vertAlign w:val="baseline"/>
                <w:lang w:val="en-US"/>
              </w:rPr>
            </w:pPr>
            <w:r>
              <w:rPr>
                <w:rFonts w:ascii="Calibri" w:hAnsi="Calibri" w:eastAsia="Calibri"/>
                <w:color w:val="ED0000"/>
                <w:spacing w:val="0"/>
                <w:w w:val="100"/>
                <w:sz w:val="22"/>
                <w:vertAlign w:val="baseline"/>
                <w:lang w:val="en-US"/>
              </w:rPr>
              <w:t xml:space="preserve">Worse</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0" w:left="115" w:firstLine="0"/>
              <w:jc w:val="left"/>
              <w:textAlignment w:val="baseline"/>
              <w:rPr>
                <w:rFonts w:ascii="Calibri" w:hAnsi="Calibri" w:eastAsia="Calibri"/>
                <w:color w:val="ED0000"/>
                <w:spacing w:val="0"/>
                <w:w w:val="100"/>
                <w:sz w:val="22"/>
                <w:vertAlign w:val="baseline"/>
                <w:lang w:val="en-US"/>
              </w:rPr>
            </w:pPr>
            <w:r>
              <w:rPr>
                <w:rFonts w:ascii="Calibri" w:hAnsi="Calibri" w:eastAsia="Calibri"/>
                <w:color w:val="ED0000"/>
                <w:spacing w:val="0"/>
                <w:w w:val="100"/>
                <w:sz w:val="22"/>
                <w:vertAlign w:val="baseline"/>
                <w:lang w:val="en-US"/>
              </w:rPr>
              <w:t xml:space="preserve">Worse</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2" w:after="23" w:line="222" w:lineRule="exact"/>
              <w:ind w:right="0" w:left="116"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r>
      <w:tr>
        <w:trPr>
          <w:trHeight w:val="27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4"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Livingston</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6"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r>
      <w:tr>
        <w:trPr>
          <w:trHeight w:val="279"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9"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Ontario</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0" w:left="116"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r>
      <w:tr>
        <w:trPr>
          <w:trHeight w:val="27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8" w:line="230"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Schuyler</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2" w:after="23" w:line="222" w:lineRule="exact"/>
              <w:ind w:right="0" w:left="115"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2" w:after="24" w:line="221" w:lineRule="exact"/>
              <w:ind w:right="0" w:left="115" w:firstLine="0"/>
              <w:jc w:val="left"/>
              <w:textAlignment w:val="baseline"/>
              <w:rPr>
                <w:rFonts w:ascii="Calibri" w:hAnsi="Calibri" w:eastAsia="Calibri"/>
                <w:color w:val="ED0000"/>
                <w:spacing w:val="0"/>
                <w:w w:val="100"/>
                <w:sz w:val="22"/>
                <w:vertAlign w:val="baseline"/>
                <w:lang w:val="en-US"/>
              </w:rPr>
            </w:pPr>
            <w:r>
              <w:rPr>
                <w:rFonts w:ascii="Calibri" w:hAnsi="Calibri" w:eastAsia="Calibri"/>
                <w:color w:val="ED0000"/>
                <w:spacing w:val="0"/>
                <w:w w:val="100"/>
                <w:sz w:val="22"/>
                <w:vertAlign w:val="baseline"/>
                <w:lang w:val="en-US"/>
              </w:rPr>
              <w:t xml:space="preserve">Worse</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2" w:after="23" w:line="222" w:lineRule="exact"/>
              <w:ind w:right="0" w:left="116"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r>
      <w:tr>
        <w:trPr>
          <w:trHeight w:val="279"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4"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Seneca</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5" w:firstLine="0"/>
              <w:jc w:val="left"/>
              <w:textAlignment w:val="baseline"/>
              <w:rPr>
                <w:rFonts w:ascii="Calibri" w:hAnsi="Calibri" w:eastAsia="Calibri"/>
                <w:color w:val="ED0000"/>
                <w:spacing w:val="0"/>
                <w:w w:val="100"/>
                <w:sz w:val="22"/>
                <w:vertAlign w:val="baseline"/>
                <w:lang w:val="en-US"/>
              </w:rPr>
            </w:pPr>
            <w:r>
              <w:rPr>
                <w:rFonts w:ascii="Calibri" w:hAnsi="Calibri" w:eastAsia="Calibri"/>
                <w:color w:val="ED0000"/>
                <w:spacing w:val="0"/>
                <w:w w:val="100"/>
                <w:sz w:val="22"/>
                <w:vertAlign w:val="baseline"/>
                <w:lang w:val="en-US"/>
              </w:rPr>
              <w:t xml:space="preserve">Worse</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116"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r>
      <w:tr>
        <w:trPr>
          <w:trHeight w:val="27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0"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Steuben</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2" w:after="14" w:line="222" w:lineRule="exact"/>
              <w:ind w:right="0" w:left="115"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2" w:after="15"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2" w:after="14" w:line="222" w:lineRule="exact"/>
              <w:ind w:right="0" w:left="115"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2" w:after="15" w:line="221" w:lineRule="exact"/>
              <w:ind w:right="0" w:left="116"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r>
      <w:tr>
        <w:trPr>
          <w:trHeight w:val="27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19"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Wayne</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33" w:after="24" w:line="221" w:lineRule="exact"/>
              <w:ind w:right="0" w:left="115"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33" w:after="24"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33" w:after="24" w:line="221" w:lineRule="exact"/>
              <w:ind w:right="0" w:left="115"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33" w:after="24" w:line="221" w:lineRule="exact"/>
              <w:ind w:right="0" w:left="116"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r>
      <w:tr>
        <w:trPr>
          <w:trHeight w:val="288" w:hRule="exact"/>
        </w:trPr>
        <w:tc>
          <w:tcPr>
            <w:tcW w:w="1978" w:type="dxa"/>
            <w:tcBorders>
              <w:top w:val="single" w:sz="5" w:color="000000"/>
              <w:left w:val="single" w:sz="5" w:color="000000"/>
              <w:bottom w:val="single" w:sz="5" w:color="000000"/>
              <w:right w:val="single" w:sz="5" w:color="000000"/>
            </w:tcBorders>
            <w:shd w:val="clear" w:color="C3E3F5" w:fill="C3E3F5"/>
            <w:textDirection w:val="lrTb"/>
            <w:vAlign w:val="center"/>
          </w:tcPr>
          <w:p>
            <w:pPr>
              <w:spacing w:before="0" w:after="34" w:line="229" w:lineRule="exact"/>
              <w:ind w:right="0" w:left="110" w:firstLine="0"/>
              <w:jc w:val="left"/>
              <w:textAlignment w:val="baseline"/>
              <w:rPr>
                <w:rFonts w:ascii="Calibri" w:hAnsi="Calibri" w:eastAsia="Calibri"/>
                <w:b w:val="true"/>
                <w:color w:val="030604"/>
                <w:spacing w:val="0"/>
                <w:w w:val="100"/>
                <w:sz w:val="23"/>
                <w:vertAlign w:val="baseline"/>
                <w:lang w:val="en-US"/>
              </w:rPr>
            </w:pPr>
            <w:r>
              <w:rPr>
                <w:rFonts w:ascii="Calibri" w:hAnsi="Calibri" w:eastAsia="Calibri"/>
                <w:b w:val="true"/>
                <w:color w:val="030604"/>
                <w:spacing w:val="0"/>
                <w:w w:val="100"/>
                <w:sz w:val="23"/>
                <w:vertAlign w:val="baseline"/>
                <w:lang w:val="en-US"/>
              </w:rPr>
              <w:t xml:space="preserve">Yates</w:t>
            </w:r>
          </w:p>
        </w:tc>
        <w:tc>
          <w:tcPr>
            <w:tcW w:w="1963" w:type="dxa"/>
            <w:tcBorders>
              <w:top w:val="single" w:sz="5" w:color="000000"/>
              <w:left w:val="single" w:sz="5" w:color="000000"/>
              <w:bottom w:val="single" w:sz="5" w:color="000000"/>
              <w:right w:val="single" w:sz="5" w:color="000000"/>
            </w:tcBorders>
            <w:textDirection w:val="lrTb"/>
            <w:vAlign w:val="center"/>
          </w:tcPr>
          <w:p>
            <w:pPr>
              <w:spacing w:before="0" w:after="39" w:line="221" w:lineRule="exact"/>
              <w:ind w:right="0" w:left="115" w:firstLine="0"/>
              <w:jc w:val="lef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5" w:type="dxa"/>
            <w:tcBorders>
              <w:top w:val="single" w:sz="5" w:color="000000"/>
              <w:left w:val="single" w:sz="5" w:color="000000"/>
              <w:bottom w:val="single" w:sz="5" w:color="000000"/>
              <w:right w:val="single" w:sz="5" w:color="000000"/>
            </w:tcBorders>
            <w:textDirection w:val="lrTb"/>
            <w:vAlign w:val="center"/>
          </w:tcPr>
          <w:p>
            <w:pPr>
              <w:spacing w:before="0" w:after="39" w:line="221" w:lineRule="exact"/>
              <w:ind w:right="1143" w:left="0" w:firstLine="0"/>
              <w:jc w:val="right"/>
              <w:textAlignment w:val="baseline"/>
              <w:rPr>
                <w:rFonts w:ascii="Calibri" w:hAnsi="Calibri" w:eastAsia="Calibri"/>
                <w:color w:val="4DA72D"/>
                <w:spacing w:val="0"/>
                <w:w w:val="100"/>
                <w:sz w:val="22"/>
                <w:vertAlign w:val="baseline"/>
                <w:lang w:val="en-US"/>
              </w:rPr>
            </w:pPr>
            <w:r>
              <w:rPr>
                <w:rFonts w:ascii="Calibri" w:hAnsi="Calibri" w:eastAsia="Calibri"/>
                <w:color w:val="4DA72D"/>
                <w:spacing w:val="0"/>
                <w:w w:val="100"/>
                <w:sz w:val="22"/>
                <w:vertAlign w:val="baseline"/>
                <w:lang w:val="en-US"/>
              </w:rPr>
              <w:t xml:space="preserve">Better</w:t>
            </w:r>
          </w:p>
        </w:tc>
        <w:tc>
          <w:tcPr>
            <w:tcW w:w="1804" w:type="dxa"/>
            <w:tcBorders>
              <w:top w:val="single" w:sz="5" w:color="000000"/>
              <w:left w:val="single" w:sz="5" w:color="000000"/>
              <w:bottom w:val="single" w:sz="5" w:color="000000"/>
              <w:right w:val="single" w:sz="5" w:color="000000"/>
            </w:tcBorders>
            <w:textDirection w:val="lrTb"/>
            <w:vAlign w:val="center"/>
          </w:tcPr>
          <w:p>
            <w:pPr>
              <w:spacing w:before="0" w:after="39" w:line="221" w:lineRule="exact"/>
              <w:ind w:right="0" w:left="115" w:firstLine="0"/>
              <w:jc w:val="left"/>
              <w:textAlignment w:val="baseline"/>
              <w:rPr>
                <w:rFonts w:ascii="Calibri" w:hAnsi="Calibri" w:eastAsia="Calibri"/>
                <w:color w:val="ED0000"/>
                <w:spacing w:val="0"/>
                <w:w w:val="100"/>
                <w:sz w:val="22"/>
                <w:vertAlign w:val="baseline"/>
                <w:lang w:val="en-US"/>
              </w:rPr>
            </w:pPr>
            <w:r>
              <w:rPr>
                <w:rFonts w:ascii="Calibri" w:hAnsi="Calibri" w:eastAsia="Calibri"/>
                <w:color w:val="ED0000"/>
                <w:spacing w:val="0"/>
                <w:w w:val="100"/>
                <w:sz w:val="22"/>
                <w:vertAlign w:val="baseline"/>
                <w:lang w:val="en-US"/>
              </w:rPr>
              <w:t xml:space="preserve">Worse</w:t>
            </w:r>
          </w:p>
        </w:tc>
        <w:tc>
          <w:tcPr>
            <w:tcW w:w="1810" w:type="dxa"/>
            <w:tcBorders>
              <w:top w:val="single" w:sz="5" w:color="000000"/>
              <w:left w:val="single" w:sz="5" w:color="000000"/>
              <w:bottom w:val="single" w:sz="5" w:color="000000"/>
              <w:right w:val="single" w:sz="5" w:color="000000"/>
            </w:tcBorders>
            <w:textDirection w:val="lrTb"/>
            <w:vAlign w:val="center"/>
          </w:tcPr>
          <w:p>
            <w:pPr>
              <w:spacing w:before="0" w:after="38" w:line="222" w:lineRule="exact"/>
              <w:ind w:right="0" w:left="116" w:firstLine="0"/>
              <w:jc w:val="left"/>
              <w:textAlignment w:val="baseline"/>
              <w:rPr>
                <w:rFonts w:ascii="Calibri" w:hAnsi="Calibri" w:eastAsia="Calibri"/>
                <w:color w:val="FFC000"/>
                <w:spacing w:val="0"/>
                <w:w w:val="100"/>
                <w:sz w:val="22"/>
                <w:vertAlign w:val="baseline"/>
                <w:lang w:val="en-US"/>
              </w:rPr>
            </w:pPr>
            <w:r>
              <w:rPr>
                <w:rFonts w:ascii="Calibri" w:hAnsi="Calibri" w:eastAsia="Calibri"/>
                <w:color w:val="FFC000"/>
                <w:spacing w:val="0"/>
                <w:w w:val="100"/>
                <w:sz w:val="22"/>
                <w:vertAlign w:val="baseline"/>
                <w:lang w:val="en-US"/>
              </w:rPr>
              <w:t xml:space="preserve">About Equal To</w:t>
            </w:r>
          </w:p>
        </w:tc>
      </w:tr>
    </w:tbl>
    <w:p>
      <w:pPr>
        <w:spacing w:before="8" w:after="1554" w:line="180" w:lineRule="exact"/>
        <w:ind w:right="0" w:left="1440" w:firstLine="0"/>
        <w:jc w:val="left"/>
        <w:textAlignment w:val="baseline"/>
        <w:rPr>
          <w:rFonts w:ascii="Calibri" w:hAnsi="Calibri" w:eastAsia="Calibri"/>
          <w:i w:val="true"/>
          <w:color w:val="102940"/>
          <w:spacing w:val="0"/>
          <w:w w:val="100"/>
          <w:sz w:val="18"/>
          <w:vertAlign w:val="baseline"/>
          <w:lang w:val="en-US"/>
        </w:rPr>
      </w:pPr>
      <w:r>
        <w:rPr>
          <w:rFonts w:ascii="Calibri" w:hAnsi="Calibri" w:eastAsia="Calibri"/>
          <w:i w:val="true"/>
          <w:color w:val="102940"/>
          <w:spacing w:val="0"/>
          <w:w w:val="100"/>
          <w:sz w:val="18"/>
          <w:vertAlign w:val="baseline"/>
          <w:lang w:val="en-US"/>
        </w:rPr>
        <w:t xml:space="preserve">Source: County Health Rankings</w:t>
      </w:r>
    </w:p>
    <w:p>
      <w:pPr>
        <w:spacing w:before="0" w:after="117" w:line="240" w:lineRule="auto"/>
        <w:ind w:right="0" w:left="29"/>
        <w:jc w:val="left"/>
        <w:textAlignment w:val="baseline"/>
      </w:pPr>
      <w:r>
        <w:drawing>
          <wp:inline>
            <wp:extent cx="7753985" cy="3499485"/>
            <wp:docPr name="Picture" id="40"/>
            <a:graphic>
              <a:graphicData uri="http://schemas.openxmlformats.org/drawingml/2006/picture">
                <pic:pic>
                  <pic:nvPicPr>
                    <pic:cNvPr id="40" name="Picture"/>
                    <pic:cNvPicPr preferRelativeResize="false"/>
                  </pic:nvPicPr>
                  <pic:blipFill>
                    <a:blip r:embed="prId40"/>
                    <a:stretch>
                      <a:fillRect/>
                    </a:stretch>
                  </pic:blipFill>
                  <pic:spPr>
                    <a:xfrm>
                      <a:off x="0" y="0"/>
                      <a:ext cx="7753985" cy="3499485"/>
                    </a:xfrm>
                    <a:prstGeom prst="rect"/>
                  </pic:spPr>
                </pic:pic>
              </a:graphicData>
            </a:graphic>
          </wp:inline>
        </w:drawing>
      </w:r>
    </w:p>
    <w:p>
      <w:pPr>
        <w:spacing w:before="20" w:after="642" w:line="180" w:lineRule="exact"/>
        <w:ind w:right="0" w:left="216" w:firstLine="0"/>
        <w:jc w:val="left"/>
        <w:textAlignment w:val="baseline"/>
        <w:rPr>
          <w:rFonts w:ascii="Calibri" w:hAnsi="Calibri" w:eastAsia="Calibri"/>
          <w:i w:val="true"/>
          <w:color w:val="102940"/>
          <w:spacing w:val="0"/>
          <w:w w:val="100"/>
          <w:sz w:val="18"/>
          <w:vertAlign w:val="baseline"/>
          <w:lang w:val="en-US"/>
        </w:rPr>
      </w:pPr>
      <w:r>
        <w:rPr>
          <w:rFonts w:ascii="Calibri" w:hAnsi="Calibri" w:eastAsia="Calibri"/>
          <w:i w:val="true"/>
          <w:color w:val="102940"/>
          <w:spacing w:val="0"/>
          <w:w w:val="100"/>
          <w:sz w:val="18"/>
          <w:vertAlign w:val="baseline"/>
          <w:lang w:val="en-US"/>
        </w:rPr>
        <w:t xml:space="preserve">Courtesy Ontario County</w:t>
      </w:r>
    </w:p>
    <w:p>
      <w:pPr>
        <w:spacing w:before="145" w:after="58" w:line="199" w:lineRule="exact"/>
        <w:ind w:right="0" w:left="1440" w:firstLine="0"/>
        <w:jc w:val="left"/>
        <w:textAlignment w:val="baseline"/>
        <w:rPr>
          <w:rFonts w:ascii="Calibri" w:hAnsi="Calibri" w:eastAsia="Calibri"/>
          <w:color w:val="030604"/>
          <w:spacing w:val="0"/>
          <w:w w:val="100"/>
          <w:sz w:val="13"/>
          <w:vertAlign w:val="superscript"/>
          <w:lang w:val="en-US"/>
        </w:rPr>
      </w:pPr>
      <w:r>
        <w:pict>
          <v:line strokeweight="0.7pt" strokecolor="#030604" from="72pt,696.7pt" to="216.3pt,696.7pt" style="position:absolute;mso-position-horizontal-relative:page;mso-position-vertical-relative:page;">
            <v:stroke dashstyle="solid"/>
          </v:line>
        </w:pict>
      </w:r>
      <w:r>
        <w:rPr>
          <w:rFonts w:ascii="Calibri" w:hAnsi="Calibri" w:eastAsia="Calibri"/>
          <w:color w:val="030604"/>
          <w:spacing w:val="0"/>
          <w:w w:val="100"/>
          <w:sz w:val="13"/>
          <w:vertAlign w:val="superscript"/>
          <w:lang w:val="en-US"/>
        </w:rPr>
        <w:t xml:space="preserve">20</w:t>
      </w:r>
      <w:r>
        <w:rPr>
          <w:rFonts w:ascii="Calibri" w:hAnsi="Calibri" w:eastAsia="Calibri"/>
          <w:color w:val="030604"/>
          <w:spacing w:val="0"/>
          <w:w w:val="100"/>
          <w:sz w:val="20"/>
          <w:vertAlign w:val="baseline"/>
          <w:lang w:val="en-US"/>
        </w:rPr>
        <w:t xml:space="preserve"> County Health Rankings, </w:t>
      </w:r>
      <w:hyperlink r:id="dhId18">
        <w:r>
          <w:rPr>
            <w:rFonts w:ascii="Calibri" w:hAnsi="Calibri" w:eastAsia="Calibri"/>
            <w:color w:val="0000FF"/>
            <w:spacing w:val="0"/>
            <w:w w:val="100"/>
            <w:sz w:val="20"/>
            <w:u w:val="single"/>
            <w:vertAlign w:val="baseline"/>
            <w:lang w:val="en-US"/>
          </w:rPr>
          <w:t xml:space="preserve">https://www.countyhealthrankings.org/health-data</w:t>
        </w:r>
      </w:hyperlink>
      <w:r>
        <w:rPr>
          <w:rFonts w:ascii="Calibri" w:hAnsi="Calibri" w:eastAsia="Calibri"/>
          <w:color w:val="030604"/>
          <w:spacing w:val="0"/>
          <w:w w:val="100"/>
          <w:sz w:val="20"/>
          <w:vertAlign w:val="baseline"/>
          <w:lang w:val="en-US"/>
        </w:rPr>
        <w:t xml:space="preserve">
</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36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72" w:left="1440" w:firstLine="0"/>
        <w:jc w:val="left"/>
        <w:textAlignment w:val="baseline"/>
        <w:rPr>
          <w:rFonts w:ascii="Calibri" w:hAnsi="Calibri" w:eastAsia="Calibri"/>
          <w:color w:val="000000"/>
          <w:spacing w:val="0"/>
          <w:w w:val="100"/>
          <w:sz w:val="22"/>
          <w:vertAlign w:val="baseline"/>
          <w:lang w:val="en-US"/>
        </w:rPr>
      </w:pPr>
      <w:r>
        <w:pict>
          <v:shapetype id="_x0000_t149" coordsize="21600,21600" o:spt="202" path="m,l,21600r21600,l21600,xe">
            <v:stroke joinstyle="miter"/>
            <v:path gradientshapeok="t" o:connecttype="rect"/>
          </v:shapetype>
          <v:shape id="_x0000_s148" type="#_x0000_t149" filled="f" stroked="f" style="position:absolute;width:612pt;height:75.3pt;z-index:-1;margin-left:0pt;margin-top:62.1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50" coordsize="21600,21600" o:spt="202" path="m,l,21600r21600,l21600,xe">
            <v:stroke joinstyle="miter"/>
            <v:path gradientshapeok="t" o:connecttype="rect"/>
          </v:shapetype>
          <v:shape id="_x0000_s149" type="#_x0000_t150" filled="f" stroked="f" style="position:absolute;width:409.9pt;height:366.65pt;z-index:-1;margin-left:202.1pt;margin-top:152.15pt;mso-wrap-distance-left:0pt;mso-wrap-distance-right:0pt;mso-position-horizontal-relative:page;mso-position-vertical-relative:page">
            <w10:wrap type="square"/>
            <v:fill opacity="1" o:opacity2="1" recolor="f" rotate="f" type="solid"/>
            <v:textbox inset="0pt, 0pt, 0pt, 0pt">
              <w:txbxContent>
                <w:p>
                  <w:pPr>
                    <w:spacing w:before="1049" w:after="120" w:line="180" w:lineRule="exact"/>
                    <w:ind w:right="0" w:left="0" w:firstLine="0"/>
                    <w:jc w:val="center"/>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6 Overall Poverty in the Finger Lakes Region</w:t>
                  </w:r>
                </w:p>
                <w:p>
                  <w:pPr>
                    <w:spacing w:before="0" w:after="126" w:line="240" w:lineRule="auto"/>
                    <w:ind w:right="840" w:left="254"/>
                    <w:jc w:val="left"/>
                    <w:textAlignment w:val="baseline"/>
                  </w:pPr>
                  <w:r>
                    <w:drawing>
                      <wp:inline>
                        <wp:extent cx="4511040" cy="3322320"/>
                        <wp:docPr name="Picture" id="41"/>
                        <a:graphic>
                          <a:graphicData uri="http://schemas.openxmlformats.org/drawingml/2006/picture">
                            <pic:pic>
                              <pic:nvPicPr>
                                <pic:cNvPr id="41" name="Picture"/>
                                <pic:cNvPicPr preferRelativeResize="false"/>
                              </pic:nvPicPr>
                              <pic:blipFill>
                                <a:blip r:embed="prId41"/>
                                <a:stretch>
                                  <a:fillRect/>
                                </a:stretch>
                              </pic:blipFill>
                              <pic:spPr>
                                <a:xfrm>
                                  <a:off x="0" y="0"/>
                                  <a:ext cx="4511040" cy="3322320"/>
                                </a:xfrm>
                                <a:prstGeom prst="rect"/>
                              </pic:spPr>
                            </pic:pic>
                          </a:graphicData>
                        </a:graphic>
                      </wp:inline>
                    </w:drawing>
                  </w:r>
                </w:p>
                <w:p>
                  <w:pPr>
                    <w:spacing w:before="20" w:after="393" w:line="180" w:lineRule="exact"/>
                    <w:ind w:right="0" w:left="1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Courtesy Common Ground Health</w:t>
                  </w:r>
                </w:p>
              </w:txbxContent>
            </v:textbox>
          </v:shape>
        </w:pict>
      </w:r>
      <w:r>
        <w:pict>
          <v:shapetype id="_x0000_t151" coordsize="21600,21600" o:spt="202" path="m,l,21600r21600,l21600,xe">
            <v:stroke joinstyle="miter"/>
            <v:path gradientshapeok="t" o:connecttype="rect"/>
          </v:shapetype>
          <v:shape id="_x0000_s150" type="#_x0000_t151" filled="f" stroked="f" style="position:absolute;width:611.5pt;height:56.9pt;z-index:-1;margin-left:0pt;margin-top:62.1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722630"/>
                        <wp:docPr name="Picture" id="42"/>
                        <a:graphic>
                          <a:graphicData uri="http://schemas.openxmlformats.org/drawingml/2006/picture">
                            <pic:pic>
                              <pic:nvPicPr>
                                <pic:cNvPr id="42" name="Picture"/>
                                <pic:cNvPicPr preferRelativeResize="false"/>
                              </pic:nvPicPr>
                              <pic:blipFill>
                                <a:blip r:embed="prId42"/>
                                <a:stretch>
                                  <a:fillRect/>
                                </a:stretch>
                              </pic:blipFill>
                              <pic:spPr>
                                <a:xfrm>
                                  <a:off x="0" y="0"/>
                                  <a:ext cx="7766050" cy="722630"/>
                                </a:xfrm>
                                <a:prstGeom prst="rect"/>
                              </pic:spPr>
                            </pic:pic>
                          </a:graphicData>
                        </a:graphic>
                      </wp:inline>
                    </w:drawing>
                  </w:r>
                </w:p>
              </w:txbxContent>
            </v:textbox>
          </v:shape>
        </w:pict>
      </w:r>
      <w:r>
        <w:pict>
          <v:shapetype id="_x0000_t152" coordsize="21600,21600" o:spt="202" path="m,l,21600r21600,l21600,xe">
            <v:stroke joinstyle="miter"/>
            <v:path gradientshapeok="t" o:connecttype="rect"/>
          </v:shapetype>
          <v:shape id="_x0000_s151" type="#_x0000_t152" filled="f" stroked="f" style="position:absolute;width:400.3pt;height:16.25pt;z-index:-1;margin-left:105.6pt;margin-top:75.2pt;mso-wrap-distance-left:0pt;mso-wrap-distance-right:0pt;mso-position-horizontal-relative:page;mso-position-vertical-relative:page">
            <w10:wrap type="square" side="both"/>
            <v:fill opacity="1" o:opacity2="1" recolor="f" rotate="f" type="solid"/>
            <v:textbox inset="0pt, 0pt, 0pt, 0pt">
              <w:txbxContent>
                <w:p>
                  <w:pPr>
                    <w:spacing w:before="33" w:after="4" w:line="287" w:lineRule="exact"/>
                    <w:ind w:right="0" w:left="0" w:firstLine="0"/>
                    <w:jc w:val="center"/>
                    <w:textAlignment w:val="baseline"/>
                    <w:rPr>
                      <w:rFonts w:ascii="Calibri" w:hAnsi="Calibri" w:eastAsia="Calibri"/>
                      <w:b w:val="true"/>
                      <w:color w:val="FFFFFF"/>
                      <w:spacing w:val="-3"/>
                      <w:w w:val="100"/>
                      <w:sz w:val="28"/>
                      <w:vertAlign w:val="baseline"/>
                      <w:lang w:val="en-US"/>
                    </w:rPr>
                  </w:pPr>
                  <w:r>
                    <w:rPr>
                      <w:rFonts w:ascii="Calibri" w:hAnsi="Calibri" w:eastAsia="Calibri"/>
                      <w:b w:val="true"/>
                      <w:color w:val="FFFFFF"/>
                      <w:spacing w:val="-3"/>
                      <w:w w:val="100"/>
                      <w:sz w:val="28"/>
                      <w:vertAlign w:val="baseline"/>
                      <w:lang w:val="en-US"/>
                    </w:rPr>
                    <w:t xml:space="preserve">New York State 2025-2030 Prevention Agenda Domains and Priorities</w:t>
                  </w:r>
                </w:p>
              </w:txbxContent>
            </v:textbox>
          </v:shape>
        </w:pict>
      </w:r>
      <w:r>
        <w:rPr>
          <w:rFonts w:ascii="Calibri" w:hAnsi="Calibri" w:eastAsia="Calibri"/>
          <w:color w:val="000000"/>
          <w:spacing w:val="0"/>
          <w:w w:val="100"/>
          <w:sz w:val="22"/>
          <w:vertAlign w:val="baseline"/>
          <w:lang w:val="en-US"/>
        </w:rPr>
        <w:t xml:space="preserve">This section details the New York State Prevention Agenda domains and their associated priorities by exploring region-wide data.</w:t>
      </w:r>
    </w:p>
    <w:p>
      <w:pPr>
        <w:spacing w:before="232" w:after="0" w:line="287" w:lineRule="exact"/>
        <w:ind w:right="0" w:left="1440" w:firstLine="0"/>
        <w:jc w:val="left"/>
        <w:textAlignment w:val="baseline"/>
        <w:rPr>
          <w:rFonts w:ascii="Calibri" w:hAnsi="Calibri" w:eastAsia="Calibri"/>
          <w:b w:val="true"/>
          <w:color w:val="000000"/>
          <w:spacing w:val="-1"/>
          <w:w w:val="100"/>
          <w:sz w:val="28"/>
          <w:vertAlign w:val="baseline"/>
          <w:lang w:val="en-US"/>
        </w:rPr>
      </w:pPr>
      <w:r>
        <w:rPr>
          <w:rFonts w:ascii="Calibri" w:hAnsi="Calibri" w:eastAsia="Calibri"/>
          <w:b w:val="true"/>
          <w:color w:val="000000"/>
          <w:spacing w:val="-1"/>
          <w:w w:val="100"/>
          <w:sz w:val="28"/>
          <w:vertAlign w:val="baseline"/>
          <w:lang w:val="en-US"/>
        </w:rPr>
        <w:t xml:space="preserve">Economic Stability</w:t>
      </w:r>
    </w:p>
    <w:p>
      <w:pPr>
        <w:spacing w:before="239" w:after="0" w:line="226" w:lineRule="exact"/>
        <w:ind w:right="0" w:left="1440" w:firstLine="0"/>
        <w:jc w:val="left"/>
        <w:textAlignment w:val="baseline"/>
        <w:rPr>
          <w:rFonts w:ascii="Calibri" w:hAnsi="Calibri" w:eastAsia="Calibri"/>
          <w:b w:val="true"/>
          <w:i w:val="true"/>
          <w:color w:val="000000"/>
          <w:spacing w:val="-5"/>
          <w:w w:val="100"/>
          <w:sz w:val="22"/>
          <w:vertAlign w:val="baseline"/>
          <w:lang w:val="en-US"/>
        </w:rPr>
      </w:pPr>
      <w:r>
        <w:rPr>
          <w:rFonts w:ascii="Calibri" w:hAnsi="Calibri" w:eastAsia="Calibri"/>
          <w:b w:val="true"/>
          <w:i w:val="true"/>
          <w:color w:val="000000"/>
          <w:spacing w:val="-5"/>
          <w:w w:val="100"/>
          <w:sz w:val="22"/>
          <w:vertAlign w:val="baseline"/>
          <w:lang w:val="en-US"/>
        </w:rPr>
        <w:t xml:space="preserve">Poverty and Unemployment</w:t>
      </w:r>
    </w:p>
    <w:p>
      <w:pPr>
        <w:spacing w:before="171" w:after="0" w:line="289" w:lineRule="exact"/>
        <w:ind w:right="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socio-economic status of communities greatly impacts the health outcomes of the individuals residing there. Higher rates of poverty have been linked to increased anxiety and mental illness, higher mortality rates and increased risk of chronic disease. Additionally, communities with increased rates of poverty have more limited access to necessities such as food, shelter, healthcare, education, and employment. Rural</w:t>
      </w:r>
      <w:r>
        <w:rPr>
          <w:rFonts w:ascii="Calibri" w:hAnsi="Calibri" w:eastAsia="Calibri"/>
          <w:color w:val="494949"/>
          <w:spacing w:val="-1"/>
          <w:w w:val="100"/>
          <w:sz w:val="22"/>
          <w:vertAlign w:val="baseline"/>
          <w:lang w:val="en-US"/>
        </w:rPr>
        <w:t xml:space="preserve"> poverty is often characterized by isolation and lack of access to resources rather than overcrowded housing and crime, which are more prevalent in urban communities.</w:t>
      </w:r>
      <w:r>
        <w:rPr>
          <w:rFonts w:ascii="Calibri" w:hAnsi="Calibri" w:eastAsia="Calibri"/>
          <w:color w:val="000000"/>
          <w:spacing w:val="-1"/>
          <w:w w:val="100"/>
          <w:sz w:val="22"/>
          <w:vertAlign w:val="baseline"/>
          <w:lang w:val="en-US"/>
        </w:rPr>
        <w:t xml:space="preserve"> Map 6 notes poverty rates by zip code in the</w:t>
      </w:r>
    </w:p>
    <w:p>
      <w:pPr>
        <w:spacing w:before="72" w:after="0" w:line="221" w:lineRule="exact"/>
        <w:ind w:right="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Finger Lakes region.</w:t>
      </w:r>
    </w:p>
    <w:p>
      <w:pPr>
        <w:spacing w:before="162" w:after="941"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population of those 65 years of age and older is expected to increase through at least 2040. Map 7 shows the poverty rate by zip code in this age group. Older Americans living in poverty are at risk for experiencing earlier mortality, higher rates of disability, loneliness, depression and anxiety.</w:t>
      </w:r>
      <w:r>
        <w:rPr>
          <w:rFonts w:ascii="Calibri" w:hAnsi="Calibri" w:eastAsia="Calibri"/>
          <w:color w:val="000000"/>
          <w:spacing w:val="0"/>
          <w:w w:val="100"/>
          <w:sz w:val="22"/>
          <w:vertAlign w:val="superscript"/>
          <w:lang w:val="en-US"/>
        </w:rPr>
        <w:t xml:space="preserve">21</w:t>
      </w:r>
      <w:r>
        <w:rPr>
          <w:rFonts w:ascii="Calibri" w:hAnsi="Calibri" w:eastAsia="Calibri"/>
          <w:color w:val="1E2D48"/>
          <w:spacing w:val="0"/>
          <w:w w:val="100"/>
          <w:sz w:val="22"/>
          <w:vertAlign w:val="baseline"/>
          <w:lang w:val="en-US"/>
        </w:rPr>
        <w:t xml:space="preserve"> These patterns indicate that poverty is not evenly distributed, with older adults in rural and higher</w:t>
      </w:r>
      <w:r>
        <w:rPr>
          <w:rFonts w:ascii="Verdana" w:hAnsi="Verdana" w:eastAsia="Verdana"/>
          <w:color w:val="1E2D48"/>
          <w:spacing w:val="0"/>
          <w:w w:val="100"/>
          <w:sz w:val="16"/>
          <w:vertAlign w:val="baseline"/>
          <w:lang w:val="en-US"/>
        </w:rPr>
        <w:t xml:space="preserve">-</w:t>
      </w:r>
      <w:r>
        <w:rPr>
          <w:rFonts w:ascii="Calibri" w:hAnsi="Calibri" w:eastAsia="Calibri"/>
          <w:color w:val="1E2D48"/>
          <w:spacing w:val="0"/>
          <w:w w:val="100"/>
          <w:sz w:val="22"/>
          <w:vertAlign w:val="baseline"/>
          <w:lang w:val="en-US"/>
        </w:rPr>
        <w:t xml:space="preserve">deprivation ZIP codes facing disproportionate financial and health burdens, which can widen existing health inequities.</w:t>
      </w:r>
    </w:p>
    <w:p>
      <w:pPr>
        <w:spacing w:before="93" w:after="58" w:line="247" w:lineRule="exact"/>
        <w:ind w:right="180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21</w:t>
      </w:r>
      <w:r>
        <w:rPr>
          <w:rFonts w:ascii="Calibri" w:hAnsi="Calibri" w:eastAsia="Calibri"/>
          <w:color w:val="000000"/>
          <w:spacing w:val="0"/>
          <w:w w:val="100"/>
          <w:sz w:val="20"/>
          <w:vertAlign w:val="baseline"/>
          <w:lang w:val="en-US"/>
        </w:rPr>
        <w:t xml:space="preserve"> Source:</w:t>
      </w:r>
      <w:r>
        <w:rPr>
          <w:rFonts w:ascii="Calibri" w:hAnsi="Calibri" w:eastAsia="Calibri"/>
          <w:color w:val="1E2D48"/>
          <w:spacing w:val="0"/>
          <w:w w:val="100"/>
          <w:sz w:val="20"/>
          <w:vertAlign w:val="baseline"/>
          <w:lang w:val="en-US"/>
        </w:rPr>
        <w:t xml:space="preserve"> Thornton, M., Bowers, K., (January 31, 2024) "Poverty in Older Adulthood: A Health and Social Crisis" OJIN: The Online Journal of Issues in Nursing Vol. 29, No. 1, Manuscript 3</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37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shapetype id="_x0000_t153" coordsize="21600,21600" o:spt="202" path="m,l,21600r21600,l21600,xe">
            <v:stroke joinstyle="miter"/>
            <v:path gradientshapeok="t" o:connecttype="rect"/>
          </v:shapetype>
          <v:shape id="_x0000_s152" type="#_x0000_t153" fillcolor="#FDFDFC" stroked="f" style="position:absolute;width:612pt;height:792pt;z-index:-999;margin-left:0pt;margin-top:0pt;mso-position-horizontal-relative:page;mso-position-vertical-relative:page">
            <v:textbox>
              <w:txbxContent/>
            </v:textbox>
          </v:shape>
        </w:pict>
      </w:r>
      <w:r>
        <w:rPr>
          <w:rFonts w:ascii="Calibri" w:hAnsi="Calibri" w:eastAsia="Calibri"/>
          <w:b w:val="true"/>
          <w:color w:val="145F82"/>
          <w:spacing w:val="0"/>
          <w:w w:val="100"/>
          <w:sz w:val="28"/>
          <w:vertAlign w:val="baseline"/>
          <w:lang w:val="en-US"/>
        </w:rPr>
        <w:t xml:space="preserve">Comprehensive Regional Community Health Assessment</w:t>
      </w:r>
    </w:p>
    <w:p>
      <w:pPr>
        <w:spacing w:before="232" w:after="0" w:line="20" w:lineRule="exact"/>
      </w:pPr>
      <w:r>
        <w:pict>
          <v:line strokeweight="1.7pt" strokecolor="#145F82" from="0pt,62.9pt" to="612.05pt,62.9pt" style="position:absolute;mso-position-horizontal-relative:page;mso-position-vertical-relative:page;">
            <v:stroke dashstyle="solid"/>
          </v:line>
        </w:pict>
      </w:r>
    </w:p>
    <w:tbl>
      <w:tblPr>
        <w:jc w:val="left"/>
        <w:tblLayout w:type="fixed"/>
        <w:tblCellMar>
          <w:left w:w="0" w:type="dxa"/>
          <w:right w:w="0" w:type="dxa"/>
        </w:tblCellMar>
      </w:tblPr>
      <w:tblGrid>
        <w:gridCol w:w="7915"/>
        <w:gridCol w:w="4325"/>
      </w:tblGrid>
      <w:tr>
        <w:trPr>
          <w:trHeight w:val="332" w:hRule="exact"/>
        </w:trPr>
        <w:tc>
          <w:tcPr>
            <w:tcW w:w="7915" w:type="dxa"/>
            <w:tcBorders>
              <w:top w:val="none"/>
              <w:left w:val="none"/>
              <w:bottom w:val="none"/>
              <w:right w:val="none"/>
            </w:tcBorders>
            <w:textDirection w:val="lrTb"/>
            <w:vAlign w:val="top"/>
          </w:tcPr>
          <w:p>
            <w:pPr>
              <w:spacing w:before="0" w:after="163" w:line="159" w:lineRule="exact"/>
              <w:ind w:right="0" w:left="0" w:firstLine="0"/>
              <w:jc w:val="center"/>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7: Poverty rates by Zip Code for those Over 65 Years of Age</w:t>
            </w:r>
          </w:p>
        </w:tc>
        <w:tc>
          <w:tcPr>
            <w:tcW w:w="4325" w:type="dxa"/>
            <w:vMerge w:val="restart"/>
            <w:tcBorders>
              <w:top w:val="none"/>
              <w:left w:val="none"/>
              <w:bottom w:val="none"/>
              <w:right w:val="none"/>
            </w:tcBorders>
            <w:textDirection w:val="lrTb"/>
            <w:vAlign w:val="top"/>
          </w:tcPr>
          <w:p>
            <w:pPr>
              <w:spacing w:before="0" w:after="0" w:line="284" w:lineRule="exact"/>
              <w:ind w:right="0" w:left="21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8 shows the poverty rate</w:t>
              <w:br/>
            </w:r>
            <w:r>
              <w:rPr>
                <w:rFonts w:ascii="Calibri" w:hAnsi="Calibri" w:eastAsia="Calibri"/>
                <w:color w:val="000000"/>
                <w:spacing w:val="0"/>
                <w:w w:val="100"/>
                <w:sz w:val="22"/>
                <w:vertAlign w:val="baseline"/>
                <w:lang w:val="en-US"/>
              </w:rPr>
              <w:t xml:space="preserve">by zip code in each county for</w:t>
              <w:br/>
            </w:r>
            <w:r>
              <w:rPr>
                <w:rFonts w:ascii="Calibri" w:hAnsi="Calibri" w:eastAsia="Calibri"/>
                <w:color w:val="000000"/>
                <w:spacing w:val="0"/>
                <w:w w:val="100"/>
                <w:sz w:val="22"/>
                <w:vertAlign w:val="baseline"/>
                <w:lang w:val="en-US"/>
              </w:rPr>
              <w:t xml:space="preserve">those under age 18.</w:t>
              <w:br/>
            </w:r>
            <w:r>
              <w:rPr>
                <w:rFonts w:ascii="Calibri" w:hAnsi="Calibri" w:eastAsia="Calibri"/>
                <w:color w:val="000000"/>
                <w:spacing w:val="0"/>
                <w:w w:val="100"/>
                <w:sz w:val="22"/>
                <w:vertAlign w:val="baseline"/>
                <w:lang w:val="en-US"/>
              </w:rPr>
              <w:t xml:space="preserve">According to the American</w:t>
              <w:br/>
            </w:r>
            <w:r>
              <w:rPr>
                <w:rFonts w:ascii="Calibri" w:hAnsi="Calibri" w:eastAsia="Calibri"/>
                <w:color w:val="000000"/>
                <w:spacing w:val="0"/>
                <w:w w:val="100"/>
                <w:sz w:val="22"/>
                <w:vertAlign w:val="baseline"/>
                <w:lang w:val="en-US"/>
              </w:rPr>
              <w:t xml:space="preserve">Psychological Association,</w:t>
            </w:r>
            <w:r>
              <w:rPr>
                <w:rFonts w:ascii="Calibri" w:hAnsi="Calibri" w:eastAsia="Calibri"/>
                <w:color w:val="000000"/>
                <w:spacing w:val="0"/>
                <w:w w:val="100"/>
                <w:sz w:val="22"/>
                <w:vertAlign w:val="superscript"/>
                <w:lang w:val="en-US"/>
              </w:rPr>
              <w:t xml:space="preserve">22</w:t>
            </w:r>
            <w:r>
              <w:rPr>
                <w:rFonts w:ascii="Calibri" w:hAnsi="Calibri" w:eastAsia="Calibri"/>
                <w:color w:val="000000"/>
                <w:spacing w:val="0"/>
                <w:w w:val="100"/>
                <w:sz w:val="13"/>
                <w:vertAlign w:val="baseline"/>
                <w:lang w:val="en-US"/>
              </w:rPr>
              <w:t xml:space="preserve"></w:t>
              <w:br/>
            </w:r>
            <w:r>
              <w:rPr>
                <w:rFonts w:ascii="Calibri" w:hAnsi="Calibri" w:eastAsia="Calibri"/>
                <w:color w:val="000000"/>
                <w:spacing w:val="0"/>
                <w:w w:val="100"/>
                <w:sz w:val="22"/>
                <w:vertAlign w:val="baseline"/>
                <w:lang w:val="en-US"/>
              </w:rPr>
              <w:t xml:space="preserve">childhood poverty is</w:t>
              <w:br/>
            </w:r>
            <w:r>
              <w:rPr>
                <w:rFonts w:ascii="Calibri" w:hAnsi="Calibri" w:eastAsia="Calibri"/>
                <w:color w:val="000000"/>
                <w:spacing w:val="0"/>
                <w:w w:val="100"/>
                <w:sz w:val="22"/>
                <w:vertAlign w:val="baseline"/>
                <w:lang w:val="en-US"/>
              </w:rPr>
              <w:t xml:space="preserve">significant and can be long</w:t>
              <w:br/>
            </w:r>
            <w:r>
              <w:rPr>
                <w:rFonts w:ascii="Calibri" w:hAnsi="Calibri" w:eastAsia="Calibri"/>
                <w:color w:val="000000"/>
                <w:spacing w:val="0"/>
                <w:w w:val="100"/>
                <w:sz w:val="22"/>
                <w:vertAlign w:val="baseline"/>
                <w:lang w:val="en-US"/>
              </w:rPr>
              <w:t xml:space="preserve">lasting. It is associated with</w:t>
              <w:br/>
            </w:r>
            <w:r>
              <w:rPr>
                <w:rFonts w:ascii="Calibri" w:hAnsi="Calibri" w:eastAsia="Calibri"/>
                <w:color w:val="000000"/>
                <w:spacing w:val="0"/>
                <w:w w:val="100"/>
                <w:sz w:val="22"/>
                <w:vertAlign w:val="baseline"/>
                <w:lang w:val="en-US"/>
              </w:rPr>
              <w:t xml:space="preserve">subpar housing and</w:t>
              <w:br/>
            </w:r>
            <w:r>
              <w:rPr>
                <w:rFonts w:ascii="Calibri" w:hAnsi="Calibri" w:eastAsia="Calibri"/>
                <w:color w:val="000000"/>
                <w:spacing w:val="0"/>
                <w:w w:val="100"/>
                <w:sz w:val="22"/>
                <w:vertAlign w:val="baseline"/>
                <w:lang w:val="en-US"/>
              </w:rPr>
              <w:t xml:space="preserve">homelessness, poor nutrition</w:t>
              <w:br/>
            </w:r>
            <w:r>
              <w:rPr>
                <w:rFonts w:ascii="Calibri" w:hAnsi="Calibri" w:eastAsia="Calibri"/>
                <w:color w:val="000000"/>
                <w:spacing w:val="0"/>
                <w:w w:val="100"/>
                <w:sz w:val="22"/>
                <w:vertAlign w:val="baseline"/>
                <w:lang w:val="en-US"/>
              </w:rPr>
              <w:t xml:space="preserve">and hunger, less safe</w:t>
              <w:br/>
            </w:r>
            <w:r>
              <w:rPr>
                <w:rFonts w:ascii="Calibri" w:hAnsi="Calibri" w:eastAsia="Calibri"/>
                <w:color w:val="000000"/>
                <w:spacing w:val="0"/>
                <w:w w:val="100"/>
                <w:sz w:val="22"/>
                <w:vertAlign w:val="baseline"/>
                <w:lang w:val="en-US"/>
              </w:rPr>
              <w:t xml:space="preserve">neighborhoods, educational</w:t>
              <w:br/>
            </w:r>
            <w:r>
              <w:rPr>
                <w:rFonts w:ascii="Calibri" w:hAnsi="Calibri" w:eastAsia="Calibri"/>
                <w:color w:val="000000"/>
                <w:spacing w:val="0"/>
                <w:w w:val="100"/>
                <w:sz w:val="22"/>
                <w:vertAlign w:val="baseline"/>
                <w:lang w:val="en-US"/>
              </w:rPr>
              <w:t xml:space="preserve">lags, and substandard</w:t>
              <w:br/>
            </w:r>
            <w:r>
              <w:rPr>
                <w:rFonts w:ascii="Calibri" w:hAnsi="Calibri" w:eastAsia="Calibri"/>
                <w:color w:val="000000"/>
                <w:spacing w:val="0"/>
                <w:w w:val="100"/>
                <w:sz w:val="22"/>
                <w:vertAlign w:val="baseline"/>
                <w:lang w:val="en-US"/>
              </w:rPr>
              <w:t xml:space="preserve">childcare. All of these affect</w:t>
              <w:br/>
            </w:r>
            <w:r>
              <w:rPr>
                <w:rFonts w:ascii="Calibri" w:hAnsi="Calibri" w:eastAsia="Calibri"/>
                <w:color w:val="000000"/>
                <w:spacing w:val="0"/>
                <w:w w:val="100"/>
                <w:sz w:val="22"/>
                <w:vertAlign w:val="baseline"/>
                <w:lang w:val="en-US"/>
              </w:rPr>
              <w:t xml:space="preserve">the ability of children to be</w:t>
              <w:br/>
            </w:r>
            <w:r>
              <w:rPr>
                <w:rFonts w:ascii="Calibri" w:hAnsi="Calibri" w:eastAsia="Calibri"/>
                <w:color w:val="000000"/>
                <w:spacing w:val="0"/>
                <w:w w:val="100"/>
                <w:sz w:val="22"/>
                <w:vertAlign w:val="baseline"/>
                <w:lang w:val="en-US"/>
              </w:rPr>
              <w:t xml:space="preserve">successful and to be mentally</w:t>
              <w:br/>
            </w:r>
            <w:r>
              <w:rPr>
                <w:rFonts w:ascii="Calibri" w:hAnsi="Calibri" w:eastAsia="Calibri"/>
                <w:color w:val="000000"/>
                <w:spacing w:val="0"/>
                <w:w w:val="100"/>
                <w:sz w:val="22"/>
                <w:vertAlign w:val="baseline"/>
                <w:lang w:val="en-US"/>
              </w:rPr>
              <w:t xml:space="preserve">and physically healthy.</w:t>
            </w:r>
          </w:p>
          <w:p>
            <w:pPr>
              <w:spacing w:before="157" w:after="139" w:line="289" w:lineRule="exact"/>
              <w:ind w:right="0" w:left="21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societal costs of poverty</w:t>
              <w:br/>
            </w:r>
            <w:r>
              <w:rPr>
                <w:rFonts w:ascii="Calibri" w:hAnsi="Calibri" w:eastAsia="Calibri"/>
                <w:color w:val="000000"/>
                <w:spacing w:val="0"/>
                <w:w w:val="100"/>
                <w:sz w:val="22"/>
                <w:vertAlign w:val="baseline"/>
                <w:lang w:val="en-US"/>
              </w:rPr>
              <w:t xml:space="preserve">are significant, not just to</w:t>
            </w:r>
          </w:p>
        </w:tc>
      </w:tr>
      <w:tr>
        <w:trPr>
          <w:trHeight w:val="5386" w:hRule="exact"/>
        </w:trPr>
        <w:tc>
          <w:tcPr>
            <w:tcW w:w="7915" w:type="dxa"/>
            <w:tcBorders>
              <w:top w:val="none"/>
              <w:left w:val="none"/>
              <w:bottom w:val="none"/>
              <w:right w:val="none"/>
            </w:tcBorders>
            <w:textDirection w:val="lrTb"/>
            <w:vAlign w:val="top"/>
          </w:tcPr>
          <w:p>
            <w:pPr>
              <w:spacing w:before="0" w:after="0" w:line="240" w:lineRule="auto"/>
              <w:ind w:right="0" w:left="1536"/>
              <w:jc w:val="right"/>
              <w:textAlignment w:val="baseline"/>
            </w:pPr>
            <w:r>
              <w:drawing>
                <wp:inline>
                  <wp:extent cx="4050665" cy="3420110"/>
                  <wp:docPr name="Picture" id="43"/>
                  <a:graphic>
                    <a:graphicData uri="http://schemas.openxmlformats.org/drawingml/2006/picture">
                      <pic:pic>
                        <pic:nvPicPr>
                          <pic:cNvPr id="43" name="Picture"/>
                          <pic:cNvPicPr preferRelativeResize="false"/>
                        </pic:nvPicPr>
                        <pic:blipFill>
                          <a:blip r:embed="prId43"/>
                          <a:stretch>
                            <a:fillRect/>
                          </a:stretch>
                        </pic:blipFill>
                        <pic:spPr>
                          <a:xfrm>
                            <a:off x="0" y="0"/>
                            <a:ext cx="4050665" cy="3420110"/>
                          </a:xfrm>
                          <a:prstGeom prst="rect"/>
                        </pic:spPr>
                      </pic:pic>
                    </a:graphicData>
                  </a:graphic>
                </wp:inline>
              </w:drawing>
            </w:r>
          </w:p>
        </w:tc>
        <w:tc>
          <w:tcPr>
            <w:tcW w:w="4325" w:type="dxa"/>
            <w:vMerge w:val="continue"/>
            <w:tcBorders>
              <w:top w:val="none"/>
              <w:left w:val="none"/>
              <w:bottom w:val="none"/>
              <w:right w:val="none"/>
            </w:tcBorders>
            <w:textDirection w:val="lrTb"/>
            <w:vAlign w:val="top"/>
          </w:tcPr>
          <w:p/>
        </w:tc>
      </w:tr>
    </w:tbl>
    <w:p>
      <w:pPr>
        <w:spacing w:before="0" w:after="49" w:line="20" w:lineRule="exact"/>
      </w:pPr>
    </w:p>
    <w:p>
      <w:pPr>
        <w:tabs>
          <w:tab w:val="left" w:leader="none" w:pos="4608"/>
        </w:tabs>
        <w:spacing w:before="21" w:after="120" w:line="212"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Courtesy Common Ground Health	</w:t>
      </w:r>
      <w:r>
        <w:rPr>
          <w:rFonts w:ascii="Calibri" w:hAnsi="Calibri" w:eastAsia="Calibri"/>
          <w:i w:val="true"/>
          <w:color w:val="0E2841"/>
          <w:spacing w:val="0"/>
          <w:w w:val="100"/>
          <w:sz w:val="18"/>
          <w:vertAlign w:val="baseline"/>
          <w:lang w:val="en-US"/>
        </w:rPr>
        <w:t xml:space="preserve">Map 8: Poverty Rate by Zip Code for those Under 18 Years of Age</w:t>
      </w:r>
    </w:p>
    <w:tbl>
      <w:tblPr>
        <w:jc w:val="left"/>
        <w:tblLayout w:type="fixed"/>
        <w:tblCellMar>
          <w:left w:w="0" w:type="dxa"/>
          <w:right w:w="0" w:type="dxa"/>
        </w:tblCellMar>
      </w:tblPr>
      <w:tblGrid>
        <w:gridCol w:w="4603"/>
        <w:gridCol w:w="7637"/>
      </w:tblGrid>
      <w:tr>
        <w:trPr>
          <w:trHeight w:val="5678" w:hRule="exact"/>
        </w:trPr>
        <w:tc>
          <w:tcPr>
            <w:tcW w:w="4603" w:type="dxa"/>
            <w:tcBorders>
              <w:top w:val="none"/>
              <w:left w:val="none"/>
              <w:bottom w:val="none"/>
              <w:right w:val="none"/>
            </w:tcBorders>
            <w:textDirection w:val="lrTb"/>
            <w:vAlign w:val="top"/>
          </w:tcPr>
          <w:p>
            <w:pPr>
              <w:spacing w:before="256" w:after="215" w:line="289" w:lineRule="exact"/>
              <w:ind w:right="324"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individuals, but to the community at large. They include affordable housing shortages, increased homelessness, workforce shortages, increased crime, and more reliance on social sectors such as temporary housing, the justice system, food banks, Medicaid and SNAP. New York Counties share Medicaid and SNAP benefit costs with the federal government. When poverty rates increase, local contributions to these programs increase, as well, straining already strapped county budgets.</w:t>
            </w:r>
          </w:p>
        </w:tc>
        <w:tc>
          <w:tcPr>
            <w:tcW w:w="7637" w:type="dxa"/>
            <w:tcBorders>
              <w:top w:val="none"/>
              <w:left w:val="none"/>
              <w:bottom w:val="none"/>
              <w:right w:val="none"/>
            </w:tcBorders>
            <w:textDirection w:val="lrTb"/>
            <w:vAlign w:val="top"/>
          </w:tcPr>
          <w:p>
            <w:pPr>
              <w:spacing w:before="0" w:after="0" w:line="240" w:lineRule="auto"/>
              <w:ind w:right="653" w:left="0"/>
              <w:jc w:val="left"/>
              <w:textAlignment w:val="baseline"/>
            </w:pPr>
            <w:r>
              <w:drawing>
                <wp:inline>
                  <wp:extent cx="4434840" cy="3605530"/>
                  <wp:docPr name="Picture" id="44"/>
                  <a:graphic>
                    <a:graphicData uri="http://schemas.openxmlformats.org/drawingml/2006/picture">
                      <pic:pic>
                        <pic:nvPicPr>
                          <pic:cNvPr id="44" name="Picture"/>
                          <pic:cNvPicPr preferRelativeResize="false"/>
                        </pic:nvPicPr>
                        <pic:blipFill>
                          <a:blip r:embed="prId44"/>
                          <a:stretch>
                            <a:fillRect/>
                          </a:stretch>
                        </pic:blipFill>
                        <pic:spPr>
                          <a:xfrm>
                            <a:off x="0" y="0"/>
                            <a:ext cx="4434840" cy="3605530"/>
                          </a:xfrm>
                          <a:prstGeom prst="rect"/>
                        </pic:spPr>
                      </pic:pic>
                    </a:graphicData>
                  </a:graphic>
                </wp:inline>
              </w:drawing>
            </w:r>
          </w:p>
        </w:tc>
      </w:tr>
      <w:tr>
        <w:trPr>
          <w:trHeight w:val="220" w:hRule="exact"/>
        </w:trPr>
        <w:tc>
          <w:tcPr>
            <w:tcW w:w="4603" w:type="dxa"/>
            <w:tcBorders>
              <w:top w:val="none"/>
              <w:left w:val="none"/>
              <w:bottom w:val="none"/>
              <w:right w:val="none"/>
            </w:tcBorders>
            <w:textDirection w:val="lrTb"/>
            <w:vAlign w:val="top"/>
          </w:tcPr>
          <w:p/>
        </w:tc>
        <w:tc>
          <w:tcPr>
            <w:tcW w:w="7637" w:type="dxa"/>
            <w:tcBorders>
              <w:top w:val="none"/>
              <w:left w:val="none"/>
              <w:bottom w:val="none"/>
              <w:right w:val="none"/>
            </w:tcBorders>
            <w:textDirection w:val="lrTb"/>
            <w:vAlign w:val="center"/>
          </w:tcPr>
          <w:p>
            <w:pPr>
              <w:spacing w:before="0" w:after="14" w:line="180" w:lineRule="exact"/>
              <w:ind w:right="5203" w:left="0" w:firstLine="0"/>
              <w:jc w:val="right"/>
              <w:textAlignment w:val="baseline"/>
              <w:rPr>
                <w:rFonts w:ascii="Calibri" w:hAnsi="Calibri" w:eastAsia="Calibri"/>
                <w:i w:val="true"/>
                <w:color w:val="0E2841"/>
                <w:spacing w:val="-4"/>
                <w:w w:val="100"/>
                <w:sz w:val="18"/>
                <w:vertAlign w:val="baseline"/>
                <w:lang w:val="en-US"/>
              </w:rPr>
            </w:pPr>
            <w:r>
              <w:rPr>
                <w:rFonts w:ascii="Calibri" w:hAnsi="Calibri" w:eastAsia="Calibri"/>
                <w:i w:val="true"/>
                <w:color w:val="0E2841"/>
                <w:spacing w:val="-4"/>
                <w:w w:val="100"/>
                <w:sz w:val="18"/>
                <w:vertAlign w:val="baseline"/>
                <w:lang w:val="en-US"/>
              </w:rPr>
              <w:t xml:space="preserve">Courtesy Common Ground Health</w:t>
            </w:r>
          </w:p>
        </w:tc>
      </w:tr>
    </w:tbl>
    <w:p>
      <w:pPr>
        <w:spacing w:before="0" w:after="376" w:line="20" w:lineRule="exact"/>
      </w:pPr>
    </w:p>
    <w:p>
      <w:pPr>
        <w:spacing w:before="145" w:after="42" w:line="215"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7pt" strokecolor="#000000" from="72pt,696.7pt" to="216.3pt,696.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22</w:t>
      </w:r>
      <w:r>
        <w:rPr>
          <w:rFonts w:ascii="Calibri" w:hAnsi="Calibri" w:eastAsia="Calibri"/>
          <w:color w:val="000000"/>
          <w:spacing w:val="0"/>
          <w:w w:val="100"/>
          <w:sz w:val="19"/>
          <w:vertAlign w:val="baseline"/>
          <w:lang w:val="en-US"/>
        </w:rPr>
        <w:t xml:space="preserve"> Source:</w:t>
      </w:r>
      <w:hyperlink r:id="dhId19">
        <w:r>
          <w:rPr>
            <w:rFonts w:ascii="Calibri" w:hAnsi="Calibri" w:eastAsia="Calibri"/>
            <w:color w:val="0000FF"/>
            <w:spacing w:val="0"/>
            <w:w w:val="100"/>
            <w:sz w:val="20"/>
            <w:u w:val="single"/>
            <w:vertAlign w:val="baseline"/>
            <w:lang w:val="en-US"/>
          </w:rPr>
          <w:t xml:space="preserve"> hftps://www.apa.org/topics/socioeconomic-status/poverty-hunger-homelessness-children</w:t>
        </w:r>
      </w:hyperlink>
      <w:r>
        <w:rPr>
          <w:rFonts w:ascii="Calibri" w:hAnsi="Calibri" w:eastAsia="Calibri"/>
          <w:color w:val="467886"/>
          <w:spacing w:val="0"/>
          <w:w w:val="100"/>
          <w:sz w:val="19"/>
          <w:vertAlign w:val="baseline"/>
          <w:lang w:val="en-US"/>
        </w:rPr>
        <w:t xml:space="preserve">
</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38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7pt" strokecolor="#145F82" from="0pt,0.9pt" to="612.05pt,0.9pt" style="position:absolute;mso-position-horizontal-relative:text;mso-position-vertical-relative:text;">
            <v:stroke dashstyle="solid"/>
          </v:line>
        </w:pict>
      </w:r>
    </w:p>
    <w:p>
      <w:pPr>
        <w:sectPr>
          <w:type w:val="nextPage"/>
          <w:pgSz w:w="12240" w:h="15840" w:orient="portrait"/>
          <w:pgMar w:bottom="604" w:top="720" w:right="0" w:left="0" w:header="720" w:footer="720"/>
          <w:titlePg w:val="false"/>
          <w:textDirection w:val="lrTb"/>
        </w:sectPr>
      </w:pPr>
    </w:p>
    <w:p>
      <w:pPr>
        <w:spacing w:before="0" w:after="0" w:line="284" w:lineRule="exact"/>
        <w:ind w:right="72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9 notes the poverty rates, median household income, living wage requirement, and unemployment rate for the eight counties compared with the NYS average and the prevention agenda (PA) target. The living wage requirement refers to the amount of money one person would need to earn to cover basic household expenses including taxes for one adult and two children. The percent change from the baseline year is also noted. For several counties, the poverty rate exceeds the NYS average and, in many cases, is increasing. The population of those over age 65 living in poverty, though it does not exceed the NYS average, is particularly alarming as it has increased in all counties. The average household income has increased, but it has not kept pace with the living wage requirement.</w:t>
      </w:r>
    </w:p>
    <w:p>
      <w:pPr>
        <w:spacing w:before="228" w:after="197"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9 Poverty Rates in the Finger Lakes Region</w:t>
      </w:r>
    </w:p>
    <w:tbl>
      <w:tblPr>
        <w:jc w:val="left"/>
        <w:tblInd w:w="14" w:type="dxa"/>
        <w:tblLayout w:type="fixed"/>
        <w:tblCellMar>
          <w:left w:w="0" w:type="dxa"/>
          <w:right w:w="0" w:type="dxa"/>
        </w:tblCellMar>
      </w:tblPr>
      <w:tblGrid>
        <w:gridCol w:w="1411"/>
        <w:gridCol w:w="1416"/>
        <w:gridCol w:w="1397"/>
        <w:gridCol w:w="1406"/>
        <w:gridCol w:w="1407"/>
        <w:gridCol w:w="1517"/>
        <w:gridCol w:w="1406"/>
      </w:tblGrid>
      <w:tr>
        <w:trPr>
          <w:trHeight w:val="1354" w:hRule="exact"/>
        </w:trPr>
        <w:tc>
          <w:tcPr>
            <w:tcW w:w="1411"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1090" w:line="221" w:lineRule="exact"/>
              <w:ind w:right="384" w:left="0" w:firstLine="0"/>
              <w:jc w:val="right"/>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County</w:t>
            </w:r>
          </w:p>
        </w:tc>
        <w:tc>
          <w:tcPr>
            <w:tcW w:w="141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298" w:line="26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Poverty</w:t>
              <w:br/>
            </w:r>
            <w:r>
              <w:rPr>
                <w:rFonts w:ascii="Calibri" w:hAnsi="Calibri" w:eastAsia="Calibri"/>
                <w:color w:val="FFFFFF"/>
                <w:spacing w:val="0"/>
                <w:w w:val="100"/>
                <w:sz w:val="22"/>
                <w:vertAlign w:val="baseline"/>
                <w:lang w:val="en-US"/>
              </w:rPr>
              <w:t xml:space="preserve">2023</w:t>
              <w:br/>
            </w:r>
            <w:r>
              <w:rPr>
                <w:rFonts w:ascii="Calibri" w:hAnsi="Calibri" w:eastAsia="Calibri"/>
                <w:color w:val="FFFFFF"/>
                <w:spacing w:val="0"/>
                <w:w w:val="100"/>
                <w:sz w:val="22"/>
                <w:vertAlign w:val="baseline"/>
                <w:lang w:val="en-US"/>
              </w:rPr>
              <w:t xml:space="preserve">NYS: 13.7</w:t>
              <w:br/>
            </w:r>
            <w:r>
              <w:rPr>
                <w:rFonts w:ascii="Calibri" w:hAnsi="Calibri" w:eastAsia="Calibri"/>
                <w:color w:val="FFFFFF"/>
                <w:spacing w:val="0"/>
                <w:w w:val="100"/>
                <w:sz w:val="22"/>
                <w:vertAlign w:val="baseline"/>
                <w:lang w:val="en-US"/>
              </w:rPr>
              <w:t xml:space="preserve">PA:12.5</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39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831" w:line="259"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</w:t>
              <w:br/>
            </w:r>
            <w:r>
              <w:rPr>
                <w:rFonts w:ascii="Calibri" w:hAnsi="Calibri" w:eastAsia="Calibri"/>
                <w:color w:val="FFFFFF"/>
                <w:spacing w:val="0"/>
                <w:w w:val="100"/>
                <w:sz w:val="22"/>
                <w:vertAlign w:val="baseline"/>
                <w:lang w:val="en-US"/>
              </w:rPr>
              <w:t xml:space="preserve">from 2018</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40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299" w:line="26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Poverty</w:t>
              <w:br/>
            </w:r>
            <w:r>
              <w:rPr>
                <w:rFonts w:ascii="Calibri" w:hAnsi="Calibri" w:eastAsia="Calibri"/>
                <w:color w:val="FFFFFF"/>
                <w:spacing w:val="0"/>
                <w:w w:val="100"/>
                <w:sz w:val="22"/>
                <w:vertAlign w:val="baseline"/>
                <w:lang w:val="en-US"/>
              </w:rPr>
              <w:t xml:space="preserve">ages &lt;18</w:t>
              <w:br/>
            </w:r>
            <w:r>
              <w:rPr>
                <w:rFonts w:ascii="Calibri" w:hAnsi="Calibri" w:eastAsia="Calibri"/>
                <w:color w:val="FFFFFF"/>
                <w:spacing w:val="0"/>
                <w:w w:val="100"/>
                <w:sz w:val="22"/>
                <w:vertAlign w:val="baseline"/>
                <w:lang w:val="en-US"/>
              </w:rPr>
              <w:t xml:space="preserve">2023</w:t>
              <w:br/>
            </w:r>
            <w:r>
              <w:rPr>
                <w:rFonts w:ascii="Calibri" w:hAnsi="Calibri" w:eastAsia="Calibri"/>
                <w:color w:val="FFFFFF"/>
                <w:spacing w:val="0"/>
                <w:w w:val="100"/>
                <w:sz w:val="22"/>
                <w:vertAlign w:val="baseline"/>
                <w:lang w:val="en-US"/>
              </w:rPr>
              <w:t xml:space="preserve">NYS: 19</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40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831" w:line="259"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</w:t>
              <w:br/>
            </w:r>
            <w:r>
              <w:rPr>
                <w:rFonts w:ascii="Calibri" w:hAnsi="Calibri" w:eastAsia="Calibri"/>
                <w:color w:val="FFFFFF"/>
                <w:spacing w:val="0"/>
                <w:w w:val="100"/>
                <w:sz w:val="22"/>
                <w:vertAlign w:val="baseline"/>
                <w:lang w:val="en-US"/>
              </w:rPr>
              <w:t xml:space="preserve">from 2018</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51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0" w:line="264"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Poverty</w:t>
              <w:br/>
            </w:r>
            <w:r>
              <w:rPr>
                <w:rFonts w:ascii="Calibri" w:hAnsi="Calibri" w:eastAsia="Calibri"/>
                <w:color w:val="FFFFFF"/>
                <w:spacing w:val="0"/>
                <w:w w:val="100"/>
                <w:sz w:val="22"/>
                <w:vertAlign w:val="baseline"/>
                <w:lang w:val="en-US"/>
              </w:rPr>
              <w:t xml:space="preserve">ages &gt;65</w:t>
            </w:r>
          </w:p>
          <w:p>
            <w:pPr>
              <w:spacing w:before="0" w:after="0" w:line="265"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2023</w:t>
              <w:br/>
            </w:r>
            <w:r>
              <w:rPr>
                <w:rFonts w:ascii="Calibri" w:hAnsi="Calibri" w:eastAsia="Calibri"/>
                <w:color w:val="FFFFFF"/>
                <w:spacing w:val="0"/>
                <w:w w:val="100"/>
                <w:sz w:val="22"/>
                <w:vertAlign w:val="baseline"/>
                <w:lang w:val="en-US"/>
              </w:rPr>
              <w:t xml:space="preserve">NYS: 12.7</w:t>
            </w:r>
          </w:p>
          <w:p>
            <w:pPr>
              <w:spacing w:before="36" w:after="33" w:line="221"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PA=11</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40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831" w:line="259"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</w:t>
              <w:br/>
            </w:r>
            <w:r>
              <w:rPr>
                <w:rFonts w:ascii="Calibri" w:hAnsi="Calibri" w:eastAsia="Calibri"/>
                <w:color w:val="FFFFFF"/>
                <w:spacing w:val="0"/>
                <w:w w:val="100"/>
                <w:sz w:val="22"/>
                <w:vertAlign w:val="baseline"/>
                <w:lang w:val="en-US"/>
              </w:rPr>
              <w:t xml:space="preserve">from 2018</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57"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9"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15.8</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9"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9"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9"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9"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10.1</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9"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+15.0</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8"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11.6</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+17.0</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0" w:after="6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9.2</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0" w:after="6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0"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+27.0</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8"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15.1</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8.9</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+75.0</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13.3</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4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4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+25.0</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5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13.7</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11.1</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+63.0</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38"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1"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11.3</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1"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41"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1"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41"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8.3</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1"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5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41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14.1</w:t>
            </w:r>
          </w:p>
        </w:tc>
        <w:tc>
          <w:tcPr>
            <w:tcW w:w="1397"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18.0</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12.5</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w:t>
            </w:r>
          </w:p>
        </w:tc>
      </w:tr>
      <w:tr>
        <w:trPr>
          <w:trHeight w:val="1623" w:hRule="exact"/>
        </w:trPr>
        <w:tc>
          <w:tcPr>
            <w:tcW w:w="1411"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41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24" w:line="265"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Median</w:t>
              <w:br/>
            </w:r>
            <w:r>
              <w:rPr>
                <w:rFonts w:ascii="Calibri" w:hAnsi="Calibri" w:eastAsia="Calibri"/>
                <w:color w:val="FFFFFF"/>
                <w:spacing w:val="0"/>
                <w:w w:val="100"/>
                <w:sz w:val="22"/>
                <w:vertAlign w:val="baseline"/>
                <w:lang w:val="en-US"/>
              </w:rPr>
              <w:t xml:space="preserve">Household</w:t>
              <w:br/>
            </w:r>
            <w:r>
              <w:rPr>
                <w:rFonts w:ascii="Calibri" w:hAnsi="Calibri" w:eastAsia="Calibri"/>
                <w:color w:val="FFFFFF"/>
                <w:spacing w:val="0"/>
                <w:w w:val="100"/>
                <w:sz w:val="22"/>
                <w:vertAlign w:val="baseline"/>
                <w:lang w:val="en-US"/>
              </w:rPr>
              <w:t xml:space="preserve">Inc.</w:t>
              <w:br/>
            </w:r>
            <w:r>
              <w:rPr>
                <w:rFonts w:ascii="Calibri" w:hAnsi="Calibri" w:eastAsia="Calibri"/>
                <w:color w:val="FFFFFF"/>
                <w:spacing w:val="0"/>
                <w:w w:val="100"/>
                <w:sz w:val="22"/>
                <w:vertAlign w:val="baseline"/>
                <w:lang w:val="en-US"/>
              </w:rPr>
              <w:t xml:space="preserve">2023</w:t>
              <w:br/>
            </w:r>
            <w:r>
              <w:rPr>
                <w:rFonts w:ascii="Calibri" w:hAnsi="Calibri" w:eastAsia="Calibri"/>
                <w:color w:val="FFFFFF"/>
                <w:spacing w:val="0"/>
                <w:w w:val="100"/>
                <w:sz w:val="22"/>
                <w:vertAlign w:val="baseline"/>
                <w:lang w:val="en-US"/>
              </w:rPr>
              <w:t xml:space="preserve">NYS:</w:t>
              <w:br/>
            </w:r>
            <w:r>
              <w:rPr>
                <w:rFonts w:ascii="Calibri" w:hAnsi="Calibri" w:eastAsia="Calibri"/>
                <w:color w:val="FFFFFF"/>
                <w:spacing w:val="0"/>
                <w:w w:val="100"/>
                <w:sz w:val="22"/>
                <w:vertAlign w:val="baseline"/>
                <w:lang w:val="en-US"/>
              </w:rPr>
              <w:t xml:space="preserve">$82,100</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39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1111" w:line="253"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</w:t>
              <w:br/>
            </w:r>
            <w:r>
              <w:rPr>
                <w:rFonts w:ascii="Calibri" w:hAnsi="Calibri" w:eastAsia="Calibri"/>
                <w:color w:val="FFFFFF"/>
                <w:spacing w:val="0"/>
                <w:w w:val="100"/>
                <w:sz w:val="22"/>
                <w:vertAlign w:val="baseline"/>
                <w:lang w:val="en-US"/>
              </w:rPr>
              <w:t xml:space="preserve">from 2019</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40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0" w:line="26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Living Wage</w:t>
              <w:br/>
            </w:r>
            <w:r>
              <w:rPr>
                <w:rFonts w:ascii="Calibri" w:hAnsi="Calibri" w:eastAsia="Calibri"/>
                <w:color w:val="FFFFFF"/>
                <w:spacing w:val="0"/>
                <w:w w:val="100"/>
                <w:sz w:val="22"/>
                <w:vertAlign w:val="baseline"/>
                <w:lang w:val="en-US"/>
              </w:rPr>
              <w:t xml:space="preserve">Required</w:t>
            </w:r>
          </w:p>
          <w:p>
            <w:pPr>
              <w:spacing w:before="47" w:after="0" w:line="219" w:lineRule="exact"/>
              <w:ind w:right="468" w:left="0" w:firstLine="0"/>
              <w:jc w:val="right"/>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2023</w:t>
            </w:r>
          </w:p>
          <w:p>
            <w:pPr>
              <w:spacing w:before="50" w:after="0" w:line="219" w:lineRule="exact"/>
              <w:ind w:right="468" w:left="0" w:firstLine="0"/>
              <w:jc w:val="right"/>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NYS:</w:t>
            </w:r>
          </w:p>
          <w:p>
            <w:pPr>
              <w:spacing w:before="22" w:after="298" w:line="239" w:lineRule="exact"/>
              <w:ind w:right="290" w:left="0" w:firstLine="0"/>
              <w:jc w:val="right"/>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$61.75</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40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1116" w:line="248"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</w:t>
              <w:br/>
            </w:r>
            <w:r>
              <w:rPr>
                <w:rFonts w:ascii="Calibri" w:hAnsi="Calibri" w:eastAsia="Calibri"/>
                <w:color w:val="FFFFFF"/>
                <w:spacing w:val="0"/>
                <w:w w:val="100"/>
                <w:sz w:val="22"/>
                <w:vertAlign w:val="baseline"/>
                <w:lang w:val="en-US"/>
              </w:rPr>
              <w:t xml:space="preserve">from 2021</w:t>
            </w:r>
            <w:r>
              <w:rPr>
                <w:rFonts w:ascii="Calibri" w:hAnsi="Calibri" w:eastAsia="Calibri"/>
                <w:color w:val="FFFFFF"/>
                <w:spacing w:val="0"/>
                <w:w w:val="100"/>
                <w:sz w:val="22"/>
                <w:vertAlign w:val="superscript"/>
                <w:lang w:val="en-US"/>
              </w:rPr>
              <w:t xml:space="preserve">***</w:t>
            </w:r>
            <w:r>
              <w:rPr>
                <w:rFonts w:ascii="Calibri" w:hAnsi="Calibri" w:eastAsia="Calibri"/>
                <w:color w:val="FFFFFF"/>
                <w:spacing w:val="0"/>
                <w:w w:val="100"/>
                <w:sz w:val="14"/>
                <w:vertAlign w:val="baseline"/>
                <w:lang w:val="en-US"/>
              </w:rPr>
              <w:t xml:space="preserve">
</w:t>
            </w:r>
          </w:p>
        </w:tc>
        <w:tc>
          <w:tcPr>
            <w:tcW w:w="151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3" w:after="0" w:line="22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%Unemployed</w:t>
            </w:r>
          </w:p>
          <w:p>
            <w:pPr>
              <w:spacing w:before="47" w:after="0" w:line="22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(January</w:t>
            </w:r>
          </w:p>
          <w:p>
            <w:pPr>
              <w:spacing w:before="10" w:after="826" w:line="258"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2025)</w:t>
            </w:r>
            <w:r>
              <w:rPr>
                <w:rFonts w:ascii="Calibri" w:hAnsi="Calibri" w:eastAsia="Calibri"/>
                <w:color w:val="FFFFFF"/>
                <w:spacing w:val="0"/>
                <w:w w:val="100"/>
                <w:sz w:val="14"/>
                <w:vertAlign w:val="baseline"/>
                <w:lang w:val="en-US"/>
              </w:rPr>
              <w:t xml:space="preserve">****</w:t>
            </w:r>
          </w:p>
        </w:tc>
        <w:tc>
          <w:tcPr>
            <w:tcW w:w="140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3" w:after="0" w:line="222"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 change</w:t>
            </w:r>
          </w:p>
          <w:p>
            <w:pPr>
              <w:spacing w:before="47" w:after="0" w:line="222" w:lineRule="exact"/>
              <w:ind w:right="115" w:left="0" w:firstLine="0"/>
              <w:jc w:val="right"/>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from January</w:t>
            </w:r>
          </w:p>
          <w:p>
            <w:pPr>
              <w:spacing w:before="6" w:after="864" w:line="224" w:lineRule="exact"/>
              <w:ind w:right="0" w:left="0" w:firstLine="0"/>
              <w:jc w:val="center"/>
              <w:textAlignment w:val="baseline"/>
              <w:rPr>
                <w:rFonts w:ascii="Calibri" w:hAnsi="Calibri" w:eastAsia="Calibri"/>
                <w:color w:val="FFFFFF"/>
                <w:spacing w:val="0"/>
                <w:w w:val="100"/>
                <w:sz w:val="22"/>
                <w:vertAlign w:val="baseline"/>
                <w:lang w:val="en-US"/>
              </w:rPr>
            </w:pPr>
            <w:r>
              <w:rPr>
                <w:rFonts w:ascii="Calibri" w:hAnsi="Calibri" w:eastAsia="Calibri"/>
                <w:color w:val="FFFFFF"/>
                <w:spacing w:val="0"/>
                <w:w w:val="100"/>
                <w:sz w:val="22"/>
                <w:vertAlign w:val="baseline"/>
                <w:lang w:val="en-US"/>
              </w:rPr>
              <w:t xml:space="preserve">2019</w:t>
            </w:r>
            <w:r>
              <w:rPr>
                <w:rFonts w:ascii="Calibri" w:hAnsi="Calibri" w:eastAsia="Calibri"/>
                <w:color w:val="FFFFFF"/>
                <w:spacing w:val="0"/>
                <w:w w:val="100"/>
                <w:sz w:val="14"/>
                <w:vertAlign w:val="baseline"/>
                <w:lang w:val="en-US"/>
              </w:rPr>
              <w:t xml:space="preserve">****</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0" w:after="48"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0"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$60,500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0"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$50.73</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0"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53"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5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$70,200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$51.12</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-9.8</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6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6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$79,400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6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$56.94</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+37.0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6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+29.8</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8"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$65,200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$49.95</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+31.0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5"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4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$58,600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4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$48.77</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4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w:t>
            </w:r>
          </w:p>
        </w:tc>
      </w:tr>
      <w:tr>
        <w:trPr>
          <w:trHeight w:val="30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0" w:after="55"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0" w:after="5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$64,300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0" w:after="55"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$49.08</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0"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0" w:after="55"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w:t>
            </w:r>
          </w:p>
        </w:tc>
      </w:tr>
      <w:tr>
        <w:trPr>
          <w:trHeight w:val="312"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43"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4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$73,000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6"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46"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$51.24</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6"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46"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46"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-9.8</w:t>
            </w:r>
          </w:p>
        </w:tc>
      </w:tr>
      <w:tr>
        <w:trPr>
          <w:trHeight w:val="317" w:hRule="exact"/>
        </w:trPr>
        <w:tc>
          <w:tcPr>
            <w:tcW w:w="1411"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50" w:line="219"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41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$66,200</w:t>
            </w:r>
          </w:p>
        </w:tc>
        <w:tc>
          <w:tcPr>
            <w:tcW w:w="139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406" w:type="dxa"/>
            <w:tcBorders>
              <w:top w:val="single" w:sz="5" w:color="000000"/>
              <w:left w:val="single" w:sz="5" w:color="000000"/>
              <w:bottom w:val="single" w:sz="5" w:color="000000"/>
              <w:right w:val="single" w:sz="5" w:color="000000"/>
            </w:tcBorders>
            <w:textDirection w:val="lrTb"/>
            <w:vAlign w:val="center"/>
          </w:tcPr>
          <w:p>
            <w:pPr>
              <w:spacing w:before="33" w:after="50" w:line="219"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$51.14</w:t>
            </w:r>
          </w:p>
        </w:tc>
        <w:tc>
          <w:tcPr>
            <w:tcW w:w="1407"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+33.0</w:t>
            </w:r>
          </w:p>
        </w:tc>
        <w:tc>
          <w:tcPr>
            <w:tcW w:w="1517" w:type="dxa"/>
            <w:tcBorders>
              <w:top w:val="single" w:sz="5" w:color="000000"/>
              <w:left w:val="single" w:sz="5" w:color="000000"/>
              <w:bottom w:val="single" w:sz="5" w:color="000000"/>
              <w:right w:val="single" w:sz="5" w:color="000000"/>
            </w:tcBorders>
            <w:textDirection w:val="lrTb"/>
            <w:vAlign w:val="center"/>
          </w:tcPr>
          <w:p>
            <w:pPr>
              <w:tabs>
                <w:tab w:val="decimal" w:leader="none" w:pos="1296"/>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4.5</w:t>
            </w:r>
          </w:p>
        </w:tc>
        <w:tc>
          <w:tcPr>
            <w:tcW w:w="1406"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50" w:line="219"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+4.7</w:t>
            </w:r>
          </w:p>
        </w:tc>
      </w:tr>
    </w:tbl>
    <w:p>
      <w:pPr>
        <w:spacing w:before="3" w:after="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*Poverty Rates: American Community Survey (2018-2023)</w:t>
      </w:r>
    </w:p>
    <w:p>
      <w:pPr>
        <w:spacing w:before="46" w:after="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**Average Household Income: Small Area Income and Poverty Estimates, U.S. Census (2019-2023)</w:t>
      </w:r>
    </w:p>
    <w:p>
      <w:pPr>
        <w:spacing w:before="36" w:after="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***Living Wage Requirement: The Living Wage Calculator (2021-2024)</w:t>
      </w:r>
    </w:p>
    <w:p>
      <w:pPr>
        <w:spacing w:before="41" w:after="1185"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****Unemployment Rate: U.S. Department of Labor (2019-2025)</w:t>
      </w:r>
    </w:p>
    <w:p>
      <w:pPr>
        <w:spacing w:before="41" w:after="1185" w:line="180" w:lineRule="exact"/>
        <w:sectPr>
          <w:type w:val="continuous"/>
          <w:pgSz w:w="12240" w:h="15840" w:orient="portrait"/>
          <w:pgMar w:bottom="604" w:top="720" w:right="734" w:left="1426" w:header="720" w:footer="720"/>
          <w:titlePg w:val="false"/>
          <w:textDirection w:val="lrTb"/>
        </w:sectPr>
      </w:pP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9pt" strokecolor="#145F82" from="0pt,1pt" to="612.05pt,1pt" style="position:absolute;mso-position-horizontal-relative:text;mso-position-vertical-relative:text;">
            <v:stroke dashstyle="solid"/>
          </v:line>
        </w:pict>
      </w:r>
    </w:p>
    <w:p>
      <w:pPr>
        <w:sectPr>
          <w:type w:val="continuous"/>
          <w:pgSz w:w="12240" w:h="15840" w:orient="portrait"/>
          <w:pgMar w:bottom="604" w:top="720" w:right="0" w:left="0" w:header="720" w:footer="720"/>
          <w:titlePg w:val="false"/>
          <w:textDirection w:val="lrTb"/>
        </w:sectPr>
      </w:pP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39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7pt" strokecolor="#145F82" from="0pt,0.9pt" to="612.05pt,0.9pt" style="position:absolute;mso-position-horizontal-relative:text;mso-position-vertical-relative:text;">
            <v:stroke dashstyle="solid"/>
          </v:line>
        </w:pict>
      </w:r>
    </w:p>
    <w:p>
      <w:pPr>
        <w:sectPr>
          <w:type w:val="nextPage"/>
          <w:pgSz w:w="12240" w:h="15840" w:orient="portrait"/>
          <w:pgMar w:bottom="604" w:top="720" w:right="0" w:left="0" w:header="720" w:footer="720"/>
          <w:titlePg w:val="false"/>
          <w:textDirection w:val="lrTb"/>
        </w:sectPr>
      </w:pPr>
    </w:p>
    <w:p>
      <w:pPr>
        <w:spacing w:before="26" w:after="0" w:line="216" w:lineRule="exact"/>
        <w:ind w:right="0" w:left="0" w:firstLine="0"/>
        <w:jc w:val="left"/>
        <w:textAlignment w:val="baseline"/>
        <w:rPr>
          <w:rFonts w:ascii="Calibri" w:hAnsi="Calibri" w:eastAsia="Calibri"/>
          <w:b w:val="true"/>
          <w:i w:val="true"/>
          <w:color w:val="000000"/>
          <w:spacing w:val="-5"/>
          <w:w w:val="100"/>
          <w:sz w:val="22"/>
          <w:vertAlign w:val="baseline"/>
          <w:lang w:val="en-US"/>
        </w:rPr>
      </w:pPr>
      <w:r>
        <w:rPr>
          <w:rFonts w:ascii="Calibri" w:hAnsi="Calibri" w:eastAsia="Calibri"/>
          <w:b w:val="true"/>
          <w:i w:val="true"/>
          <w:color w:val="000000"/>
          <w:spacing w:val="-5"/>
          <w:w w:val="100"/>
          <w:sz w:val="22"/>
          <w:vertAlign w:val="baseline"/>
          <w:lang w:val="en-US"/>
        </w:rPr>
        <w:t xml:space="preserve">Nutrition Security</w:t>
      </w:r>
    </w:p>
    <w:p>
      <w:pPr>
        <w:sectPr>
          <w:type w:val="continuous"/>
          <w:pgSz w:w="12240" w:h="15840" w:orient="portrait"/>
          <w:pgMar w:bottom="604" w:top="720" w:right="9175" w:left="1445" w:header="720" w:footer="720"/>
          <w:titlePg w:val="false"/>
          <w:textDirection w:val="lrTb"/>
        </w:sectPr>
      </w:pPr>
    </w:p>
    <w:p>
      <w:pPr>
        <w:spacing w:before="0" w:after="0" w:line="158" w:lineRule="exact"/>
        <w:ind w:right="0" w:left="0" w:firstLine="0"/>
        <w:jc w:val="left"/>
        <w:textAlignment w:val="baseline"/>
        <w:rPr>
          <w:rFonts w:ascii="Calibri" w:hAnsi="Calibri" w:eastAsia="Calibri"/>
          <w:i w:val="true"/>
          <w:color w:val="0E2841"/>
          <w:spacing w:val="-3"/>
          <w:w w:val="100"/>
          <w:sz w:val="18"/>
          <w:vertAlign w:val="baseline"/>
          <w:lang w:val="en-US"/>
        </w:rPr>
      </w:pPr>
      <w:r>
        <w:rPr>
          <w:rFonts w:ascii="Calibri" w:hAnsi="Calibri" w:eastAsia="Calibri"/>
          <w:i w:val="true"/>
          <w:color w:val="0E2841"/>
          <w:spacing w:val="-3"/>
          <w:w w:val="100"/>
          <w:sz w:val="18"/>
          <w:vertAlign w:val="baseline"/>
          <w:lang w:val="en-US"/>
        </w:rPr>
        <w:t xml:space="preserve">Map 9: Food Insecurity Rate by Zip Code</w:t>
      </w:r>
    </w:p>
    <w:p>
      <w:pPr>
        <w:sectPr>
          <w:type w:val="continuous"/>
          <w:pgSz w:w="12240" w:h="15840" w:orient="portrait"/>
          <w:pgMar w:bottom="604" w:top="720" w:right="4122" w:left="5198" w:header="720" w:footer="720"/>
          <w:titlePg w:val="false"/>
          <w:textDirection w:val="lrTb"/>
        </w:sectPr>
      </w:pPr>
    </w:p>
    <w:p>
      <w:pPr>
        <w:spacing w:before="0" w:after="0" w:line="288" w:lineRule="exact"/>
        <w:ind w:right="144" w:left="0" w:firstLine="0"/>
        <w:jc w:val="left"/>
        <w:textAlignment w:val="baseline"/>
        <w:rPr>
          <w:rFonts w:ascii="Calibri" w:hAnsi="Calibri" w:eastAsia="Calibri"/>
          <w:color w:val="000000"/>
          <w:spacing w:val="-2"/>
          <w:w w:val="100"/>
          <w:sz w:val="22"/>
          <w:vertAlign w:val="baseline"/>
          <w:lang w:val="en-US"/>
        </w:rPr>
      </w:pPr>
      <w:r>
        <w:pict>
          <v:shapetype id="_x0000_t154" coordsize="21600,21600" o:spt="202" path="m,l,21600r21600,l21600,xe">
            <v:stroke joinstyle="miter"/>
            <v:path gradientshapeok="t" o:connecttype="rect"/>
          </v:shapetype>
          <v:shape id="_x0000_s153" type="#_x0000_t154" filled="f" stroked="f" style="position:absolute;width:306.95pt;height:287.75pt;z-index:-1;margin-left:276.25pt;margin-top:118.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898265" cy="3654425"/>
                        <wp:docPr name="Picture" id="45"/>
                        <a:graphic>
                          <a:graphicData uri="http://schemas.openxmlformats.org/drawingml/2006/picture">
                            <pic:pic>
                              <pic:nvPicPr>
                                <pic:cNvPr id="45" name="Picture"/>
                                <pic:cNvPicPr preferRelativeResize="false"/>
                              </pic:nvPicPr>
                              <pic:blipFill>
                                <a:blip r:embed="prId45"/>
                                <a:stretch>
                                  <a:fillRect/>
                                </a:stretch>
                              </pic:blipFill>
                              <pic:spPr>
                                <a:xfrm>
                                  <a:off x="0" y="0"/>
                                  <a:ext cx="3898265" cy="3654425"/>
                                </a:xfrm>
                                <a:prstGeom prst="rect"/>
                              </pic:spPr>
                            </pic:pic>
                          </a:graphicData>
                        </a:graphic>
                      </wp:inline>
                    </w:drawing>
                  </w:r>
                </w:p>
              </w:txbxContent>
            </v:textbox>
          </v:shape>
        </w:pict>
      </w:r>
      <w:r>
        <w:rPr>
          <w:rFonts w:ascii="Calibri" w:hAnsi="Calibri" w:eastAsia="Calibri"/>
          <w:color w:val="000000"/>
          <w:spacing w:val="-2"/>
          <w:w w:val="100"/>
          <w:sz w:val="22"/>
          <w:vertAlign w:val="baseline"/>
          <w:lang w:val="en-US"/>
        </w:rPr>
        <w:t xml:space="preserve">The Food Environment Index (FEI) measures how easily residents can access healthy, affordable foods. The score is based on both the rate of food insecurity and the percentage of low-income residents who live far from a grocery store. Scores range from 0 (worst) to 10 (best). Lack of access to healthy foods is strongly associated with increased rates of obesity, chronic disease (such as diabetes and heart disease), and early death.</w:t>
      </w:r>
    </w:p>
    <w:p>
      <w:pPr>
        <w:spacing w:before="168" w:after="158" w:line="289" w:lineRule="exact"/>
        <w:ind w:right="72"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Food Insecurity Rate highlights the economic disparities that may contribute to increases in poverty rates. The Food Insecurity Rate, expressed as a percentage of the total population, measures the share of households that lack consistent access to enough food for an active, healthy life. Map 9 shows the Food Insecurity Rate by Zip Code in the Finger Lakes region.</w:t>
      </w:r>
    </w:p>
    <w:p>
      <w:pPr>
        <w:spacing w:before="168" w:after="158" w:line="289" w:lineRule="exact"/>
        <w:sectPr>
          <w:type w:val="continuous"/>
          <w:pgSz w:w="12240" w:h="15840" w:orient="portrait"/>
          <w:pgMar w:bottom="604" w:top="720" w:right="7200" w:left="1440" w:header="720" w:footer="720"/>
          <w:titlePg w:val="false"/>
          <w:textDirection w:val="lrTb"/>
        </w:sectPr>
      </w:pPr>
    </w:p>
    <w:p>
      <w:pPr>
        <w:spacing w:before="68"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 strong food environment is important</w:t>
      </w:r>
    </w:p>
    <w:p>
      <w:pPr>
        <w:spacing w:before="0" w:after="0" w:line="289"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because limited access to healthy food is linked to higher rates of chronic diseases (like obesity and diabetes), premature death, and poorer overall community health, especially in low-income and rural communities.</w:t>
      </w:r>
    </w:p>
    <w:p>
      <w:pPr>
        <w:spacing w:before="170"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Over the past three years, cross-sectional community surveys conducted by the Pivital Public Health Partnership in Chemung, Livingston, Ontario, Schuyler, Seneca, Steuben, Wayne, and Yates counties show that food insecurity is both common and worsening. Using the validated two-item Hunger Vital Sign screener, the share of surveyed households reporting food insecurity increased from 26% in 2019– 2020 to 67% in 2023–2024, indicating that more than two in three responding households now experience concern about having enough food or difficulty affording balanced meals. During the same period, the proportion of respondents who reported knowing someone struggling with food insecurity rose from 45% to 65%, underscoring that food hardship is widely visible within residents’ social networks and community life.</w:t>
      </w:r>
    </w:p>
    <w:p>
      <w:pPr>
        <w:spacing w:before="168" w:after="245" w:line="289"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 total of 1,289 responses were collected across the eight counties (Chemung 76, Livingston 209, Ontario 380, Schuyler 80, Seneca 164, Steuben 52, Wayne 126, and Yates 202), providing community input to inform assessment and planning. These survey findings complement secondary indicators such as FEI, food insecurity rate, and SNAP eligibility, reinforcing that many rural residents face both geographic and economic barriers to healthy food and that targeted strategies to improve nutrition security are needed</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40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175" w:after="0" w:line="285" w:lineRule="exact"/>
        <w:ind w:right="187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across the region. Taken together, these findings show that food insecurity disproportionately affects residents in lower-income and more remote ZIP codes, contributing to avoidable gaps in diet-related health outcomes and reinforcing existing inequities.</w:t>
      </w:r>
    </w:p>
    <w:p>
      <w:pPr>
        <w:spacing w:before="189" w:after="0" w:line="285"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10 compares each county’s Food Environment Index (FEI) with its estimated food insecurity rate to illustrate ongoing challenges with nutrition security in the region. Counties with FEI scores below the New York State value of 8.7, such as Chemung, Schuyler, Seneca, and Steuben, face relatively greater barriers to healthy food access, including affordability and proximity to grocery stores. At the same time, food insecurity affects roughly one in eight to one in seven residents across the counties, with the highest rates generally observed in more rural areas, indicating that many households continue to struggle to afford enough nutritious food.</w:t>
      </w:r>
    </w:p>
    <w:p>
      <w:pPr>
        <w:spacing w:before="229" w:after="192" w:line="179" w:lineRule="exact"/>
        <w:ind w:right="0" w:left="2448"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10 Food Environment Index in the Finger Lakes Region</w:t>
      </w:r>
    </w:p>
    <w:tbl>
      <w:tblPr>
        <w:jc w:val="left"/>
        <w:tblInd w:w="2381" w:type="dxa"/>
        <w:tblLayout w:type="fixed"/>
        <w:tblCellMar>
          <w:left w:w="0" w:type="dxa"/>
          <w:right w:w="0" w:type="dxa"/>
        </w:tblCellMar>
      </w:tblPr>
      <w:tblGrid>
        <w:gridCol w:w="1853"/>
        <w:gridCol w:w="1867"/>
        <w:gridCol w:w="1877"/>
        <w:gridCol w:w="1876"/>
      </w:tblGrid>
      <w:tr>
        <w:trPr>
          <w:trHeight w:val="1358" w:hRule="exact"/>
        </w:trPr>
        <w:tc>
          <w:tcPr>
            <w:tcW w:w="1853"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1080" w:line="226" w:lineRule="exact"/>
              <w:ind w:right="60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86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0"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Food</w:t>
            </w:r>
          </w:p>
          <w:p>
            <w:pPr>
              <w:spacing w:before="0" w:after="0" w:line="269"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Environment</w:t>
              <w:br/>
            </w:r>
            <w:r>
              <w:rPr>
                <w:rFonts w:ascii="Calibri" w:hAnsi="Calibri" w:eastAsia="Calibri"/>
                <w:b w:val="true"/>
                <w:color w:val="FFFFFF"/>
                <w:spacing w:val="0"/>
                <w:w w:val="100"/>
                <w:sz w:val="22"/>
                <w:vertAlign w:val="baseline"/>
                <w:lang w:val="en-US"/>
              </w:rPr>
              <w:t xml:space="preserve">Index</w:t>
            </w:r>
          </w:p>
          <w:p>
            <w:pPr>
              <w:spacing w:before="46" w:after="0"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(2022)</w:t>
            </w:r>
          </w:p>
          <w:p>
            <w:pPr>
              <w:spacing w:before="45" w:after="8"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(NYS: 8.7)*</w:t>
            </w:r>
          </w:p>
        </w:tc>
        <w:tc>
          <w:tcPr>
            <w:tcW w:w="187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0"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 Change from</w:t>
            </w:r>
          </w:p>
          <w:p>
            <w:pPr>
              <w:spacing w:before="43" w:after="814"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2018*</w:t>
            </w:r>
          </w:p>
        </w:tc>
        <w:tc>
          <w:tcPr>
            <w:tcW w:w="187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0" w:line="26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Food Insecurity</w:t>
              <w:br/>
            </w:r>
            <w:r>
              <w:rPr>
                <w:rFonts w:ascii="Calibri" w:hAnsi="Calibri" w:eastAsia="Calibri"/>
                <w:b w:val="true"/>
                <w:color w:val="FFFFFF"/>
                <w:spacing w:val="0"/>
                <w:w w:val="100"/>
                <w:sz w:val="22"/>
                <w:vertAlign w:val="baseline"/>
                <w:lang w:val="en-US"/>
              </w:rPr>
              <w:t xml:space="preserve">Rate</w:t>
            </w:r>
          </w:p>
          <w:p>
            <w:pPr>
              <w:spacing w:before="46" w:after="545"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(2023)**</w:t>
            </w:r>
          </w:p>
        </w:tc>
      </w:tr>
      <w:tr>
        <w:trPr>
          <w:trHeight w:val="279"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0" w:after="24"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0"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14.4</w:t>
            </w:r>
          </w:p>
        </w:tc>
      </w:tr>
      <w:tr>
        <w:trPr>
          <w:trHeight w:val="278"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3" w:after="14" w:line="222"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15"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5"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15"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11.8</w:t>
            </w:r>
          </w:p>
        </w:tc>
      </w:tr>
      <w:tr>
        <w:trPr>
          <w:trHeight w:val="279"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0" w:after="2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0"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11.8</w:t>
            </w:r>
          </w:p>
        </w:tc>
      </w:tr>
      <w:tr>
        <w:trPr>
          <w:trHeight w:val="278"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3" w:after="1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8.4</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13.9</w:t>
            </w:r>
          </w:p>
        </w:tc>
      </w:tr>
      <w:tr>
        <w:trPr>
          <w:trHeight w:val="278"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3" w:after="15"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15"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8.4</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5"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15"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14.0</w:t>
            </w:r>
          </w:p>
        </w:tc>
      </w:tr>
      <w:tr>
        <w:trPr>
          <w:trHeight w:val="279"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4" w:after="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4" w:after="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4" w:after="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4" w:after="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13.6</w:t>
            </w:r>
          </w:p>
        </w:tc>
      </w:tr>
      <w:tr>
        <w:trPr>
          <w:trHeight w:val="278"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3" w:after="18" w:line="222"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1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11.9</w:t>
            </w:r>
          </w:p>
        </w:tc>
      </w:tr>
      <w:tr>
        <w:trPr>
          <w:trHeight w:val="289" w:hRule="exact"/>
        </w:trPr>
        <w:tc>
          <w:tcPr>
            <w:tcW w:w="1853" w:type="dxa"/>
            <w:tcBorders>
              <w:top w:val="single" w:sz="5" w:color="000000"/>
              <w:left w:val="single" w:sz="5" w:color="000000"/>
              <w:bottom w:val="single" w:sz="5" w:color="000000"/>
              <w:right w:val="single" w:sz="5" w:color="000000"/>
            </w:tcBorders>
            <w:shd w:val="clear" w:color="DBE8F5" w:fill="DBE8F5"/>
            <w:textDirection w:val="lrTb"/>
            <w:vAlign w:val="center"/>
          </w:tcPr>
          <w:p>
            <w:pPr>
              <w:spacing w:before="34" w:after="28"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867"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4" w:after="2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4" w:after="2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1876"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4" w:after="2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12.4</w:t>
            </w:r>
          </w:p>
        </w:tc>
      </w:tr>
    </w:tbl>
    <w:p>
      <w:pPr>
        <w:spacing w:before="7" w:after="513" w:line="180" w:lineRule="exact"/>
        <w:ind w:right="0" w:left="288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*County Health Rankings, USDA, **Feeding America: Map the Meal</w:t>
      </w:r>
    </w:p>
    <w:p>
      <w:pPr>
        <w:spacing w:before="0" w:after="55" w:line="240" w:lineRule="auto"/>
        <w:ind w:right="0" w:left="0"/>
        <w:jc w:val="left"/>
        <w:textAlignment w:val="baseline"/>
      </w:pPr>
      <w:r>
        <w:drawing>
          <wp:inline>
            <wp:extent cx="7772400" cy="2550795"/>
            <wp:docPr name="Picture" id="46"/>
            <a:graphic>
              <a:graphicData uri="http://schemas.openxmlformats.org/drawingml/2006/picture">
                <pic:pic>
                  <pic:nvPicPr>
                    <pic:cNvPr id="46" name="Picture"/>
                    <pic:cNvPicPr preferRelativeResize="false"/>
                  </pic:nvPicPr>
                  <pic:blipFill>
                    <a:blip r:embed="prId46"/>
                    <a:stretch>
                      <a:fillRect/>
                    </a:stretch>
                  </pic:blipFill>
                  <pic:spPr>
                    <a:xfrm>
                      <a:off x="0" y="0"/>
                      <a:ext cx="7772400" cy="2550795"/>
                    </a:xfrm>
                    <a:prstGeom prst="rect"/>
                  </pic:spPr>
                </pic:pic>
              </a:graphicData>
            </a:graphic>
          </wp:inline>
        </w:drawing>
      </w:r>
    </w:p>
    <w:p>
      <w:pPr>
        <w:spacing w:before="20" w:after="662" w:line="180" w:lineRule="exact"/>
        <w:ind w:right="0" w:left="21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Seneca Harbor, Courtesy Seneca County</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41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tabs>
          <w:tab w:val="left" w:leader="none" w:pos="7704"/>
        </w:tabs>
        <w:spacing w:before="221" w:after="0" w:line="234" w:lineRule="exact"/>
        <w:ind w:right="0" w:left="1440" w:firstLine="0"/>
        <w:jc w:val="left"/>
        <w:textAlignment w:val="baseline"/>
        <w:rPr>
          <w:rFonts w:ascii="Calibri" w:hAnsi="Calibri" w:eastAsia="Calibri"/>
          <w:b w:val="true"/>
          <w:color w:val="000000"/>
          <w:spacing w:val="2"/>
          <w:w w:val="100"/>
          <w:sz w:val="22"/>
          <w:vertAlign w:val="baseline"/>
          <w:lang w:val="en-US"/>
        </w:rPr>
      </w:pPr>
      <w:r>
        <w:pict>
          <v:shapetype id="_x0000_t155" coordsize="21600,21600" o:spt="202" path="m,l,21600r21600,l21600,xe">
            <v:stroke joinstyle="miter"/>
            <v:path gradientshapeok="t" o:connecttype="rect"/>
          </v:shapetype>
          <v:shape id="_x0000_s154" type="#_x0000_t155" filled="f" stroked="f" style="position:absolute;width:240.5pt;height:357.8pt;z-index:-1;margin-left:371.5pt;margin-top:82.55pt;mso-wrap-distance-left:0pt;mso-wrap-distance-right:0pt;mso-position-horizontal-relative:page;mso-position-vertical-relative:page">
            <w10:wrap type="square"/>
            <v:fill opacity="1" o:opacity2="1" recolor="f" rotate="f" type="solid"/>
            <v:textbox inset="0pt, 0pt, 0pt, 0pt">
              <w:txbxContent>
                <w:p>
                  <w:pPr>
                    <w:spacing w:before="77" w:after="0" w:line="240" w:lineRule="auto"/>
                    <w:ind w:right="379" w:left="202"/>
                    <w:jc w:val="left"/>
                    <w:textAlignment w:val="baseline"/>
                  </w:pPr>
                  <w:r>
                    <w:drawing>
                      <wp:inline>
                        <wp:extent cx="2685415" cy="4065905"/>
                        <wp:docPr name="Picture" id="47"/>
                        <a:graphic>
                          <a:graphicData uri="http://schemas.openxmlformats.org/drawingml/2006/picture">
                            <pic:pic>
                              <pic:nvPicPr>
                                <pic:cNvPr id="47" name="Picture"/>
                                <pic:cNvPicPr preferRelativeResize="false"/>
                              </pic:nvPicPr>
                              <pic:blipFill>
                                <a:blip r:embed="prId47"/>
                                <a:stretch>
                                  <a:fillRect/>
                                </a:stretch>
                              </pic:blipFill>
                              <pic:spPr>
                                <a:xfrm>
                                  <a:off x="0" y="0"/>
                                  <a:ext cx="2685415" cy="4065905"/>
                                </a:xfrm>
                                <a:prstGeom prst="rect"/>
                              </pic:spPr>
                            </pic:pic>
                          </a:graphicData>
                        </a:graphic>
                      </wp:inline>
                    </w:drawing>
                  </w:r>
                </w:p>
                <w:p>
                  <w:pPr>
                    <w:spacing w:before="0" w:after="173" w:line="240" w:lineRule="exact"/>
                    <w:ind w:right="504" w:left="216" w:firstLine="0"/>
                    <w:jc w:val="left"/>
                    <w:textAlignment w:val="baseline"/>
                    <w:rPr>
                      <w:rFonts w:ascii="Calibri" w:hAnsi="Calibri" w:eastAsia="Calibri"/>
                      <w:color w:val="000000"/>
                      <w:spacing w:val="0"/>
                      <w:w w:val="100"/>
                      <w:sz w:val="18"/>
                      <w:vertAlign w:val="baseline"/>
                      <w:lang w:val="en-US"/>
                    </w:rPr>
                  </w:pPr>
                  <w:r>
                    <w:rPr>
                      <w:rFonts w:ascii="Calibri" w:hAnsi="Calibri" w:eastAsia="Calibri"/>
                      <w:color w:val="000000"/>
                      <w:spacing w:val="0"/>
                      <w:w w:val="100"/>
                      <w:sz w:val="18"/>
                      <w:vertAlign w:val="baseline"/>
                      <w:lang w:val="en-US"/>
                    </w:rPr>
                    <w:t xml:space="preserve">Source: University of Wisconsin School of Medicine and Public Health. Area Deprivation Index.</w:t>
                  </w: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000000"/>
          <w:spacing w:val="2"/>
          <w:w w:val="100"/>
          <w:sz w:val="22"/>
          <w:vertAlign w:val="baseline"/>
          <w:lang w:val="en-US"/>
        </w:rPr>
        <w:t xml:space="preserve">Housing Stability and Affordability	</w:t>
      </w:r>
      <w:r>
        <w:rPr>
          <w:rFonts w:ascii="Calibri" w:hAnsi="Calibri" w:eastAsia="Calibri"/>
          <w:color w:val="000000"/>
          <w:spacing w:val="2"/>
          <w:w w:val="100"/>
          <w:sz w:val="19"/>
          <w:vertAlign w:val="baseline"/>
          <w:lang w:val="en-US"/>
        </w:rPr>
        <w:t xml:space="preserve">Map 10: Area Deprivation Index by Area</w:t>
      </w:r>
    </w:p>
    <w:p>
      <w:pPr>
        <w:spacing w:before="157" w:after="0" w:line="271" w:lineRule="exact"/>
        <w:ind w:right="0" w:left="1440" w:firstLine="0"/>
        <w:jc w:val="left"/>
        <w:textAlignment w:val="baseline"/>
        <w:rPr>
          <w:rFonts w:ascii="Calibri" w:hAnsi="Calibri" w:eastAsia="Calibri"/>
          <w:color w:val="0E2841"/>
          <w:spacing w:val="-1"/>
          <w:w w:val="100"/>
          <w:sz w:val="22"/>
          <w:vertAlign w:val="baseline"/>
          <w:lang w:val="en-US"/>
        </w:rPr>
      </w:pPr>
      <w:r>
        <w:rPr>
          <w:rFonts w:ascii="Calibri" w:hAnsi="Calibri" w:eastAsia="Calibri"/>
          <w:color w:val="0E2841"/>
          <w:spacing w:val="-1"/>
          <w:w w:val="100"/>
          <w:sz w:val="22"/>
          <w:vertAlign w:val="baseline"/>
          <w:lang w:val="en-US"/>
        </w:rPr>
        <w:t xml:space="preserve">Poor housing conditions are closely linked to health risks, influencing everything from chronic disease rates to mental well</w:t>
        <w:softHyphen/>
      </w:r>
      <w:r>
        <w:rPr>
          <w:rFonts w:ascii="Calibri" w:hAnsi="Calibri" w:eastAsia="Calibri"/>
          <w:color w:val="0E2841"/>
          <w:spacing w:val="-1"/>
          <w:w w:val="100"/>
          <w:sz w:val="22"/>
          <w:vertAlign w:val="baseline"/>
          <w:lang w:val="en-US"/>
        </w:rPr>
        <w:t xml:space="preserve">being. Access to safe, stable, and affordable housing remains a top priority for residents across the region. A high housing cost burden -when households spend a large share of their income on housing - can signal financial strain and potential housing instability, which in turn may affect health outcomes and access to other basic needs.</w:t>
      </w:r>
    </w:p>
    <w:p>
      <w:pPr>
        <w:spacing w:before="175" w:after="0" w:line="271" w:lineRule="exact"/>
        <w:ind w:right="0" w:left="1440" w:firstLine="0"/>
        <w:jc w:val="left"/>
        <w:textAlignment w:val="baseline"/>
        <w:rPr>
          <w:rFonts w:ascii="Calibri" w:hAnsi="Calibri" w:eastAsia="Calibri"/>
          <w:color w:val="0E2841"/>
          <w:spacing w:val="1"/>
          <w:w w:val="100"/>
          <w:sz w:val="22"/>
          <w:vertAlign w:val="baseline"/>
          <w:lang w:val="en-US"/>
        </w:rPr>
      </w:pPr>
      <w:r>
        <w:rPr>
          <w:rFonts w:ascii="Calibri" w:hAnsi="Calibri" w:eastAsia="Calibri"/>
          <w:color w:val="0E2841"/>
          <w:spacing w:val="1"/>
          <w:w w:val="100"/>
          <w:sz w:val="22"/>
          <w:vertAlign w:val="baseline"/>
          <w:lang w:val="en-US"/>
        </w:rPr>
        <w:t xml:space="preserve">The Area Deprivation Index (ADI) provides additional context by measuring the level of socioeconomic disadvantage in a community based on factors such as income, education, employment, and housing quality. Higher ADI scores indicate greater disadvantages, which can often be associated with poorer housing conditions and elevated health risks. Map 10 notes the ADI by zip code in the Finger Lakes. The ADI is measured from 1 (blue - least deprived) to 10 (red - most deprived). Most deprived areas of the region also coincide with higher poverty rates as can be seen in Maps 6-8.</w:t>
      </w:r>
    </w:p>
    <w:p>
      <w:pPr>
        <w:spacing w:before="186" w:after="0" w:line="267" w:lineRule="exact"/>
        <w:ind w:right="0" w:left="1440" w:firstLine="0"/>
        <w:jc w:val="left"/>
        <w:textAlignment w:val="baseline"/>
        <w:rPr>
          <w:rFonts w:ascii="Calibri" w:hAnsi="Calibri" w:eastAsia="Calibri"/>
          <w:color w:val="0E2841"/>
          <w:spacing w:val="0"/>
          <w:w w:val="100"/>
          <w:sz w:val="22"/>
          <w:vertAlign w:val="baseline"/>
          <w:lang w:val="en-US"/>
        </w:rPr>
      </w:pPr>
      <w:r>
        <w:rPr>
          <w:rFonts w:ascii="Calibri" w:hAnsi="Calibri" w:eastAsia="Calibri"/>
          <w:color w:val="0E2841"/>
          <w:spacing w:val="0"/>
          <w:w w:val="100"/>
          <w:sz w:val="22"/>
          <w:vertAlign w:val="baseline"/>
          <w:lang w:val="en-US"/>
        </w:rPr>
        <w:t xml:space="preserve">Table 11 compares both the housing cost burden and the Area Deprivation Index (ADI) across the counties of the Finger Lakes region, with New York State averages. The data suggest that, while housing cost burdens in most Finger Lakes counties fall below the state average of 19 percent, ADI scores are higher across all counties, indicating that many areas experience greater socioeconomic disadvantage than the state overall. This contrast</w:t>
      </w:r>
    </w:p>
    <w:p>
      <w:pPr>
        <w:tabs>
          <w:tab w:val="left" w:leader="none" w:pos="8856"/>
          <w:tab w:val="left" w:leader="none" w:pos="9432"/>
        </w:tabs>
        <w:spacing w:before="0" w:after="0" w:line="110" w:lineRule="exact"/>
        <w:ind w:right="0" w:left="7776" w:firstLine="0"/>
        <w:jc w:val="left"/>
        <w:textAlignment w:val="baseline"/>
        <w:rPr>
          <w:rFonts w:ascii="Calibri" w:hAnsi="Calibri" w:eastAsia="Calibri"/>
          <w:color w:val="0E2841"/>
          <w:spacing w:val="-195"/>
          <w:w w:val="100"/>
          <w:sz w:val="18"/>
          <w:vertAlign w:val="baseline"/>
          <w:lang w:val="en-US"/>
        </w:rPr>
      </w:pPr>
      <w:r>
        <w:rPr>
          <w:rFonts w:ascii="Calibri" w:hAnsi="Calibri" w:eastAsia="Calibri"/>
          <w:color w:val="0E2841"/>
          <w:spacing w:val="-195"/>
          <w:w w:val="100"/>
          <w:sz w:val="18"/>
          <w:vertAlign w:val="baseline"/>
          <w:lang w:val="en-US"/>
        </w:rPr>
        <w:t xml:space="preserve">ftps</w:t>
      </w:r>
      <w:r>
        <w:rPr>
          <w:rFonts w:ascii="Calibri" w:hAnsi="Calibri" w:eastAsia="Calibri"/>
          <w:color w:val="0E2841"/>
          <w:spacing w:val="-195"/>
          <w:w w:val="100"/>
          <w:sz w:val="18"/>
          <w:vertAlign w:val="subscript"/>
          <w:lang w:val="en-US"/>
        </w:rPr>
        <w:t xml:space="preserve">/</w:t>
      </w:r>
      <w:r>
        <w:rPr>
          <w:rFonts w:ascii="Calibri" w:hAnsi="Calibri" w:eastAsia="Calibri"/>
          <w:color w:val="0E2841"/>
          <w:spacing w:val="-195"/>
          <w:w w:val="100"/>
          <w:sz w:val="18"/>
          <w:vertAlign w:val="baseline"/>
          <w:lang w:val="en-US"/>
        </w:rPr>
        <w:t xml:space="preserve">w	</w:t>
      </w:r>
      <w:r>
        <w:rPr>
          <w:rFonts w:ascii="Calibri" w:hAnsi="Calibri" w:eastAsia="Calibri"/>
          <w:color w:val="0E2841"/>
          <w:spacing w:val="-195"/>
          <w:w w:val="100"/>
          <w:sz w:val="18"/>
          <w:vertAlign w:val="subscript"/>
          <w:lang w:val="en-US"/>
        </w:rPr>
        <w:t xml:space="preserve">g</w:t>
      </w:r>
      <w:r>
        <w:rPr>
          <w:rFonts w:ascii="Calibri" w:hAnsi="Calibri" w:eastAsia="Calibri"/>
          <w:color w:val="0E2841"/>
          <w:spacing w:val="-195"/>
          <w:w w:val="100"/>
          <w:sz w:val="18"/>
          <w:vertAlign w:val="baseline"/>
          <w:lang w:val="en-US"/>
        </w:rPr>
        <w:tab/>
      </w:r>
      <w:r>
        <w:rPr>
          <w:rFonts w:ascii="Calibri" w:hAnsi="Calibri" w:eastAsia="Calibri"/>
          <w:color w:val="0E2841"/>
          <w:spacing w:val="-195"/>
          <w:w w:val="100"/>
          <w:sz w:val="18"/>
          <w:vertAlign w:val="baseline"/>
          <w:lang w:val="en-US"/>
        </w:rPr>
        <w:t xml:space="preserve">oo</w:t>
      </w:r>
    </w:p>
    <w:p>
      <w:pPr>
        <w:spacing w:before="0" w:after="0" w:line="224" w:lineRule="exact"/>
        <w:ind w:right="1944" w:left="1440" w:firstLine="0"/>
        <w:jc w:val="left"/>
        <w:textAlignment w:val="baseline"/>
        <w:rPr>
          <w:rFonts w:ascii="Calibri" w:hAnsi="Calibri" w:eastAsia="Calibri"/>
          <w:color w:val="0E2841"/>
          <w:spacing w:val="0"/>
          <w:w w:val="100"/>
          <w:sz w:val="22"/>
          <w:vertAlign w:val="baseline"/>
          <w:lang w:val="en-US"/>
        </w:rPr>
      </w:pPr>
      <w:r>
        <w:rPr>
          <w:rFonts w:ascii="Calibri" w:hAnsi="Calibri" w:eastAsia="Calibri"/>
          <w:color w:val="0E2841"/>
          <w:spacing w:val="0"/>
          <w:w w:val="100"/>
          <w:sz w:val="22"/>
          <w:vertAlign w:val="baseline"/>
          <w:lang w:val="en-US"/>
        </w:rPr>
        <w:t xml:space="preserve">underscores the complex relationship between housing affordability, neighborhood conditions, and community health.</w:t>
      </w:r>
    </w:p>
    <w:p>
      <w:pPr>
        <w:spacing w:before="247" w:after="46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11 Housing Cost Burden and Area Deprivation Index in the Finger Lakes Region</w:t>
      </w:r>
    </w:p>
    <w:tbl>
      <w:tblPr>
        <w:jc w:val="left"/>
        <w:tblInd w:w="1440" w:type="dxa"/>
        <w:tblLayout w:type="fixed"/>
        <w:tblCellMar>
          <w:left w:w="0" w:type="dxa"/>
          <w:right w:w="0" w:type="dxa"/>
        </w:tblCellMar>
      </w:tblPr>
      <w:tblGrid>
        <w:gridCol w:w="1978"/>
        <w:gridCol w:w="1756"/>
        <w:gridCol w:w="1647"/>
        <w:gridCol w:w="2323"/>
        <w:gridCol w:w="1656"/>
      </w:tblGrid>
      <w:tr>
        <w:trPr>
          <w:trHeight w:val="989" w:hRule="exact"/>
        </w:trPr>
        <w:tc>
          <w:tcPr>
            <w:tcW w:w="1978"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753" w:line="197" w:lineRule="exact"/>
              <w:ind w:right="687" w:left="0" w:firstLine="0"/>
              <w:jc w:val="right"/>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County</w:t>
            </w:r>
          </w:p>
        </w:tc>
        <w:tc>
          <w:tcPr>
            <w:tcW w:w="175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0" w:line="19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Housing Cost</w:t>
            </w:r>
          </w:p>
          <w:p>
            <w:pPr>
              <w:spacing w:before="48" w:after="0" w:line="19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Burden</w:t>
            </w:r>
          </w:p>
          <w:p>
            <w:pPr>
              <w:spacing w:before="15" w:after="19" w:line="23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(2023)</w:t>
              <w:br/>
            </w:r>
            <w:r>
              <w:rPr>
                <w:rFonts w:ascii="Calibri" w:hAnsi="Calibri" w:eastAsia="Calibri"/>
                <w:b w:val="true"/>
                <w:color w:val="FFFFFF"/>
                <w:spacing w:val="0"/>
                <w:w w:val="100"/>
                <w:sz w:val="19"/>
                <w:vertAlign w:val="baseline"/>
                <w:lang w:val="en-US"/>
              </w:rPr>
              <w:t xml:space="preserve">(NYS: 19%)</w:t>
            </w:r>
            <w:r>
              <w:rPr>
                <w:rFonts w:ascii="Calibri" w:hAnsi="Calibri" w:eastAsia="Calibri"/>
                <w:b w:val="true"/>
                <w:color w:val="FFFFFF"/>
                <w:spacing w:val="0"/>
                <w:w w:val="100"/>
                <w:sz w:val="19"/>
                <w:vertAlign w:val="superscript"/>
                <w:lang w:val="en-US"/>
              </w:rPr>
              <w:t xml:space="preserve">*</w:t>
            </w:r>
            <w:r>
              <w:rPr>
                <w:rFonts w:ascii="Calibri" w:hAnsi="Calibri" w:eastAsia="Calibri"/>
                <w:b w:val="true"/>
                <w:color w:val="FFFFFF"/>
                <w:spacing w:val="0"/>
                <w:w w:val="100"/>
                <w:sz w:val="13"/>
                <w:vertAlign w:val="baseline"/>
                <w:lang w:val="en-US"/>
              </w:rPr>
              <w:t xml:space="preserve">
</w:t>
            </w:r>
          </w:p>
        </w:tc>
        <w:tc>
          <w:tcPr>
            <w:tcW w:w="1647"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0" w:line="19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 Change from</w:t>
            </w:r>
          </w:p>
          <w:p>
            <w:pPr>
              <w:spacing w:before="33" w:after="522" w:line="198"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2015</w:t>
            </w:r>
            <w:r>
              <w:rPr>
                <w:rFonts w:ascii="Calibri" w:hAnsi="Calibri" w:eastAsia="Calibri"/>
                <w:b w:val="true"/>
                <w:color w:val="FFFFFF"/>
                <w:spacing w:val="0"/>
                <w:w w:val="100"/>
                <w:sz w:val="19"/>
                <w:vertAlign w:val="superscript"/>
                <w:lang w:val="en-US"/>
              </w:rPr>
              <w:t xml:space="preserve">*</w:t>
            </w:r>
            <w:r>
              <w:rPr>
                <w:rFonts w:ascii="Calibri" w:hAnsi="Calibri" w:eastAsia="Calibri"/>
                <w:b w:val="true"/>
                <w:color w:val="FFFFFF"/>
                <w:spacing w:val="0"/>
                <w:w w:val="100"/>
                <w:sz w:val="13"/>
                <w:vertAlign w:val="baseline"/>
                <w:lang w:val="en-US"/>
              </w:rPr>
              <w:t xml:space="preserve">
</w:t>
            </w:r>
          </w:p>
        </w:tc>
        <w:tc>
          <w:tcPr>
            <w:tcW w:w="2323"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0" w:after="19" w:line="240"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Area Deprivation Index</w:t>
              <w:br/>
            </w:r>
            <w:r>
              <w:rPr>
                <w:rFonts w:ascii="Calibri" w:hAnsi="Calibri" w:eastAsia="Calibri"/>
                <w:b w:val="true"/>
                <w:color w:val="FFFFFF"/>
                <w:spacing w:val="0"/>
                <w:w w:val="100"/>
                <w:sz w:val="19"/>
                <w:vertAlign w:val="baseline"/>
                <w:lang w:val="en-US"/>
              </w:rPr>
              <w:t xml:space="preserve">(ADI)</w:t>
              <w:br/>
            </w:r>
            <w:r>
              <w:rPr>
                <w:rFonts w:ascii="Calibri" w:hAnsi="Calibri" w:eastAsia="Calibri"/>
                <w:b w:val="true"/>
                <w:color w:val="FFFFFF"/>
                <w:spacing w:val="0"/>
                <w:w w:val="100"/>
                <w:sz w:val="19"/>
                <w:vertAlign w:val="baseline"/>
                <w:lang w:val="en-US"/>
              </w:rPr>
              <w:t xml:space="preserve">(2023)</w:t>
              <w:br/>
            </w:r>
            <w:r>
              <w:rPr>
                <w:rFonts w:ascii="Calibri" w:hAnsi="Calibri" w:eastAsia="Calibri"/>
                <w:b w:val="true"/>
                <w:color w:val="FFFFFF"/>
                <w:spacing w:val="0"/>
                <w:w w:val="100"/>
                <w:sz w:val="19"/>
                <w:vertAlign w:val="baseline"/>
                <w:lang w:val="en-US"/>
              </w:rPr>
              <w:t xml:space="preserve">(NYS: 5.5)</w:t>
            </w:r>
            <w:r>
              <w:rPr>
                <w:rFonts w:ascii="Calibri" w:hAnsi="Calibri" w:eastAsia="Calibri"/>
                <w:b w:val="true"/>
                <w:color w:val="FFFFFF"/>
                <w:spacing w:val="0"/>
                <w:w w:val="100"/>
                <w:sz w:val="19"/>
                <w:vertAlign w:val="superscript"/>
                <w:lang w:val="en-US"/>
              </w:rPr>
              <w:t xml:space="preserve">**</w:t>
            </w:r>
            <w:r>
              <w:rPr>
                <w:rFonts w:ascii="Calibri" w:hAnsi="Calibri" w:eastAsia="Calibri"/>
                <w:b w:val="true"/>
                <w:color w:val="FFFFFF"/>
                <w:spacing w:val="0"/>
                <w:w w:val="100"/>
                <w:sz w:val="13"/>
                <w:vertAlign w:val="baseline"/>
                <w:lang w:val="en-US"/>
              </w:rPr>
              <w:t xml:space="preserve">
</w:t>
            </w:r>
          </w:p>
        </w:tc>
        <w:tc>
          <w:tcPr>
            <w:tcW w:w="1656" w:type="dxa"/>
            <w:tcBorders>
              <w:top w:val="single" w:sz="5" w:color="000000"/>
              <w:left w:val="single" w:sz="5" w:color="000000"/>
              <w:bottom w:val="single" w:sz="5" w:color="000000"/>
              <w:right w:val="single" w:sz="5" w:color="000000"/>
            </w:tcBorders>
            <w:shd w:val="clear" w:color="0E2841" w:fill="0E2841"/>
            <w:textDirection w:val="lrTb"/>
            <w:vAlign w:val="top"/>
          </w:tcPr>
          <w:p>
            <w:pPr>
              <w:spacing w:before="38" w:after="0" w:line="19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 Change from</w:t>
            </w:r>
          </w:p>
          <w:p>
            <w:pPr>
              <w:spacing w:before="24" w:after="531" w:line="198"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2019</w:t>
            </w:r>
            <w:r>
              <w:rPr>
                <w:rFonts w:ascii="Calibri" w:hAnsi="Calibri" w:eastAsia="Calibri"/>
                <w:b w:val="true"/>
                <w:color w:val="FFFFFF"/>
                <w:spacing w:val="0"/>
                <w:w w:val="100"/>
                <w:sz w:val="19"/>
                <w:vertAlign w:val="superscript"/>
                <w:lang w:val="en-US"/>
              </w:rPr>
              <w:t xml:space="preserve">**</w:t>
            </w:r>
            <w:r>
              <w:rPr>
                <w:rFonts w:ascii="Calibri" w:hAnsi="Calibri" w:eastAsia="Calibri"/>
                <w:b w:val="true"/>
                <w:color w:val="FFFFFF"/>
                <w:spacing w:val="0"/>
                <w:w w:val="100"/>
                <w:sz w:val="13"/>
                <w:vertAlign w:val="baseline"/>
                <w:lang w:val="en-US"/>
              </w:rPr>
              <w:t xml:space="preserve">
</w:t>
            </w:r>
          </w:p>
        </w:tc>
      </w:tr>
      <w:tr>
        <w:trPr>
          <w:trHeight w:val="278"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19"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279"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14"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-23</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r>
      <w:tr>
        <w:trPr>
          <w:trHeight w:val="278"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2" w:after="25"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2"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2"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2"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r>
        <w:trPr>
          <w:trHeight w:val="278"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19"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8.9</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r>
      <w:tr>
        <w:trPr>
          <w:trHeight w:val="279"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16"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16"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16"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16"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r>
      <w:tr>
        <w:trPr>
          <w:trHeight w:val="278"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25"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9.4</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r>
        <w:trPr>
          <w:trHeight w:val="279"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3" w:after="19"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9.0</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r>
      <w:tr>
        <w:trPr>
          <w:trHeight w:val="287" w:hRule="exact"/>
        </w:trPr>
        <w:tc>
          <w:tcPr>
            <w:tcW w:w="1978" w:type="dxa"/>
            <w:tcBorders>
              <w:top w:val="single" w:sz="5" w:color="000000"/>
              <w:left w:val="single" w:sz="5" w:color="000000"/>
              <w:bottom w:val="single" w:sz="5" w:color="000000"/>
              <w:right w:val="single" w:sz="5" w:color="000000"/>
            </w:tcBorders>
            <w:shd w:val="clear" w:color="DAE9F7" w:fill="DAE9F7"/>
            <w:textDirection w:val="lrTb"/>
            <w:vAlign w:val="center"/>
          </w:tcPr>
          <w:p>
            <w:pPr>
              <w:spacing w:before="32" w:after="30"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756" w:type="dxa"/>
            <w:tcBorders>
              <w:top w:val="single" w:sz="5" w:color="000000"/>
              <w:left w:val="single" w:sz="5" w:color="000000"/>
              <w:bottom w:val="single" w:sz="5" w:color="000000"/>
              <w:right w:val="single" w:sz="5" w:color="000000"/>
            </w:tcBorders>
            <w:textDirection w:val="lrTb"/>
            <w:vAlign w:val="center"/>
          </w:tcPr>
          <w:p>
            <w:pPr>
              <w:spacing w:before="3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w:t>
            </w:r>
          </w:p>
        </w:tc>
        <w:tc>
          <w:tcPr>
            <w:tcW w:w="1647" w:type="dxa"/>
            <w:tcBorders>
              <w:top w:val="single" w:sz="5" w:color="000000"/>
              <w:left w:val="single" w:sz="5" w:color="000000"/>
              <w:bottom w:val="single" w:sz="5" w:color="000000"/>
              <w:right w:val="single" w:sz="5" w:color="000000"/>
            </w:tcBorders>
            <w:textDirection w:val="lrTb"/>
            <w:vAlign w:val="center"/>
          </w:tcPr>
          <w:p>
            <w:pPr>
              <w:spacing w:before="3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w:t>
            </w:r>
          </w:p>
        </w:tc>
        <w:tc>
          <w:tcPr>
            <w:tcW w:w="2323" w:type="dxa"/>
            <w:tcBorders>
              <w:top w:val="single" w:sz="5" w:color="000000"/>
              <w:left w:val="single" w:sz="5" w:color="000000"/>
              <w:bottom w:val="single" w:sz="5" w:color="000000"/>
              <w:right w:val="single" w:sz="5" w:color="000000"/>
            </w:tcBorders>
            <w:textDirection w:val="lrTb"/>
            <w:vAlign w:val="center"/>
          </w:tcPr>
          <w:p>
            <w:pPr>
              <w:tabs>
                <w:tab w:val="decimal" w:leader="none" w:pos="1152"/>
              </w:tabs>
              <w:spacing w:before="32"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8.5</w:t>
            </w:r>
          </w:p>
        </w:tc>
        <w:tc>
          <w:tcPr>
            <w:tcW w:w="1656" w:type="dxa"/>
            <w:tcBorders>
              <w:top w:val="single" w:sz="5" w:color="000000"/>
              <w:left w:val="single" w:sz="5" w:color="000000"/>
              <w:bottom w:val="single" w:sz="5" w:color="000000"/>
              <w:right w:val="single" w:sz="5" w:color="000000"/>
            </w:tcBorders>
            <w:textDirection w:val="lrTb"/>
            <w:vAlign w:val="center"/>
          </w:tcPr>
          <w:p>
            <w:pPr>
              <w:spacing w:before="3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bl>
    <w:p>
      <w:pPr>
        <w:spacing w:before="10" w:after="0" w:line="220" w:lineRule="exact"/>
        <w:ind w:right="0" w:left="1440" w:firstLine="0"/>
        <w:jc w:val="left"/>
        <w:textAlignment w:val="baseline"/>
        <w:rPr>
          <w:rFonts w:ascii="Calibri" w:hAnsi="Calibri" w:eastAsia="Calibri"/>
          <w:color w:val="0E2841"/>
          <w:spacing w:val="0"/>
          <w:w w:val="100"/>
          <w:sz w:val="22"/>
          <w:vertAlign w:val="baseline"/>
          <w:lang w:val="en-US"/>
        </w:rPr>
      </w:pPr>
      <w:r>
        <w:rPr>
          <w:rFonts w:ascii="Calibri" w:hAnsi="Calibri" w:eastAsia="Calibri"/>
          <w:color w:val="0E2841"/>
          <w:spacing w:val="0"/>
          <w:w w:val="100"/>
          <w:sz w:val="22"/>
          <w:vertAlign w:val="baseline"/>
          <w:lang w:val="en-US"/>
        </w:rPr>
        <w:t xml:space="preserve">S</w:t>
      </w:r>
      <w:r>
        <w:rPr>
          <w:rFonts w:ascii="Calibri" w:hAnsi="Calibri" w:eastAsia="Calibri"/>
          <w:color w:val="0E2841"/>
          <w:spacing w:val="0"/>
          <w:w w:val="100"/>
          <w:sz w:val="18"/>
          <w:vertAlign w:val="baseline"/>
          <w:lang w:val="en-US"/>
        </w:rPr>
        <w:t xml:space="preserve">ource: *Housing Cost Burden: American Community Survey (2015-2023)</w:t>
      </w:r>
    </w:p>
    <w:p>
      <w:pPr>
        <w:spacing w:before="66" w:after="0"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**ADI: Kind AJH, Buckingham W.</w:t>
      </w:r>
      <w:hyperlink r:id="dhId20">
        <w:r>
          <w:rPr>
            <w:rFonts w:ascii="Calibri" w:hAnsi="Calibri" w:eastAsia="Calibri"/>
            <w:color w:val="0000FF"/>
            <w:spacing w:val="0"/>
            <w:w w:val="100"/>
            <w:sz w:val="18"/>
            <w:u w:val="single"/>
            <w:vertAlign w:val="baseline"/>
            <w:lang w:val="en-US"/>
          </w:rPr>
          <w:t xml:space="preserve"> Making Neighborhood Disadvantage Metrics Accessible: The Neighborhood Atlas</w:t>
        </w:r>
      </w:hyperlink>
      <w:hyperlink r:id="dhId20">
        <w:r>
          <w:rPr>
            <w:rFonts w:ascii="Calibri" w:hAnsi="Calibri" w:eastAsia="Calibri"/>
            <w:color w:val="0000FF"/>
            <w:spacing w:val="0"/>
            <w:w w:val="100"/>
            <w:sz w:val="18"/>
            <w:u w:val="single"/>
            <w:vertAlign w:val="baseline"/>
            <w:lang w:val="en-US"/>
          </w:rPr>
          <w:t xml:space="preserve">.</w:t>
        </w:r>
      </w:hyperlink>
      <w:r>
        <w:rPr>
          <w:rFonts w:ascii="Calibri" w:hAnsi="Calibri" w:eastAsia="Calibri"/>
          <w:color w:val="0E2841"/>
          <w:spacing w:val="0"/>
          <w:w w:val="100"/>
          <w:sz w:val="18"/>
          <w:vertAlign w:val="baseline"/>
          <w:lang w:val="en-US"/>
        </w:rPr>
        <w:t xml:space="preserve"> New</w:t>
      </w:r>
    </w:p>
    <w:p>
      <w:pPr>
        <w:spacing w:before="55" w:after="221" w:line="180" w:lineRule="exact"/>
        <w:ind w:right="0" w:left="1440" w:firstLine="0"/>
        <w:jc w:val="left"/>
        <w:textAlignment w:val="baseline"/>
        <w:rPr>
          <w:rFonts w:ascii="Calibri" w:hAnsi="Calibri" w:eastAsia="Calibri"/>
          <w:color w:val="0E2841"/>
          <w:spacing w:val="0"/>
          <w:w w:val="100"/>
          <w:sz w:val="18"/>
          <w:vertAlign w:val="baseline"/>
          <w:lang w:val="en-US"/>
        </w:rPr>
      </w:pPr>
      <w:r>
        <w:rPr>
          <w:rFonts w:ascii="Calibri" w:hAnsi="Calibri" w:eastAsia="Calibri"/>
          <w:color w:val="0E2841"/>
          <w:spacing w:val="0"/>
          <w:w w:val="100"/>
          <w:sz w:val="18"/>
          <w:vertAlign w:val="baseline"/>
          <w:lang w:val="en-US"/>
        </w:rPr>
        <w:t xml:space="preserve">England Journal of Medicine, 2018. 378: 2456-2458. DOI: 10.1056/NEJMp1802313. PMCID: PMC6051533. (2019-2023)</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42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35" w:after="0" w:line="287" w:lineRule="exact"/>
        <w:ind w:right="0" w:left="1440" w:firstLine="0"/>
        <w:jc w:val="left"/>
        <w:textAlignment w:val="baseline"/>
        <w:rPr>
          <w:rFonts w:ascii="Calibri" w:hAnsi="Calibri" w:eastAsia="Calibri"/>
          <w:b w:val="true"/>
          <w:color w:val="000000"/>
          <w:spacing w:val="0"/>
          <w:w w:val="100"/>
          <w:sz w:val="28"/>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000000"/>
          <w:spacing w:val="0"/>
          <w:w w:val="100"/>
          <w:sz w:val="28"/>
          <w:vertAlign w:val="baseline"/>
          <w:lang w:val="en-US"/>
        </w:rPr>
        <w:t xml:space="preserve">Social and Community Context</w:t>
      </w:r>
    </w:p>
    <w:p>
      <w:pPr>
        <w:tabs>
          <w:tab w:val="left" w:leader="none" w:pos="4320"/>
        </w:tabs>
        <w:spacing w:before="268" w:after="5" w:line="341"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Anxiety and Stress	</w:t>
      </w:r>
      <w:r>
        <w:rPr>
          <w:rFonts w:ascii="Calibri" w:hAnsi="Calibri" w:eastAsia="Calibri"/>
          <w:i w:val="true"/>
          <w:color w:val="0E2841"/>
          <w:spacing w:val="0"/>
          <w:w w:val="100"/>
          <w:sz w:val="18"/>
          <w:vertAlign w:val="baseline"/>
          <w:lang w:val="en-US"/>
        </w:rPr>
        <w:t xml:space="preserve">Map 11: Frequent Mental Distress Among Adults (Mental Health Not Good for 14+ of past 30 days)</w:t>
      </w:r>
    </w:p>
    <w:p>
      <w:pPr>
        <w:spacing w:before="14" w:after="0" w:line="289" w:lineRule="exact"/>
        <w:ind w:right="0" w:left="1440" w:firstLine="0"/>
        <w:jc w:val="left"/>
        <w:textAlignment w:val="baseline"/>
        <w:rPr>
          <w:rFonts w:ascii="Calibri" w:hAnsi="Calibri" w:eastAsia="Calibri"/>
          <w:color w:val="000000"/>
          <w:spacing w:val="-1"/>
          <w:w w:val="100"/>
          <w:sz w:val="22"/>
          <w:vertAlign w:val="baseline"/>
          <w:lang w:val="en-US"/>
        </w:rPr>
      </w:pPr>
      <w:r>
        <w:pict>
          <v:shapetype id="_x0000_t156" coordsize="21600,21600" o:spt="202" path="m,l,21600r21600,l21600,xe">
            <v:stroke joinstyle="miter"/>
            <v:path gradientshapeok="t" o:connecttype="rect"/>
          </v:shapetype>
          <v:shape id="_x0000_s155" type="#_x0000_t156" filled="f" stroked="f" style="position:absolute;width:411.35pt;height:280.1pt;z-index:-1;margin-left:200.65pt;margin-top:118.8pt;mso-wrap-distance-left:0pt;mso-wrap-distance-right:0pt;mso-position-horizontal-relative:page;mso-position-vertical-relative:page">
            <w10:wrap type="square" side="both"/>
            <v:fill opacity="1" o:opacity2="1" recolor="f" rotate="f" type="solid"/>
            <v:textbox inset="0pt, 0pt, 0pt, 0pt">
              <w:txbxContent>
                <w:p>
                  <w:pPr>
                    <w:spacing w:before="77" w:after="346" w:line="240" w:lineRule="auto"/>
                    <w:ind w:right="216" w:left="245"/>
                    <w:jc w:val="left"/>
                    <w:textAlignment w:val="baseline"/>
                  </w:pPr>
                  <w:r>
                    <w:drawing>
                      <wp:inline>
                        <wp:extent cx="4931410" cy="3288665"/>
                        <wp:docPr name="Picture" id="48"/>
                        <a:graphic>
                          <a:graphicData uri="http://schemas.openxmlformats.org/drawingml/2006/picture">
                            <pic:pic>
                              <pic:nvPicPr>
                                <pic:cNvPr id="48" name="Picture"/>
                                <pic:cNvPicPr preferRelativeResize="false"/>
                              </pic:nvPicPr>
                              <pic:blipFill>
                                <a:blip r:embed="prId48"/>
                                <a:stretch>
                                  <a:fillRect/>
                                </a:stretch>
                              </pic:blipFill>
                              <pic:spPr>
                                <a:xfrm>
                                  <a:off x="0" y="0"/>
                                  <a:ext cx="4931410" cy="3288665"/>
                                </a:xfrm>
                                <a:prstGeom prst="rect"/>
                              </pic:spPr>
                            </pic:pic>
                          </a:graphicData>
                        </a:graphic>
                      </wp:inline>
                    </w:drawing>
                  </w:r>
                </w:p>
              </w:txbxContent>
            </v:textbox>
          </v:shape>
        </w:pict>
      </w:r>
      <w:r>
        <w:rPr>
          <w:rFonts w:ascii="Calibri" w:hAnsi="Calibri" w:eastAsia="Calibri"/>
          <w:color w:val="000000"/>
          <w:spacing w:val="-1"/>
          <w:w w:val="100"/>
          <w:sz w:val="22"/>
          <w:vertAlign w:val="baseline"/>
          <w:lang w:val="en-US"/>
        </w:rPr>
        <w:t xml:space="preserve">The rate of depressive disorders and the percentage of adults reporting 14 or more days of poor mental health in a month increased significantly across the counties of the Finger Lakes between 2018 and 2022. (Table 12). Map 11 highlights those reporting 14 or more days of poor mental health in the past 30 days by zip code in the Finger Lakes region. Because county estimates are based on survey samples, some of the larger percentage changes - especially in smaller counties - may reflect statistical variability and should be interpreted with caution rather than as exact</w:t>
      </w:r>
    </w:p>
    <w:p>
      <w:pPr>
        <w:spacing w:before="71" w:after="0" w:line="221" w:lineRule="exact"/>
        <w:ind w:right="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shifts in prevalence.</w:t>
      </w:r>
    </w:p>
    <w:p>
      <w:pPr>
        <w:spacing w:before="161" w:after="0" w:line="289" w:lineRule="exact"/>
        <w:ind w:right="180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map illustrates that frequent mental distress (14 or more days of poor mental health in the past month) is elevated in many ZIP codes across the region, reinforcing county-level survey data showing rising rates of depressive disorders and frequent poor mental health among adults.</w:t>
      </w:r>
    </w:p>
    <w:p>
      <w:pPr>
        <w:spacing w:before="163"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2021, all eight counties reported higher percentages of adults with a depressive disorder than in 2016, with increases ranging from about 5% to more than 75%. Similarly, the share of adults reporting 14 or more days of poor mental health in the past month was higher than in 2018 in every county, indicating a broad rise in mental distress.</w:t>
      </w:r>
    </w:p>
    <w:p>
      <w:pPr>
        <w:spacing w:before="230"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Many factors influence rates of anxiety and stress, including economic stability, chronic health</w:t>
      </w:r>
    </w:p>
    <w:p>
      <w:pPr>
        <w:spacing w:before="10" w:after="2491" w:line="283"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conditions, and adverse childhood experiences. Lack of access to mental health providers in rural areas is a factor that makes receiving treatment for anxiety and stress challenging.</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43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57" coordsize="21600,21600" o:spt="202" path="m,l,21600r21600,l21600,xe">
            <v:stroke joinstyle="miter"/>
            <v:path gradientshapeok="t" o:connecttype="rect"/>
          </v:shapetype>
          <v:shape id="_x0000_s156" type="#_x0000_t157" filled="f" stroked="f" style="position:absolute;width:356.4pt;height:228.15pt;z-index:-1;margin-left:247.2pt;margin-top:332.6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356.4pt;height:217.05pt;z-index:-1;margin-left:247.2pt;margin-top:332.65pt;mso-wrap-distance-left:0pt;mso-wrap-distance-right:0pt;mso-position-horizontal-relative:page;mso-position-vertical-relative:page">
            <w10:wrap type="square"/>
            <v:fill opacity="1" o:opacity2="1" recolor="f" rotate="f" type="solid"/>
            <v:textbox inset="0pt, 0pt, 0pt, 0pt">
              <w:txbxContent>
                <w:p>
                  <w:pPr>
                    <w:pBdr>
                      <w:top w:sz="5" w:space="0" w:color="D8D8D8" w:val="single"/>
                      <w:left w:sz="5" w:space="0" w:color="D8D8D8" w:val="single"/>
                      <w:bottom w:sz="5" w:space="0" w:color="D8D8D8" w:val="single"/>
                      <w:right w:sz="5" w:space="0" w:color="D8D8D8" w:val="single"/>
                    </w:pBdr>
                  </w:pPr>
                </w:p>
              </w:txbxContent>
            </v:textbox>
          </v:shape>
        </w:pict>
      </w:r>
      <w:r>
        <w:pict>
          <v:shapetype id="_x0000_t159" coordsize="21600,21600" o:spt="202" path="m,l,21600r21600,l21600,xe">
            <v:stroke joinstyle="miter"/>
            <v:path gradientshapeok="t" o:connecttype="rect"/>
          </v:shapetype>
          <v:shape id="_x0000_s158" type="#_x0000_t159"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160" coordsize="21600,21600" o:spt="202" path="m,l,21600r21600,l21600,xe">
            <v:stroke joinstyle="miter"/>
            <v:path gradientshapeok="t" o:connecttype="rect"/>
          </v:shapetype>
          <v:shape id="_x0000_s159" type="#_x0000_t160" filled="f" stroked="f" style="position:absolute;width:612pt;height:20.1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0" w:after="201" w:line="180" w:lineRule="exact"/>
                    <w:ind w:right="0" w:left="0" w:firstLine="0"/>
                    <w:jc w:val="center"/>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12: Rate of Depressive Disorders and Percentage of Adults Reporting 14 or more days of Poor Mental Health in a Month</w:t>
                  </w: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612pt;height:194.6pt;z-index:1;margin-left:0pt;margin-top:92.2pt;mso-wrap-distance-left:0pt;mso-wrap-distance-right:0pt;mso-position-horizontal-relative:page;mso-position-vertical-relative:page">
            <w10:wrap anchorx="page" anchory="page"/>
            <v:fill opacity="1" o:opacity2="1" recolor="f" rotate="f" type="solid"/>
            <v:textbox inset="0pt, 0pt, 0pt, 0pt">
              <w:txbxContent>
                <w:tbl>
                  <w:tblPr>
                    <w:jc w:val="left"/>
                    <w:tblInd w:w="1440" w:type="dxa"/>
                    <w:tblLayout w:type="fixed"/>
                    <w:tblCellMar>
                      <w:left w:w="0" w:type="dxa"/>
                      <w:right w:w="0" w:type="dxa"/>
                    </w:tblCellMar>
                  </w:tblPr>
                  <w:tblGrid>
                    <w:gridCol w:w="1872"/>
                    <w:gridCol w:w="1872"/>
                    <w:gridCol w:w="1867"/>
                    <w:gridCol w:w="1872"/>
                    <w:gridCol w:w="1877"/>
                  </w:tblGrid>
                  <w:tr>
                    <w:trPr>
                      <w:trHeight w:val="1627" w:hRule="exact"/>
                    </w:trPr>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4" w:after="1362" w:line="230" w:lineRule="exact"/>
                          <w:ind w:right="61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County</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7"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of Adults</w:t>
                          <w:br/>
                        </w:r>
                        <w:r>
                          <w:rPr>
                            <w:rFonts w:ascii="Calibri" w:hAnsi="Calibri" w:eastAsia="Calibri"/>
                            <w:b w:val="true"/>
                            <w:color w:val="FFFFFF"/>
                            <w:spacing w:val="0"/>
                            <w:w w:val="100"/>
                            <w:sz w:val="23"/>
                            <w:vertAlign w:val="baseline"/>
                            <w:lang w:val="en-US"/>
                          </w:rPr>
                          <w:t xml:space="preserve">Reporting a</w:t>
                          <w:br/>
                        </w:r>
                        <w:r>
                          <w:rPr>
                            <w:rFonts w:ascii="Calibri" w:hAnsi="Calibri" w:eastAsia="Calibri"/>
                            <w:b w:val="true"/>
                            <w:color w:val="FFFFFF"/>
                            <w:spacing w:val="0"/>
                            <w:w w:val="100"/>
                            <w:sz w:val="23"/>
                            <w:vertAlign w:val="baseline"/>
                            <w:lang w:val="en-US"/>
                          </w:rPr>
                          <w:t xml:space="preserve">Depressive</w:t>
                        </w:r>
                      </w:p>
                      <w:p>
                        <w:pPr>
                          <w:spacing w:before="0" w:after="288" w:line="268"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Disorder (2021)</w:t>
                          <w:br/>
                        </w:r>
                        <w:r>
                          <w:rPr>
                            <w:rFonts w:ascii="Calibri" w:hAnsi="Calibri" w:eastAsia="Calibri"/>
                            <w:b w:val="true"/>
                            <w:color w:val="FFFFFF"/>
                            <w:spacing w:val="0"/>
                            <w:w w:val="100"/>
                            <w:sz w:val="23"/>
                            <w:vertAlign w:val="baseline"/>
                            <w:lang w:val="en-US"/>
                          </w:rPr>
                          <w:t xml:space="preserve">(NYS=18.7)</w:t>
                        </w:r>
                      </w:p>
                    </w:tc>
                    <w:tc>
                      <w:tcPr>
                        <w:tcW w:w="186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826" w:line="266"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Change</w:t>
                          <w:br/>
                        </w:r>
                        <w:r>
                          <w:rPr>
                            <w:rFonts w:ascii="Calibri" w:hAnsi="Calibri" w:eastAsia="Calibri"/>
                            <w:b w:val="true"/>
                            <w:color w:val="FFFFFF"/>
                            <w:spacing w:val="0"/>
                            <w:w w:val="100"/>
                            <w:sz w:val="23"/>
                            <w:vertAlign w:val="baseline"/>
                            <w:lang w:val="en-US"/>
                          </w:rPr>
                          <w:t xml:space="preserve">from 2018</w:t>
                          <w:br/>
                        </w:r>
                        <w:r>
                          <w:rPr>
                            <w:rFonts w:ascii="Calibri" w:hAnsi="Calibri" w:eastAsia="Calibri"/>
                            <w:b w:val="true"/>
                            <w:color w:val="FFFFFF"/>
                            <w:spacing w:val="0"/>
                            <w:w w:val="100"/>
                            <w:sz w:val="23"/>
                            <w:vertAlign w:val="baseline"/>
                            <w:lang w:val="en-US"/>
                          </w:rPr>
                          <w:t xml:space="preserve">Baseline</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0" w:line="267"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of Adults</w:t>
                          <w:br/>
                        </w:r>
                        <w:r>
                          <w:rPr>
                            <w:rFonts w:ascii="Calibri" w:hAnsi="Calibri" w:eastAsia="Calibri"/>
                            <w:b w:val="true"/>
                            <w:color w:val="FFFFFF"/>
                            <w:spacing w:val="0"/>
                            <w:w w:val="100"/>
                            <w:sz w:val="23"/>
                            <w:vertAlign w:val="baseline"/>
                            <w:lang w:val="en-US"/>
                          </w:rPr>
                          <w:t xml:space="preserve">Reporting 14 or</w:t>
                          <w:br/>
                        </w:r>
                        <w:r>
                          <w:rPr>
                            <w:rFonts w:ascii="Calibri" w:hAnsi="Calibri" w:eastAsia="Calibri"/>
                            <w:b w:val="true"/>
                            <w:color w:val="FFFFFF"/>
                            <w:spacing w:val="0"/>
                            <w:w w:val="100"/>
                            <w:sz w:val="23"/>
                            <w:vertAlign w:val="baseline"/>
                            <w:lang w:val="en-US"/>
                          </w:rPr>
                          <w:t xml:space="preserve">more Days of</w:t>
                          <w:br/>
                        </w:r>
                        <w:r>
                          <w:rPr>
                            <w:rFonts w:ascii="Calibri" w:hAnsi="Calibri" w:eastAsia="Calibri"/>
                            <w:b w:val="true"/>
                            <w:color w:val="FFFFFF"/>
                            <w:spacing w:val="0"/>
                            <w:w w:val="100"/>
                            <w:sz w:val="23"/>
                            <w:vertAlign w:val="baseline"/>
                            <w:lang w:val="en-US"/>
                          </w:rPr>
                          <w:t xml:space="preserve">Poor Mental</w:t>
                          <w:br/>
                        </w:r>
                        <w:r>
                          <w:rPr>
                            <w:rFonts w:ascii="Calibri" w:hAnsi="Calibri" w:eastAsia="Calibri"/>
                            <w:b w:val="true"/>
                            <w:color w:val="FFFFFF"/>
                            <w:spacing w:val="0"/>
                            <w:w w:val="100"/>
                            <w:sz w:val="23"/>
                            <w:vertAlign w:val="baseline"/>
                            <w:lang w:val="en-US"/>
                          </w:rPr>
                          <w:t xml:space="preserve">Health Per Month</w:t>
                          <w:br/>
                        </w:r>
                        <w:r>
                          <w:rPr>
                            <w:rFonts w:ascii="Calibri" w:hAnsi="Calibri" w:eastAsia="Calibri"/>
                            <w:b w:val="true"/>
                            <w:color w:val="FFFFFF"/>
                            <w:spacing w:val="0"/>
                            <w:w w:val="100"/>
                            <w:sz w:val="23"/>
                            <w:vertAlign w:val="baseline"/>
                            <w:lang w:val="en-US"/>
                          </w:rPr>
                          <w:t xml:space="preserve">(2021) (NYS=16)</w:t>
                        </w:r>
                      </w:p>
                    </w:tc>
                    <w:tc>
                      <w:tcPr>
                        <w:tcW w:w="187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826" w:line="266"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Percent Change</w:t>
                          <w:br/>
                        </w:r>
                        <w:r>
                          <w:rPr>
                            <w:rFonts w:ascii="Calibri" w:hAnsi="Calibri" w:eastAsia="Calibri"/>
                            <w:b w:val="true"/>
                            <w:color w:val="FFFFFF"/>
                            <w:spacing w:val="0"/>
                            <w:w w:val="100"/>
                            <w:sz w:val="23"/>
                            <w:vertAlign w:val="baseline"/>
                            <w:lang w:val="en-US"/>
                          </w:rPr>
                          <w:t xml:space="preserve">from 2018</w:t>
                          <w:br/>
                        </w:r>
                        <w:r>
                          <w:rPr>
                            <w:rFonts w:ascii="Calibri" w:hAnsi="Calibri" w:eastAsia="Calibri"/>
                            <w:b w:val="true"/>
                            <w:color w:val="FFFFFF"/>
                            <w:spacing w:val="0"/>
                            <w:w w:val="100"/>
                            <w:sz w:val="23"/>
                            <w:vertAlign w:val="baseline"/>
                            <w:lang w:val="en-US"/>
                          </w:rPr>
                          <w:t xml:space="preserve">Baseline</w:t>
                        </w:r>
                      </w:p>
                    </w:tc>
                  </w:tr>
                  <w:tr>
                    <w:trPr>
                      <w:trHeight w:val="279"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Chemung</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35.4</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r>
                  <w:tr>
                    <w:trPr>
                      <w:trHeight w:val="27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0"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Livingston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24.9</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w:t>
                        </w:r>
                      </w:p>
                    </w:tc>
                  </w:tr>
                  <w:tr>
                    <w:trPr>
                      <w:trHeight w:val="27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0"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Ontario</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27.9</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w:t>
                        </w:r>
                      </w:p>
                    </w:tc>
                  </w:tr>
                  <w:tr>
                    <w:trPr>
                      <w:trHeight w:val="279"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Schuyler</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24.1</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w:t>
                        </w:r>
                      </w:p>
                    </w:tc>
                  </w:tr>
                  <w:tr>
                    <w:trPr>
                      <w:trHeight w:val="27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1"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Seneca</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r>
                  <w:tr>
                    <w:trPr>
                      <w:trHeight w:val="279"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0"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Steuben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29.5</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+27</w:t>
                        </w:r>
                      </w:p>
                    </w:tc>
                  </w:tr>
                  <w:tr>
                    <w:trPr>
                      <w:trHeight w:val="27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Wayne</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2"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-23</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2" w:after="20"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2" w:after="2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r>
                  <w:tr>
                    <w:trPr>
                      <w:trHeight w:val="28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4" w:line="228"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Yates</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656"/>
                          </w:tabs>
                          <w:spacing w:before="33" w:after="29"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9"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9"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9"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w:t>
                        </w:r>
                      </w:p>
                    </w:tc>
                  </w:tr>
                </w:tbl>
              </w:txbxContent>
            </v:textbox>
          </v:shape>
        </w:pict>
      </w:r>
      <w:r>
        <w:pict>
          <v:shapetype id="_x0000_t162" coordsize="21600,21600" o:spt="202" path="m,l,21600r21600,l21600,xe">
            <v:stroke joinstyle="miter"/>
            <v:path gradientshapeok="t" o:connecttype="rect"/>
          </v:shapetype>
          <v:shape id="_x0000_s161" type="#_x0000_t162" filled="f" stroked="f" style="position:absolute;width:612pt;height:40.5pt;z-index:1;margin-left:0pt;margin-top:286.8pt;mso-wrap-distance-left:0pt;mso-wrap-distance-right:0pt;mso-position-horizontal-relative:page;mso-position-vertical-relative:page">
            <w10:wrap anchorx="page" anchory="page"/>
            <v:fill opacity="1" o:opacity2="1" recolor="f" rotate="f" type="solid"/>
            <v:textbox inset="0pt, 0pt, 0pt, 0pt">
              <w:txbxContent>
                <w:p>
                  <w:pPr>
                    <w:spacing w:before="7"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New York Expanded Behavioral Risk Factor Surveillance System</w:t>
                  </w:r>
                </w:p>
                <w:p>
                  <w:pPr>
                    <w:spacing w:before="240" w:after="0" w:line="198"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Suicide Rate</w:t>
                  </w:r>
                </w:p>
                <w:p>
                  <w:pPr>
                    <w:spacing w:before="0" w:after="23" w:line="153" w:lineRule="exact"/>
                    <w:ind w:right="0" w:left="489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Figure16: Suicide Rates for the Finger Lakes Region (age-adjusted)</w:t>
                  </w:r>
                </w:p>
              </w:txbxContent>
            </v:textbox>
          </v:shape>
        </w:pict>
      </w:r>
      <w:r>
        <w:pict>
          <v:shapetype id="_x0000_t163" coordsize="21600,21600" o:spt="202" path="m,l,21600r21600,l21600,xe">
            <v:stroke joinstyle="miter"/>
            <v:path gradientshapeok="t" o:connecttype="rect"/>
          </v:shapetype>
          <v:shape id="_x0000_s162" type="#_x0000_t163" filled="f" stroked="f" style="position:absolute;width:165pt;height:234.65pt;z-index:1;margin-left:72pt;margin-top:327.3pt;mso-wrap-distance-left:0pt;mso-wrap-distance-right:0pt;mso-position-horizontal-relative:page;mso-position-vertical-relative:page">
            <w10:wrap anchorx="page" anchory="page"/>
            <v:fill opacity="1" o:opacity2="1" recolor="f" rotate="f" type="solid"/>
            <v:textbox inset="0pt, 0pt, 0pt, 0pt">
              <w:txbxContent>
                <w:p>
                  <w:pPr>
                    <w:spacing w:before="23" w:after="39" w:line="289" w:lineRule="exact"/>
                    <w:ind w:right="0"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Adult suicide mortality in the eight-county region has remained elevated over the past five years, increasing from 13.1 deaths per 100,000 residents in 2018 to a peak of 15.3 in 2020 and remaining above the 2018 baseline through 2022 at 14.4 per 100,000. These values represent age-adjusted rates based on 5-year County Health Rankings data (2014– 2018 for the 2018 baseline and 2018–2022 for the most recent point), demonstrating that suicide continues to be a persistent and significant cause of premature death across the region. </w:t>
                  </w:r>
                  <w:r>
                    <w:rPr>
                      <w:rFonts w:ascii="Arial" w:hAnsi="Arial" w:eastAsia="Arial"/>
                      <w:color w:val="000000"/>
                      <w:spacing w:val="-2"/>
                      <w:w w:val="100"/>
                      <w:sz w:val="22"/>
                      <w:vertAlign w:val="baseline"/>
                      <w:lang w:val="en-US"/>
                    </w:rPr>
                    <w:t xml:space="preserve">Because these</w:t>
                  </w:r>
                </w:p>
              </w:txbxContent>
            </v:textbox>
          </v:shape>
        </w:pict>
      </w:r>
      <w:r>
        <w:pict>
          <v:shapetype id="_x0000_t164" coordsize="21600,21600" o:spt="202" path="m,l,21600r21600,l21600,xe">
            <v:stroke joinstyle="miter"/>
            <v:path gradientshapeok="t" o:connecttype="rect"/>
          </v:shapetype>
          <v:shape id="_x0000_s163" type="#_x0000_t164" filled="f" stroked="f" style="position:absolute;width:353pt;height:41.5pt;z-index:-1;margin-left:248.9pt;margin-top:332.65pt;mso-wrap-distance-left:0pt;mso-wrap-distance-right:0pt;mso-position-horizontal-relative:page;mso-position-vertical-relative:page">
            <w10:wrap type="square" side="both"/>
            <v:fill opacity="1" o:opacity2="1" recolor="f" rotate="f" type="solid"/>
            <v:textbox inset="0pt, 0pt, 0pt, 0pt">
              <w:txbxContent>
                <w:p>
                  <w:pPr>
                    <w:spacing w:before="143" w:after="0" w:line="338"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Deaths due to Suicide per 100,000 Population</w:t>
                    <w:br/>
                  </w:r>
                  <w:r>
                    <w:rPr>
                      <w:rFonts w:ascii="Calibri" w:hAnsi="Calibri" w:eastAsia="Calibri"/>
                      <w:color w:val="585858"/>
                      <w:spacing w:val="0"/>
                      <w:w w:val="100"/>
                      <w:sz w:val="28"/>
                      <w:vertAlign w:val="baseline"/>
                      <w:lang w:val="en-US"/>
                    </w:rPr>
                    <w:t xml:space="preserve">(Age-Adjusted)</w:t>
                  </w:r>
                </w:p>
              </w:txbxContent>
            </v:textbox>
          </v:shape>
        </w:pict>
      </w:r>
      <w:r>
        <w:pict>
          <v:shapetype id="_x0000_t165" coordsize="21600,21600" o:spt="202" path="m,l,21600r21600,l21600,xe">
            <v:stroke joinstyle="miter"/>
            <v:path gradientshapeok="t" o:connecttype="rect"/>
          </v:shapetype>
          <v:shape id="_x0000_s164" type="#_x0000_t165" filled="f" stroked="f" style="position:absolute;width:353pt;height:175.55pt;z-index:-1;margin-left:248.9pt;margin-top:374.15pt;mso-wrap-distance-left:0pt;mso-wrap-distance-right:0pt;mso-position-horizontal-relative:page;mso-position-vertical-relative:page">
            <w10:wrap type="square" side="both"/>
            <v:fill opacity="1" o:opacity2="1" recolor="f" rotate="f" type="solid"/>
            <v:textbox inset="0pt, 0pt, 0pt, 0pt">
              <w:txbxContent>
                <w:tbl>
                  <w:tblPr>
                    <w:jc w:val="left"/>
                    <w:tblInd w:w="108" w:type="dxa"/>
                    <w:tblLayout w:type="fixed"/>
                    <w:tblCellMar>
                      <w:left w:w="0" w:type="dxa"/>
                      <w:right w:w="0" w:type="dxa"/>
                    </w:tblCellMar>
                  </w:tblPr>
                  <w:tblGrid>
                    <w:gridCol w:w="914"/>
                    <w:gridCol w:w="393"/>
                    <w:gridCol w:w="859"/>
                    <w:gridCol w:w="399"/>
                    <w:gridCol w:w="854"/>
                    <w:gridCol w:w="399"/>
                    <w:gridCol w:w="859"/>
                    <w:gridCol w:w="393"/>
                    <w:gridCol w:w="860"/>
                    <w:gridCol w:w="826"/>
                  </w:tblGrid>
                  <w:tr>
                    <w:trPr>
                      <w:trHeight w:val="259" w:hRule="exact"/>
                    </w:trPr>
                    <w:tc>
                      <w:tcPr>
                        <w:tcW w:w="6756" w:type="dxa"/>
                        <w:gridSpan w:val="10"/>
                        <w:tcBorders>
                          <w:top w:val="none"/>
                          <w:left w:val="none"/>
                          <w:bottom w:val="single" w:sz="5" w:color="000000"/>
                          <w:right w:val="none"/>
                        </w:tcBorders>
                        <w:textDirection w:val="lrTb"/>
                        <w:vAlign w:val="top"/>
                      </w:tcPr>
                      <w:p>
                        <w:pPr>
                          <w:spacing w:before="108" w:after="0" w:line="104" w:lineRule="exact"/>
                          <w:ind w:right="2886"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15.3</w:t>
                        </w:r>
                      </w:p>
                      <w:p>
                        <w:pPr>
                          <w:spacing w:before="0" w:after="0" w:line="37"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15.5</w:t>
                        </w:r>
                      </w:p>
                    </w:tc>
                  </w:tr>
                  <w:tr>
                    <w:trPr>
                      <w:trHeight w:val="134" w:hRule="exact"/>
                    </w:trPr>
                    <w:tc>
                      <w:tcPr>
                        <w:tcW w:w="3419" w:type="dxa"/>
                        <w:gridSpan w:val="5"/>
                        <w:vMerge w:val="restart"/>
                        <w:tcBorders>
                          <w:top w:val="single" w:sz="5" w:color="000000"/>
                          <w:left w:val="none"/>
                          <w:bottom w:val="none"/>
                          <w:right w:val="none"/>
                        </w:tcBorders>
                        <w:textDirection w:val="lrTb"/>
                        <w:vAlign w:val="bottom"/>
                      </w:tcPr>
                      <w:p>
                        <w:pPr>
                          <w:spacing w:before="243" w:after="0" w:line="79" w:lineRule="exact"/>
                          <w:ind w:right="0" w:left="1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15.0</w:t>
                        </w:r>
                      </w:p>
                    </w:tc>
                    <w:tc>
                      <w:tcPr>
                        <w:tcW w:w="399" w:type="dxa"/>
                        <w:tcBorders>
                          <w:top w:val="single" w:sz="5" w:color="000000"/>
                          <w:left w:val="none"/>
                          <w:bottom w:val="none"/>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8" w:type="dxa"/>
                        <w:gridSpan w:val="4"/>
                        <w:vMerge w:val="restart"/>
                        <w:tcBorders>
                          <w:top w:val="single" w:sz="5" w:color="000000"/>
                          <w:left w:val="none"/>
                          <w:bottom w:val="none"/>
                          <w:right w:val="none"/>
                        </w:tcBorders>
                        <w:textDirection w:val="lrTb"/>
                        <w:vAlign w:val="center"/>
                      </w:tcPr>
                      <w:p>
                        <w:pPr>
                          <w:spacing w:before="56" w:after="67" w:line="199" w:lineRule="exact"/>
                          <w:ind w:right="1714"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15.0</w:t>
                        </w:r>
                      </w:p>
                    </w:tc>
                  </w:tr>
                  <w:tr>
                    <w:trPr>
                      <w:trHeight w:val="202" w:hRule="exact"/>
                    </w:trPr>
                    <w:tc>
                      <w:tcPr>
                        <w:tcW w:w="3419" w:type="dxa"/>
                        <w:gridSpan w:val="5"/>
                        <w:vMerge w:val="continue"/>
                        <w:tcBorders>
                          <w:top w:val="none"/>
                          <w:left w:val="none"/>
                          <w:bottom w:val="single" w:sz="5" w:color="000000"/>
                          <w:right w:val="none"/>
                        </w:tcBorders>
                        <w:textDirection w:val="lrTb"/>
                        <w:vAlign w:val="bottom"/>
                      </w:tcPr>
                      <w:p/>
                    </w:tc>
                    <w:tc>
                      <w:tcPr>
                        <w:tcW w:w="399"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2938" w:type="dxa"/>
                        <w:gridSpan w:val="4"/>
                        <w:vMerge w:val="continue"/>
                        <w:tcBorders>
                          <w:top w:val="none"/>
                          <w:left w:val="none"/>
                          <w:bottom w:val="single" w:sz="5" w:color="000000"/>
                          <w:right w:val="none"/>
                        </w:tcBorders>
                        <w:textDirection w:val="lrTb"/>
                        <w:vAlign w:val="center"/>
                      </w:tcPr>
                      <w:p/>
                    </w:tc>
                  </w:tr>
                  <w:tr>
                    <w:trPr>
                      <w:trHeight w:val="346" w:hRule="exact"/>
                    </w:trPr>
                    <w:tc>
                      <w:tcPr>
                        <w:tcW w:w="3419" w:type="dxa"/>
                        <w:gridSpan w:val="5"/>
                        <w:tcBorders>
                          <w:top w:val="single" w:sz="5" w:color="000000"/>
                          <w:left w:val="none"/>
                          <w:bottom w:val="single" w:sz="5" w:color="000000"/>
                          <w:right w:val="none"/>
                        </w:tcBorders>
                        <w:textDirection w:val="lrTb"/>
                        <w:vAlign w:val="bottom"/>
                      </w:tcPr>
                      <w:p>
                        <w:pPr>
                          <w:spacing w:before="243" w:after="0" w:line="103" w:lineRule="exact"/>
                          <w:ind w:right="0" w:left="1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14.5</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restart"/>
                        <w:tcBorders>
                          <w:top w:val="single" w:sz="5" w:color="000000"/>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686" w:type="dxa"/>
                        <w:gridSpan w:val="2"/>
                        <w:tcBorders>
                          <w:top w:val="single" w:sz="5" w:color="000000"/>
                          <w:left w:val="none"/>
                          <w:bottom w:val="single" w:sz="5" w:color="000000"/>
                          <w:right w:val="none"/>
                        </w:tcBorders>
                        <w:textDirection w:val="lrTb"/>
                        <w:vAlign w:val="center"/>
                      </w:tcPr>
                      <w:p>
                        <w:pPr>
                          <w:spacing w:before="118" w:after="29" w:line="199" w:lineRule="exact"/>
                          <w:ind w:right="461" w:left="0" w:firstLine="0"/>
                          <w:jc w:val="righ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14.4</w:t>
                        </w:r>
                      </w:p>
                    </w:tc>
                  </w:tr>
                  <w:tr>
                    <w:trPr>
                      <w:trHeight w:val="321" w:hRule="exact"/>
                    </w:trPr>
                    <w:tc>
                      <w:tcPr>
                        <w:tcW w:w="3419" w:type="dxa"/>
                        <w:gridSpan w:val="5"/>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none"/>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36" w:hRule="exact"/>
                    </w:trPr>
                    <w:tc>
                      <w:tcPr>
                        <w:tcW w:w="3419" w:type="dxa"/>
                        <w:gridSpan w:val="5"/>
                        <w:tcBorders>
                          <w:top w:val="single" w:sz="5" w:color="000000"/>
                          <w:left w:val="none"/>
                          <w:bottom w:val="single" w:sz="5" w:color="000000"/>
                          <w:right w:val="none"/>
                        </w:tcBorders>
                        <w:textDirection w:val="lrTb"/>
                        <w:vAlign w:val="top"/>
                      </w:tcPr>
                      <w:p>
                        <w:pPr>
                          <w:spacing w:before="0" w:after="0" w:line="111"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14.0</w:t>
                        </w:r>
                      </w:p>
                      <w:p>
                        <w:pPr>
                          <w:spacing w:before="132" w:after="0" w:line="8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13.5</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none"/>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17" w:hRule="exact"/>
                    </w:trPr>
                    <w:tc>
                      <w:tcPr>
                        <w:tcW w:w="914"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tcBorders>
                          <w:top w:val="single" w:sz="5" w:color="000000"/>
                          <w:left w:val="none"/>
                          <w:bottom w:val="none"/>
                          <w:right w:val="none"/>
                        </w:tcBorders>
                        <w:textDirection w:val="lrTb"/>
                        <w:vAlign w:val="top"/>
                      </w:tcPr>
                      <w:p>
                        <w:pPr>
                          <w:spacing w:before="0" w:after="119" w:line="188"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13.1</w:t>
                        </w:r>
                      </w:p>
                    </w:tc>
                    <w:tc>
                      <w:tcPr>
                        <w:tcW w:w="2112" w:type="dxa"/>
                        <w:gridSpan w:val="3"/>
                        <w:tcBorders>
                          <w:top w:val="single" w:sz="5" w:color="000000"/>
                          <w:left w:val="none"/>
                          <w:bottom w:val="single" w:sz="5" w:color="000000"/>
                          <w:right w:val="none"/>
                        </w:tcBorders>
                        <w:textDirection w:val="lrTb"/>
                        <w:vAlign w:val="center"/>
                      </w:tcPr>
                      <w:p>
                        <w:pPr>
                          <w:spacing w:before="51" w:after="57" w:line="199"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13.0</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none"/>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50" w:hRule="exact"/>
                    </w:trPr>
                    <w:tc>
                      <w:tcPr>
                        <w:tcW w:w="914" w:type="dxa"/>
                        <w:tcBorders>
                          <w:top w:val="single" w:sz="5" w:color="000000"/>
                          <w:left w:val="none"/>
                          <w:bottom w:val="single" w:sz="5" w:color="000000"/>
                          <w:right w:val="none"/>
                        </w:tcBorders>
                        <w:textDirection w:val="lrTb"/>
                        <w:vAlign w:val="top"/>
                      </w:tcPr>
                      <w:p>
                        <w:pPr>
                          <w:spacing w:before="0" w:after="211" w:line="125" w:lineRule="exact"/>
                          <w:ind w:right="0" w:left="1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13.0</w:t>
                        </w:r>
                      </w:p>
                    </w:tc>
                    <w:tc>
                      <w:tcPr>
                        <w:tcW w:w="393" w:type="dxa"/>
                        <w:vMerge w:val="restart"/>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restart"/>
                        <w:tcBorders>
                          <w:top w:val="single" w:sz="5" w:color="000000"/>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54"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none"/>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36" w:hRule="exact"/>
                    </w:trPr>
                    <w:tc>
                      <w:tcPr>
                        <w:tcW w:w="914" w:type="dxa"/>
                        <w:tcBorders>
                          <w:top w:val="single" w:sz="5" w:color="000000"/>
                          <w:left w:val="none"/>
                          <w:bottom w:val="single" w:sz="5" w:color="000000"/>
                          <w:right w:val="none"/>
                        </w:tcBorders>
                        <w:textDirection w:val="lrTb"/>
                        <w:vAlign w:val="top"/>
                      </w:tcPr>
                      <w:p>
                        <w:pPr>
                          <w:spacing w:before="0" w:after="0" w:line="111"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12.5</w:t>
                        </w:r>
                      </w:p>
                      <w:p>
                        <w:pPr>
                          <w:spacing w:before="132" w:after="0" w:line="8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12.0</w:t>
                        </w:r>
                      </w:p>
                    </w:tc>
                    <w:tc>
                      <w:tcPr>
                        <w:tcW w:w="393"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none"/>
                          <w:right w:val="none"/>
                        </w:tcBorders>
                        <w:shd w:val="clear" w:color="145F82" w:fill="145F82"/>
                        <w:textDirection w:val="lrTb"/>
                        <w:vAlign w:val="top"/>
                      </w:tcPr>
                      <w:p/>
                    </w:tc>
                    <w:tc>
                      <w:tcPr>
                        <w:tcW w:w="854"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none"/>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none"/>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32" w:hRule="exact"/>
                    </w:trPr>
                    <w:tc>
                      <w:tcPr>
                        <w:tcW w:w="914"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single" w:sz="5" w:color="000000"/>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single" w:sz="5" w:color="000000"/>
                          <w:right w:val="none"/>
                        </w:tcBorders>
                        <w:shd w:val="clear" w:color="145F82" w:fill="145F82"/>
                        <w:textDirection w:val="lrTb"/>
                        <w:vAlign w:val="top"/>
                      </w:tcPr>
                      <w:p/>
                    </w:tc>
                    <w:tc>
                      <w:tcPr>
                        <w:tcW w:w="854"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9" w:type="dxa"/>
                        <w:vMerge w:val="continue"/>
                        <w:tcBorders>
                          <w:top w:val="none"/>
                          <w:left w:val="none"/>
                          <w:bottom w:val="single" w:sz="5" w:color="000000"/>
                          <w:right w:val="none"/>
                        </w:tcBorders>
                        <w:shd w:val="clear" w:color="145F82" w:fill="145F82"/>
                        <w:textDirection w:val="lrTb"/>
                        <w:vAlign w:val="top"/>
                      </w:tcPr>
                      <w:p/>
                    </w:tc>
                    <w:tc>
                      <w:tcPr>
                        <w:tcW w:w="859"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93" w:type="dxa"/>
                        <w:vMerge w:val="continue"/>
                        <w:tcBorders>
                          <w:top w:val="none"/>
                          <w:left w:val="none"/>
                          <w:bottom w:val="single" w:sz="5" w:color="000000"/>
                          <w:right w:val="none"/>
                        </w:tcBorders>
                        <w:shd w:val="clear" w:color="145F82" w:fill="145F82"/>
                        <w:textDirection w:val="lrTb"/>
                        <w:vAlign w:val="top"/>
                      </w:tcPr>
                      <w:p/>
                    </w:tc>
                    <w:tc>
                      <w:tcPr>
                        <w:tcW w:w="860" w:type="dxa"/>
                        <w:tcBorders>
                          <w:top w:val="single" w:sz="5" w:color="000000"/>
                          <w:left w:val="none"/>
                          <w:bottom w:val="single" w:sz="5" w:color="000000"/>
                          <w:right w:val="none"/>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826" w:type="dxa"/>
                        <w:tcBorders>
                          <w:top w:val="single" w:sz="5" w:color="000000"/>
                          <w:left w:val="none"/>
                          <w:bottom w:val="single" w:sz="5" w:color="000000"/>
                          <w:right w:val="none"/>
                        </w:tcBorders>
                        <w:shd w:val="clear" w:color="90B3C4" w:fill="90B3C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70" w:hRule="exact"/>
                    </w:trPr>
                    <w:tc>
                      <w:tcPr>
                        <w:tcW w:w="6756" w:type="dxa"/>
                        <w:gridSpan w:val="10"/>
                        <w:tcBorders>
                          <w:top w:val="single" w:sz="5" w:color="000000"/>
                          <w:left w:val="none"/>
                          <w:bottom w:val="none"/>
                          <w:right w:val="none"/>
                        </w:tcBorders>
                        <w:textDirection w:val="lrTb"/>
                        <w:vAlign w:val="top"/>
                      </w:tcPr>
                      <w:p>
                        <w:pPr>
                          <w:spacing w:before="0" w:after="0" w:line="11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11.5</w:t>
                        </w:r>
                      </w:p>
                      <w:p>
                        <w:pPr>
                          <w:tabs>
                            <w:tab w:val="left" w:leader="none" w:pos="2232"/>
                            <w:tab w:val="left" w:leader="none" w:pos="3456"/>
                            <w:tab w:val="left" w:leader="none" w:pos="4680"/>
                            <w:tab w:val="left" w:leader="none" w:pos="5976"/>
                          </w:tabs>
                          <w:spacing w:before="32" w:after="28" w:line="199" w:lineRule="exact"/>
                          <w:ind w:right="366"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	</w:t>
                        </w:r>
                        <w:r>
                          <w:rPr>
                            <w:rFonts w:ascii="Calibri" w:hAnsi="Calibri" w:eastAsia="Calibri"/>
                            <w:color w:val="585858"/>
                            <w:spacing w:val="0"/>
                            <w:w w:val="100"/>
                            <w:sz w:val="18"/>
                            <w:vertAlign w:val="baseline"/>
                            <w:lang w:val="en-US"/>
                          </w:rPr>
                          <w:t xml:space="preserve">2019	</w:t>
                        </w:r>
                        <w:r>
                          <w:rPr>
                            <w:rFonts w:ascii="Calibri" w:hAnsi="Calibri" w:eastAsia="Calibri"/>
                            <w:color w:val="585858"/>
                            <w:spacing w:val="0"/>
                            <w:w w:val="100"/>
                            <w:sz w:val="18"/>
                            <w:vertAlign w:val="baseline"/>
                            <w:lang w:val="en-US"/>
                          </w:rPr>
                          <w:t xml:space="preserve">2020	</w:t>
                        </w:r>
                        <w:r>
                          <w:rPr>
                            <w:rFonts w:ascii="Calibri" w:hAnsi="Calibri" w:eastAsia="Calibri"/>
                            <w:color w:val="585858"/>
                            <w:spacing w:val="0"/>
                            <w:w w:val="100"/>
                            <w:sz w:val="18"/>
                            <w:vertAlign w:val="baseline"/>
                            <w:lang w:val="en-US"/>
                          </w:rPr>
                          <w:t xml:space="preserve">2021	</w:t>
                        </w:r>
                        <w:r>
                          <w:rPr>
                            <w:rFonts w:ascii="Calibri" w:hAnsi="Calibri" w:eastAsia="Calibri"/>
                            <w:color w:val="585858"/>
                            <w:spacing w:val="0"/>
                            <w:w w:val="100"/>
                            <w:sz w:val="18"/>
                            <w:vertAlign w:val="baseline"/>
                            <w:lang w:val="en-US"/>
                          </w:rPr>
                          <w:t xml:space="preserve">2022</w:t>
                        </w:r>
                      </w:p>
                    </w:tc>
                  </w:tr>
                </w:tbl>
                <w:p>
                  <w:pPr>
                    <w:spacing w:before="0" w:after="160" w:line="20" w:lineRule="exact"/>
                  </w:pPr>
                </w:p>
              </w:txbxContent>
            </v:textbox>
          </v:shape>
        </w:pict>
      </w:r>
      <w:r>
        <w:pict>
          <v:shapetype id="_x0000_t166" coordsize="21600,21600" o:spt="202" path="m,l,21600r21600,l21600,xe">
            <v:stroke joinstyle="miter"/>
            <v:path gradientshapeok="t" o:connecttype="rect"/>
          </v:shapetype>
          <v:shape id="_x0000_s165" type="#_x0000_t166" filled="f" stroked="f" style="position:absolute;width:356.4pt;height:10.2pt;z-index:-1;margin-left:247.2pt;margin-top:549.7pt;mso-wrap-distance-left:0pt;mso-wrap-distance-right:0pt;mso-position-horizontal-relative:page;mso-position-vertical-relative:page">
            <w10:wrap type="square" side="both"/>
            <v:fill opacity="1" o:opacity2="1" recolor="f" rotate="f" type="solid"/>
            <v:textbox inset="0pt, 0pt, 0pt, 0pt">
              <w:txbxContent>
                <w:p>
                  <w:pPr>
                    <w:spacing w:before="20" w:after="0" w:line="174"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County Health Rankings; National Center for Health Statistics – Mortality Files</w:t>
                  </w: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612pt;height:154.9pt;z-index:1;margin-left:0pt;margin-top:561.9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57" w:lineRule="exact"/>
                    <w:ind w:right="1728" w:left="1440" w:firstLine="0"/>
                    <w:jc w:val="lef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rates are calculated from very small numbers of deaths, even one additional death can cause large percentage changes, so trends should be interpreted cautiously.</w:t>
                  </w:r>
                </w:p>
                <w:p>
                  <w:pPr>
                    <w:spacing w:before="140"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Youth suicide rates for the region, drawn from the New York State Prevention Agenda dashboard for ages 10–19, are based on small numbers of deaths (fewer than 10 events per 5-year period) and are therefore considered statistically unstable. Because of this instability, youth suicide rates are flagged as unreliable in official reporting and should be interpreted with extreme caution, emphasizing the need for ongoing monitoring rather than firm conclusions about trends.</w:t>
                  </w:r>
                </w:p>
                <w:p>
                  <w:pPr>
                    <w:spacing w:before="230" w:after="533"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Overdose Deaths by Drugs</w:t>
                  </w:r>
                </w:p>
              </w:txbxContent>
            </v:textbox>
          </v:shape>
        </w:pict>
      </w:r>
      <w:r>
        <w:pict>
          <v:shapetype id="_x0000_t168" coordsize="21600,21600" o:spt="202" path="m,l,21600r21600,l21600,xe">
            <v:stroke joinstyle="miter"/>
            <v:path gradientshapeok="t" o:connecttype="rect"/>
          </v:shapetype>
          <v:shape id="_x0000_s167" type="#_x0000_t168"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44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171" w:after="0" w:line="288" w:lineRule="exact"/>
        <w:ind w:right="1440"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Overdose deaths related to opioids and any drug show an alarming increase in most counties exceeding NYS averages. Overdose deaths may be indicative of substance use problems within a community. Table 13 presents regional overdose mortality rates for opioids and all drugs combined, alongside New York State averages and Prevention Agenda targets, to illustrate the extent to which the Finger Lakes Region is above desired levels. Because the regional rates draw on small numbers of deaths in some counties, relatively few additional deaths can result in large percentage changes over time, so trends should be interpreted with caution rather than as precise shifts in risk. Focus group participants in several counties noted the increase in drug use as problems within their counties. Several counties have developed partnerships with organizations that deal directly with drug use and misuse.</w:t>
      </w:r>
    </w:p>
    <w:p>
      <w:pPr>
        <w:spacing w:before="228" w:after="197"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13: Overdose Deaths</w:t>
      </w:r>
    </w:p>
    <w:tbl>
      <w:tblPr>
        <w:jc w:val="left"/>
        <w:tblInd w:w="1440" w:type="dxa"/>
        <w:tblLayout w:type="fixed"/>
        <w:tblCellMar>
          <w:left w:w="0" w:type="dxa"/>
          <w:right w:w="0" w:type="dxa"/>
        </w:tblCellMar>
      </w:tblPr>
      <w:tblGrid>
        <w:gridCol w:w="1872"/>
        <w:gridCol w:w="1872"/>
        <w:gridCol w:w="1867"/>
        <w:gridCol w:w="1872"/>
        <w:gridCol w:w="1877"/>
      </w:tblGrid>
      <w:tr>
        <w:trPr>
          <w:trHeight w:val="1896" w:hRule="exact"/>
        </w:trPr>
        <w:tc>
          <w:tcPr>
            <w:tcW w:w="1872"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844" w:after="810" w:line="22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132" w:after="141" w:line="268"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Age-Adjusted</w:t>
              <w:br/>
            </w:r>
            <w:r>
              <w:rPr>
                <w:rFonts w:ascii="Calibri" w:hAnsi="Calibri" w:eastAsia="Calibri"/>
                <w:b w:val="true"/>
                <w:color w:val="FFFFFF"/>
                <w:spacing w:val="0"/>
                <w:w w:val="100"/>
                <w:sz w:val="22"/>
                <w:vertAlign w:val="baseline"/>
                <w:lang w:val="en-US"/>
              </w:rPr>
              <w:t xml:space="preserve">Rate of Opioid</w:t>
              <w:br/>
            </w:r>
            <w:r>
              <w:rPr>
                <w:rFonts w:ascii="Calibri" w:hAnsi="Calibri" w:eastAsia="Calibri"/>
                <w:b w:val="true"/>
                <w:color w:val="FFFFFF"/>
                <w:spacing w:val="0"/>
                <w:w w:val="100"/>
                <w:sz w:val="22"/>
                <w:vertAlign w:val="baseline"/>
                <w:lang w:val="en-US"/>
              </w:rPr>
              <w:t xml:space="preserve">Overdose Deaths</w:t>
              <w:br/>
            </w:r>
            <w:r>
              <w:rPr>
                <w:rFonts w:ascii="Calibri" w:hAnsi="Calibri" w:eastAsia="Calibri"/>
                <w:b w:val="true"/>
                <w:color w:val="FFFFFF"/>
                <w:spacing w:val="0"/>
                <w:w w:val="100"/>
                <w:sz w:val="22"/>
                <w:vertAlign w:val="baseline"/>
                <w:lang w:val="en-US"/>
              </w:rPr>
              <w:t xml:space="preserve">per 100,000</w:t>
              <w:br/>
            </w: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(NYS=27)</w:t>
            </w:r>
          </w:p>
        </w:tc>
        <w:tc>
          <w:tcPr>
            <w:tcW w:w="1867"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533" w:after="544" w:line="268"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Change</w:t>
              <w:br/>
            </w:r>
            <w:r>
              <w:rPr>
                <w:rFonts w:ascii="Calibri" w:hAnsi="Calibri" w:eastAsia="Calibri"/>
                <w:b w:val="true"/>
                <w:color w:val="FFFFFF"/>
                <w:spacing w:val="0"/>
                <w:w w:val="100"/>
                <w:sz w:val="22"/>
                <w:vertAlign w:val="baseline"/>
                <w:lang w:val="en-US"/>
              </w:rPr>
              <w:t xml:space="preserve">from 2013</w:t>
              <w:br/>
            </w:r>
            <w:r>
              <w:rPr>
                <w:rFonts w:ascii="Calibri" w:hAnsi="Calibri" w:eastAsia="Calibri"/>
                <w:b w:val="true"/>
                <w:color w:val="FFFFFF"/>
                <w:spacing w:val="0"/>
                <w:w w:val="100"/>
                <w:sz w:val="22"/>
                <w:vertAlign w:val="baseline"/>
                <w:lang w:val="en-US"/>
              </w:rPr>
              <w:t xml:space="preserve">Baseline</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6"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Age-Adjusted</w:t>
              <w:br/>
            </w:r>
            <w:r>
              <w:rPr>
                <w:rFonts w:ascii="Calibri" w:hAnsi="Calibri" w:eastAsia="Calibri"/>
                <w:b w:val="true"/>
                <w:color w:val="FFFFFF"/>
                <w:spacing w:val="0"/>
                <w:w w:val="100"/>
                <w:sz w:val="22"/>
                <w:vertAlign w:val="baseline"/>
                <w:lang w:val="en-US"/>
              </w:rPr>
              <w:t xml:space="preserve">Rate of Overdose</w:t>
              <w:br/>
            </w:r>
            <w:r>
              <w:rPr>
                <w:rFonts w:ascii="Calibri" w:hAnsi="Calibri" w:eastAsia="Calibri"/>
                <w:b w:val="true"/>
                <w:color w:val="FFFFFF"/>
                <w:spacing w:val="0"/>
                <w:w w:val="100"/>
                <w:sz w:val="22"/>
                <w:vertAlign w:val="baseline"/>
                <w:lang w:val="en-US"/>
              </w:rPr>
              <w:t xml:space="preserve">Deaths Involving</w:t>
              <w:br/>
            </w:r>
            <w:r>
              <w:rPr>
                <w:rFonts w:ascii="Calibri" w:hAnsi="Calibri" w:eastAsia="Calibri"/>
                <w:b w:val="true"/>
                <w:color w:val="FFFFFF"/>
                <w:spacing w:val="0"/>
                <w:w w:val="100"/>
                <w:sz w:val="22"/>
                <w:vertAlign w:val="baseline"/>
                <w:lang w:val="en-US"/>
              </w:rPr>
              <w:t xml:space="preserve">any Drug per</w:t>
              <w:br/>
            </w:r>
            <w:r>
              <w:rPr>
                <w:rFonts w:ascii="Calibri" w:hAnsi="Calibri" w:eastAsia="Calibri"/>
                <w:b w:val="true"/>
                <w:color w:val="FFFFFF"/>
                <w:spacing w:val="0"/>
                <w:w w:val="100"/>
                <w:sz w:val="22"/>
                <w:vertAlign w:val="baseline"/>
                <w:lang w:val="en-US"/>
              </w:rPr>
              <w:t xml:space="preserve">100,000 (2022)</w:t>
              <w:br/>
            </w:r>
            <w:r>
              <w:rPr>
                <w:rFonts w:ascii="Calibri" w:hAnsi="Calibri" w:eastAsia="Calibri"/>
                <w:b w:val="true"/>
                <w:color w:val="FFFFFF"/>
                <w:spacing w:val="0"/>
                <w:w w:val="100"/>
                <w:sz w:val="22"/>
                <w:vertAlign w:val="baseline"/>
                <w:lang w:val="en-US"/>
              </w:rPr>
              <w:t xml:space="preserve">(NYS=31.3</w:t>
              <w:br/>
            </w:r>
            <w:r>
              <w:rPr>
                <w:rFonts w:ascii="Calibri" w:hAnsi="Calibri" w:eastAsia="Calibri"/>
                <w:b w:val="true"/>
                <w:color w:val="FFFFFF"/>
                <w:spacing w:val="0"/>
                <w:w w:val="100"/>
                <w:sz w:val="22"/>
                <w:vertAlign w:val="baseline"/>
                <w:lang w:val="en-US"/>
              </w:rPr>
              <w:t xml:space="preserve">PA=22.6)</w:t>
            </w:r>
          </w:p>
        </w:tc>
        <w:tc>
          <w:tcPr>
            <w:tcW w:w="1877"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533" w:after="544" w:line="268"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Change</w:t>
              <w:br/>
            </w:r>
            <w:r>
              <w:rPr>
                <w:rFonts w:ascii="Calibri" w:hAnsi="Calibri" w:eastAsia="Calibri"/>
                <w:b w:val="true"/>
                <w:color w:val="FFFFFF"/>
                <w:spacing w:val="0"/>
                <w:w w:val="100"/>
                <w:sz w:val="22"/>
                <w:vertAlign w:val="baseline"/>
                <w:lang w:val="en-US"/>
              </w:rPr>
              <w:t xml:space="preserve">from 2013</w:t>
              <w:br/>
            </w:r>
            <w:r>
              <w:rPr>
                <w:rFonts w:ascii="Calibri" w:hAnsi="Calibri" w:eastAsia="Calibri"/>
                <w:b w:val="true"/>
                <w:color w:val="FFFFFF"/>
                <w:spacing w:val="0"/>
                <w:w w:val="100"/>
                <w:sz w:val="22"/>
                <w:vertAlign w:val="baseline"/>
                <w:lang w:val="en-US"/>
              </w:rPr>
              <w:t xml:space="preserve">Baseline</w:t>
            </w:r>
          </w:p>
        </w:tc>
      </w:tr>
      <w:tr>
        <w:trPr>
          <w:trHeight w:val="307"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 w:after="3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43" w:after="39"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40.9</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3"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+605</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3"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46.5</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3"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+489</w:t>
            </w:r>
          </w:p>
        </w:tc>
      </w:tr>
      <w:tr>
        <w:trPr>
          <w:trHeight w:val="312"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3" w:after="1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5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+829</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24.5</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+433</w:t>
            </w:r>
          </w:p>
        </w:tc>
      </w:tr>
      <w:tr>
        <w:trPr>
          <w:trHeight w:val="307"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30"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8"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8"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+500</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8"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8"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+332</w:t>
            </w:r>
          </w:p>
        </w:tc>
      </w:tr>
      <w:tr>
        <w:trPr>
          <w:trHeight w:val="312"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3" w:after="1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5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21.4</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+2,040</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39.8</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53" w:after="2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+3,880</w:t>
            </w:r>
          </w:p>
        </w:tc>
      </w:tr>
      <w:tr>
        <w:trPr>
          <w:trHeight w:val="312"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3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48"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14.4</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8"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+700</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8"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24.6</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8"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+779</w:t>
            </w:r>
          </w:p>
        </w:tc>
      </w:tr>
      <w:tr>
        <w:trPr>
          <w:trHeight w:val="308"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3" w:after="40"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43" w:after="44"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30.7</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3"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+708</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3"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31.3</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3"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+341</w:t>
            </w:r>
          </w:p>
        </w:tc>
      </w:tr>
      <w:tr>
        <w:trPr>
          <w:trHeight w:val="312"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47"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29.8</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+645</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35.2</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+314</w:t>
            </w:r>
          </w:p>
        </w:tc>
      </w:tr>
      <w:tr>
        <w:trPr>
          <w:trHeight w:val="317" w:hRule="exact"/>
        </w:trPr>
        <w:tc>
          <w:tcPr>
            <w:tcW w:w="1872"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6"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7"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47"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0</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47"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47"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+720</w:t>
            </w:r>
          </w:p>
        </w:tc>
      </w:tr>
    </w:tbl>
    <w:p>
      <w:pPr>
        <w:spacing w:before="7" w:after="393"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NYS Opioid Data Dashboard</w:t>
      </w:r>
    </w:p>
    <w:p>
      <w:pPr>
        <w:spacing w:before="0" w:after="6" w:line="240" w:lineRule="auto"/>
        <w:ind w:right="19" w:left="0"/>
        <w:jc w:val="left"/>
        <w:textAlignment w:val="baseline"/>
      </w:pPr>
      <w:r>
        <w:drawing>
          <wp:inline>
            <wp:extent cx="7760335" cy="2545080"/>
            <wp:docPr name="Picture" id="49"/>
            <a:graphic>
              <a:graphicData uri="http://schemas.openxmlformats.org/drawingml/2006/picture">
                <pic:pic>
                  <pic:nvPicPr>
                    <pic:cNvPr id="49" name="Picture"/>
                    <pic:cNvPicPr preferRelativeResize="false"/>
                  </pic:nvPicPr>
                  <pic:blipFill>
                    <a:blip r:embed="prId49"/>
                    <a:stretch>
                      <a:fillRect/>
                    </a:stretch>
                  </pic:blipFill>
                  <pic:spPr>
                    <a:xfrm>
                      <a:off x="0" y="0"/>
                      <a:ext cx="7760335" cy="2545080"/>
                    </a:xfrm>
                    <a:prstGeom prst="rect"/>
                  </pic:spPr>
                </pic:pic>
              </a:graphicData>
            </a:graphic>
          </wp:inline>
        </w:drawing>
      </w:r>
    </w:p>
    <w:p>
      <w:pPr>
        <w:spacing w:before="20" w:after="504" w:line="180" w:lineRule="exact"/>
        <w:ind w:right="0" w:left="1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Ontario County</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45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69" coordsize="21600,21600" o:spt="202" path="m,l,21600r21600,l21600,xe">
            <v:stroke joinstyle="miter"/>
            <v:path gradientshapeok="t" o:connecttype="rect"/>
          </v:shapetype>
          <v:shape id="_x0000_s168" type="#_x0000_t169" filled="f" stroked="f" style="position:absolute;width:465.1pt;height:195.6pt;z-index:-1;margin-left:75.6pt;margin-top:192.5pt;mso-wrap-distance-left:75.6pt;mso-wrap-distance-right:70.8pt;mso-position-horizontal-relative:page;mso-position-vertical-relative:page">
            <w10:wrap type="square"/>
            <v:fill opacity="1" o:opacity2="1" recolor="f" rotate="f" type="solid"/>
            <v:textbox inset="0pt, 0pt, 0pt, 0pt">
              <w:txbxContent>
                <w:p>
                  <w:pPr>
                    <w:pBdr>
                      <w:top w:sz="5" w:space="0" w:color="D8D8D8" w:val="single"/>
                      <w:left w:sz="5" w:space="75" w:color="D8D8D8" w:val="single"/>
                      <w:bottom w:sz="5" w:space="0" w:color="D8D8D8" w:val="single"/>
                      <w:right w:sz="5" w:space="70" w:color="D8D8D8" w:val="single"/>
                    </w:pBdr>
                  </w:pPr>
                </w:p>
              </w:txbxContent>
            </v:textbox>
          </v:shape>
        </w:pict>
      </w:r>
      <w:r>
        <w:pict>
          <v:shapetype id="_x0000_t170" coordsize="21600,21600" o:spt="202" path="m,l,21600r21600,l21600,xe">
            <v:stroke joinstyle="miter"/>
            <v:path gradientshapeok="t" o:connecttype="rect"/>
          </v:shapetype>
          <v:shape id="_x0000_s169" type="#_x0000_t170" filled="f" stroked="f" style="position:absolute;width:410.9pt;height:181.05pt;z-index:-1;margin-left:99.6pt;margin-top:518.65pt;mso-wrap-distance-left:99.6pt;mso-wrap-distance-right:101pt;mso-position-horizontal-relative:page;mso-position-vertical-relative:page">
            <w10:wrap type="square"/>
            <v:fill opacity="1" o:opacity2="1" recolor="f" rotate="f" type="solid"/>
            <v:textbox inset="0pt, 0pt, 0pt, 0pt">
              <w:txbxContent>
                <w:p>
                  <w:pPr>
                    <w:pBdr>
                      <w:top w:sz="5" w:space="0" w:color="D8D8D8" w:val="single"/>
                      <w:left w:sz="5" w:space="99" w:color="D8D8D8" w:val="single"/>
                      <w:bottom w:sz="5" w:space="0" w:color="D8D8D8" w:val="single"/>
                      <w:right w:sz="5" w:space="101" w:color="D8D8D8" w:val="single"/>
                    </w:pBdr>
                  </w:pPr>
                </w:p>
              </w:txbxContent>
            </v:textbox>
          </v:shape>
        </w:pict>
      </w:r>
      <w:r>
        <w:pict>
          <v:shapetype id="_x0000_t171" coordsize="21600,21600" o:spt="202" path="m,l,21600r21600,l21600,xe">
            <v:stroke joinstyle="miter"/>
            <v:path gradientshapeok="t" o:connecttype="rect"/>
          </v:shapetype>
          <v:shape id="_x0000_s170" type="#_x0000_t171" fillcolor="#E97031" stroked="f" style="position:absolute;width:12.5pt;height:89pt;z-index:-1;margin-left:450pt;margin-top:247.7pt;mso-wrap-distance-left:0pt;mso-wrap-distance-right:0pt;mso-position-horizontal-relative:page;mso-position-vertical-relative:page">
            <w10:wrap type="square"/>
            <v:textbox inset="0pt, 0pt, 0pt, 0pt">
              <w:txbxContent/>
            </v:textbox>
          </v:shape>
        </w:pict>
      </w:r>
      <w:r>
        <w:pict>
          <v:shapetype id="_x0000_t172" coordsize="21600,21600" o:spt="202" path="m,l,21600r21600,l21600,xe">
            <v:stroke joinstyle="miter"/>
            <v:path gradientshapeok="t" o:connecttype="rect"/>
          </v:shapetype>
          <v:shape id="_x0000_s171" type="#_x0000_t172" fillcolor="#E97031" stroked="f" style="position:absolute;width:12.25pt;height:84.8pt;z-index:-1;margin-left:128.15pt;margin-top:252.25pt;mso-wrap-distance-left:0pt;mso-wrap-distance-right:0pt;mso-position-horizontal-relative:page;mso-position-vertical-relative:page">
            <w10:wrap type="square"/>
            <v:textbox inset="0pt, 0pt, 0pt, 0pt">
              <w:txbxContent/>
            </v:textbox>
          </v:shape>
        </w:pict>
      </w:r>
      <w:r>
        <w:pict>
          <v:shapetype id="_x0000_t173" coordsize="21600,21600" o:spt="202" path="m,l,21600r21600,l21600,xe">
            <v:stroke joinstyle="miter"/>
            <v:path gradientshapeok="t" o:connecttype="rect"/>
          </v:shapetype>
          <v:shape id="_x0000_s172" type="#_x0000_t173" fillcolor="#145F82" stroked="f" style="position:absolute;width:15.1pt;height:57.2pt;z-index:-1;margin-left:166.8pt;margin-top:279.85pt;mso-wrap-distance-left:0pt;mso-wrap-distance-right:0pt;mso-position-horizontal-relative:page;mso-position-vertical-relative:page">
            <w10:wrap type="square"/>
            <v:textbox inset="0pt, 0pt, 0pt, 0pt">
              <w:txbxContent/>
            </v:textbox>
          </v:shape>
        </w:pict>
      </w:r>
      <w:r>
        <w:pict>
          <v:shapetype id="_x0000_t174" coordsize="21600,21600" o:spt="202" path="m,l,21600r21600,l21600,xe">
            <v:stroke joinstyle="miter"/>
            <v:path gradientshapeok="t" o:connecttype="rect"/>
          </v:shapetype>
          <v:shape id="_x0000_s173" type="#_x0000_t174" fillcolor="#E97031" stroked="f" style="position:absolute;width:12.25pt;height:84.8pt;z-index:-1;margin-left:181.9pt;margin-top:252.25pt;mso-wrap-distance-left:0pt;mso-wrap-distance-right:0pt;mso-position-horizontal-relative:page;mso-position-vertical-relative:page">
            <w10:wrap type="square"/>
            <v:textbox inset="0pt, 0pt, 0pt, 0pt">
              <w:txbxContent/>
            </v:textbox>
          </v:shape>
        </w:pict>
      </w:r>
      <w:r>
        <w:pict>
          <v:shapetype id="_x0000_t175" coordsize="21600,21600" o:spt="202" path="m,l,21600r21600,l21600,xe">
            <v:stroke joinstyle="miter"/>
            <v:path gradientshapeok="t" o:connecttype="rect"/>
          </v:shapetype>
          <v:shape id="_x0000_s174" type="#_x0000_t175" fillcolor="#145F82" stroked="f" style="position:absolute;width:15.15pt;height:50pt;z-index:-1;margin-left:220.3pt;margin-top:287.05pt;mso-wrap-distance-left:0pt;mso-wrap-distance-right:0pt;mso-position-horizontal-relative:page;mso-position-vertical-relative:page">
            <w10:wrap type="square"/>
            <v:textbox inset="0pt, 0pt, 0pt, 0pt">
              <w:txbxContent/>
            </v:textbox>
          </v:shape>
        </w:pict>
      </w:r>
      <w:r>
        <w:pict>
          <v:shapetype id="_x0000_t176" coordsize="21600,21600" o:spt="202" path="m,l,21600r21600,l21600,xe">
            <v:stroke joinstyle="miter"/>
            <v:path gradientshapeok="t" o:connecttype="rect"/>
          </v:shapetype>
          <v:shape id="_x0000_s175" type="#_x0000_t176" fillcolor="#E97031" stroked="f" style="position:absolute;width:12.25pt;height:84.8pt;z-index:-1;margin-left:235.45pt;margin-top:252.25pt;mso-wrap-distance-left:0pt;mso-wrap-distance-right:0pt;mso-position-horizontal-relative:page;mso-position-vertical-relative:page">
            <w10:wrap type="square"/>
            <v:textbox inset="0pt, 0pt, 0pt, 0pt">
              <w:txbxContent/>
            </v:textbox>
          </v:shape>
        </w:pict>
      </w:r>
      <w:r>
        <w:pict>
          <v:shapetype id="_x0000_t177" coordsize="21600,21600" o:spt="202" path="m,l,21600r21600,l21600,xe">
            <v:stroke joinstyle="miter"/>
            <v:path gradientshapeok="t" o:connecttype="rect"/>
          </v:shapetype>
          <v:shape id="_x0000_s176" type="#_x0000_t177" fillcolor="#145F82" stroked="f" style="position:absolute;width:15.35pt;height:71.35pt;z-index:-1;margin-left:273.85pt;margin-top:265.7pt;mso-wrap-distance-left:0pt;mso-wrap-distance-right:0pt;mso-position-horizontal-relative:page;mso-position-vertical-relative:page">
            <w10:wrap type="square"/>
            <v:textbox inset="0pt, 0pt, 0pt, 0pt">
              <w:txbxContent/>
            </v:textbox>
          </v:shape>
        </w:pict>
      </w:r>
      <w:r>
        <w:pict>
          <v:shapetype id="_x0000_t178" coordsize="21600,21600" o:spt="202" path="m,l,21600r21600,l21600,xe">
            <v:stroke joinstyle="miter"/>
            <v:path gradientshapeok="t" o:connecttype="rect"/>
          </v:shapetype>
          <v:shape id="_x0000_s177" type="#_x0000_t178" fillcolor="#E97031" stroked="f" style="position:absolute;width:12.5pt;height:84.8pt;z-index:-1;margin-left:289.2pt;margin-top:252.25pt;mso-wrap-distance-left:0pt;mso-wrap-distance-right:0pt;mso-position-horizontal-relative:page;mso-position-vertical-relative:page">
            <w10:wrap type="square"/>
            <v:textbox inset="0pt, 0pt, 0pt, 0pt">
              <w:txbxContent/>
            </v:textbox>
          </v:shape>
        </w:pict>
      </w:r>
      <w:r>
        <w:pict>
          <v:shapetype id="_x0000_t179" coordsize="21600,21600" o:spt="202" path="m,l,21600r21600,l21600,xe">
            <v:stroke joinstyle="miter"/>
            <v:path gradientshapeok="t" o:connecttype="rect"/>
          </v:shapetype>
          <v:shape id="_x0000_s178" type="#_x0000_t179" fillcolor="#145F82" stroked="f" style="position:absolute;width:15.35pt;height:57.2pt;z-index:-1;margin-left:327.6pt;margin-top:279.85pt;mso-wrap-distance-left:0pt;mso-wrap-distance-right:0pt;mso-position-horizontal-relative:page;mso-position-vertical-relative:page">
            <w10:wrap type="square"/>
            <v:textbox inset="0pt, 0pt, 0pt, 0pt">
              <w:txbxContent/>
            </v:textbox>
          </v:shape>
        </w:pict>
      </w:r>
      <w:r>
        <w:pict>
          <v:shapetype id="_x0000_t180" coordsize="21600,21600" o:spt="202" path="m,l,21600r21600,l21600,xe">
            <v:stroke joinstyle="miter"/>
            <v:path gradientshapeok="t" o:connecttype="rect"/>
          </v:shapetype>
          <v:shape id="_x0000_s179" type="#_x0000_t180" fillcolor="#E97031" stroked="f" style="position:absolute;width:12.25pt;height:84.8pt;z-index:-1;margin-left:342.95pt;margin-top:252.25pt;mso-wrap-distance-left:0pt;mso-wrap-distance-right:0pt;mso-position-horizontal-relative:page;mso-position-vertical-relative:page">
            <w10:wrap type="square"/>
            <v:textbox inset="0pt, 0pt, 0pt, 0pt">
              <w:txbxContent/>
            </v:textbox>
          </v:shape>
        </w:pict>
      </w:r>
      <w:r>
        <w:pict>
          <v:shapetype id="_x0000_t181" coordsize="21600,21600" o:spt="202" path="m,l,21600r21600,l21600,xe">
            <v:stroke joinstyle="miter"/>
            <v:path gradientshapeok="t" o:connecttype="rect"/>
          </v:shapetype>
          <v:shape id="_x0000_s180" type="#_x0000_t181" fillcolor="#E97031" stroked="f" style="position:absolute;width:12.2pt;height:84.8pt;z-index:-1;margin-left:396.5pt;margin-top:252.25pt;mso-wrap-distance-left:0pt;mso-wrap-distance-right:0pt;mso-position-horizontal-relative:page;mso-position-vertical-relative:page">
            <w10:wrap type="square"/>
            <v:textbox inset="0pt, 0pt, 0pt, 0pt">
              <w:txbxContent/>
            </v:textbox>
          </v:shape>
        </w:pict>
      </w:r>
      <w:r>
        <w:pict>
          <v:shapetype id="_x0000_t182" coordsize="21600,21600" o:spt="202" path="m,l,21600r21600,l21600,xe">
            <v:stroke joinstyle="miter"/>
            <v:path gradientshapeok="t" o:connecttype="rect"/>
          </v:shapetype>
          <v:shape id="_x0000_s181" type="#_x0000_t182" fillcolor="#145F82" stroked="f" style="position:absolute;width:15.1pt;height:53.6pt;z-index:-1;margin-left:434.9pt;margin-top:283.45pt;mso-wrap-distance-left:0pt;mso-wrap-distance-right:0pt;mso-position-horizontal-relative:page;mso-position-vertical-relative:page">
            <w10:wrap type="square"/>
            <v:textbox inset="0pt, 0pt, 0pt, 0pt">
              <w:txbxContent/>
            </v:textbox>
          </v:shape>
        </w:pict>
      </w:r>
      <w:r>
        <w:pict>
          <v:shapetype id="_x0000_t183" coordsize="21600,21600" o:spt="202" path="m,l,21600r21600,l21600,xe">
            <v:stroke joinstyle="miter"/>
            <v:path gradientshapeok="t" o:connecttype="rect"/>
          </v:shapetype>
          <v:shape id="_x0000_s182" type="#_x0000_t183" fillcolor="#145F82" stroked="f" style="position:absolute;width:15.35pt;height:64.15pt;z-index:-1;margin-left:488.65pt;margin-top:272.9pt;mso-wrap-distance-left:0pt;mso-wrap-distance-right:0pt;mso-position-horizontal-relative:page;mso-position-vertical-relative:page">
            <w10:wrap type="square"/>
            <v:textbox inset="0pt, 0pt, 0pt, 0pt">
              <w:txbxContent/>
            </v:textbox>
          </v:shape>
        </w:pict>
      </w:r>
      <w:r>
        <w:pict>
          <v:shapetype id="_x0000_t184" coordsize="21600,21600" o:spt="202" path="m,l,21600r21600,l21600,xe">
            <v:stroke joinstyle="miter"/>
            <v:path gradientshapeok="t" o:connecttype="rect"/>
          </v:shapetype>
          <v:shape id="_x0000_s183" type="#_x0000_t184" fillcolor="#145F82" stroked="f" style="position:absolute;width:12.5pt;height:60.2pt;z-index:-1;margin-left:381.1pt;margin-top:276.5pt;mso-wrap-distance-left:0pt;mso-wrap-distance-right:0pt;mso-position-horizontal-relative:page;mso-position-vertical-relative:page">
            <w10:wrap type="square"/>
            <v:textbox inset="0pt, 0pt, 0pt, 0pt">
              <w:txbxContent/>
            </v:textbox>
          </v:shape>
        </w:pict>
      </w:r>
      <w:r>
        <w:pict>
          <v:shapetype id="_x0000_t185" coordsize="21600,21600" o:spt="202" path="m,l,21600r21600,l21600,xe">
            <v:stroke joinstyle="miter"/>
            <v:path gradientshapeok="t" o:connecttype="rect"/>
          </v:shapetype>
          <v:shape id="_x0000_s184" type="#_x0000_t185"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186" coordsize="21600,21600" o:spt="202" path="m,l,21600r21600,l21600,xe">
            <v:stroke joinstyle="miter"/>
            <v:path gradientshapeok="t" o:connecttype="rect"/>
          </v:shapetype>
          <v:shape id="_x0000_s185" type="#_x0000_t186" filled="f" stroked="f" style="position:absolute;width:612pt;height:98.05pt;z-index:1;margin-left:0pt;margin-top:94.45pt;mso-wrap-distance-left:0pt;mso-wrap-distance-right:0pt;mso-position-horizontal-relative:page;mso-position-vertical-relative:page">
            <w10:wrap anchorx="page" anchory="page"/>
            <v:fill opacity="1" o:opacity2="1" recolor="f" rotate="f" type="solid"/>
            <v:textbox inset="0pt, 0pt, 0pt, 0pt">
              <w:txbxContent>
                <w:p>
                  <w:pPr>
                    <w:spacing w:before="26"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Smoking and Binge Drinking</w:t>
                  </w:r>
                </w:p>
                <w:p>
                  <w:pPr>
                    <w:spacing w:before="225"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Smoking rates have decreased in each county from 2018 to 2022, while the rates of reported binge</w:t>
                  </w:r>
                </w:p>
                <w:p>
                  <w:pPr>
                    <w:spacing w:before="10" w:after="0" w:line="283"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drinking have increased, with the exception of Schuyler which remained unchanged (Figure 17). All rates exceed the New York State averages of 12 percent for smoking and 20 percent for binge drinking.</w:t>
                  </w:r>
                </w:p>
                <w:p>
                  <w:pPr>
                    <w:spacing w:before="411" w:after="90" w:line="180" w:lineRule="exact"/>
                    <w:ind w:right="0" w:left="158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17: Smoking and Binge Drinking</w:t>
                  </w:r>
                </w:p>
              </w:txbxContent>
            </v:textbox>
          </v:shape>
        </w:pict>
      </w:r>
      <w:r>
        <w:pict>
          <v:shapetype id="_x0000_t187" coordsize="21600,21600" o:spt="202" path="m,l,21600r21600,l21600,xe">
            <v:stroke joinstyle="miter"/>
            <v:path gradientshapeok="t" o:connecttype="rect"/>
          </v:shapetype>
          <v:shape id="_x0000_s186" type="#_x0000_t187" filled="f" stroked="f" style="position:absolute;width:612pt;height:131.45pt;z-index:1;margin-left:0pt;margin-top:387.2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Behavioral Risk Factor Surveillance System</w:t>
                  </w:r>
                </w:p>
                <w:p>
                  <w:pPr>
                    <w:spacing w:before="287" w:after="0" w:line="227"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Adverse Childhood Experiences</w:t>
                  </w:r>
                </w:p>
                <w:p>
                  <w:pPr>
                    <w:spacing w:before="153" w:after="0" w:line="290"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Adverse Childhood Experiences (ACEs) are those negative emotional and physical circumstances one experiences before age 18. They may include neglect, sexual abuse, parental divorce, mental illness and/or substance abuse in the home, and exposure to violence. ACEs impact individuals well into adulthood and may include physical and mental long-term health problems. The age-adjusted percentage of adults with two or more ACEs may be seen in Figure 18.</w:t>
                  </w:r>
                </w:p>
                <w:p>
                  <w:pPr>
                    <w:spacing w:before="103" w:after="24" w:line="180" w:lineRule="exact"/>
                    <w:ind w:right="0" w:left="201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18: Adverse Childhood Experiences</w:t>
                  </w:r>
                </w:p>
              </w:txbxContent>
            </v:textbox>
          </v:shape>
        </w:pict>
      </w:r>
      <w:r>
        <w:pict>
          <v:shapetype id="_x0000_t188" coordsize="21600,21600" o:spt="202" path="m,l,21600r21600,l21600,xe">
            <v:stroke joinstyle="miter"/>
            <v:path gradientshapeok="t" o:connecttype="rect"/>
          </v:shapetype>
          <v:shape id="_x0000_s187" type="#_x0000_t188" filled="f" stroked="f" style="position:absolute;width:612pt;height:17.15pt;z-index:1;margin-left:0pt;margin-top:699.7pt;mso-wrap-distance-left:0pt;mso-wrap-distance-right:0pt;mso-position-horizontal-relative:page;mso-position-vertical-relative:page">
            <w10:wrap anchorx="page" anchory="page"/>
            <v:fill opacity="1" o:opacity2="1" recolor="f" rotate="f" type="solid"/>
            <v:textbox inset="0pt, 0pt, 0pt, 0pt">
              <w:txbxContent>
                <w:p>
                  <w:pPr>
                    <w:spacing w:before="20" w:after="134" w:line="180" w:lineRule="exact"/>
                    <w:ind w:right="0" w:left="201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National Center for Health Statistics</w:t>
                  </w:r>
                </w:p>
              </w:txbxContent>
            </v:textbox>
          </v:shape>
        </w:pict>
      </w:r>
      <w:r>
        <w:pict>
          <v:shapetype id="_x0000_t189" coordsize="21600,21600" o:spt="202" path="m,l,21600r21600,l21600,xe">
            <v:stroke joinstyle="miter"/>
            <v:path gradientshapeok="t" o:connecttype="rect"/>
          </v:shapetype>
          <v:shape id="_x0000_s188" type="#_x0000_t189" filled="f" stroked="f" style="position:absolute;width:461.7pt;height:24.45pt;z-index:-1;margin-left:77.3pt;margin-top:192.5pt;mso-wrap-distance-left:0pt;mso-wrap-distance-right:0pt;mso-position-horizontal-relative:page;mso-position-vertical-relative:page">
            <w10:wrap type="square" side="both"/>
            <v:fill opacity="1" o:opacity2="1" recolor="f" rotate="f" type="solid"/>
            <v:textbox inset="0pt, 0pt, 0pt, 0pt">
              <w:txbxContent>
                <w:p>
                  <w:pPr>
                    <w:spacing w:before="198" w:after="0" w:line="286"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Smoking and Binge Drinking (2022)</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19.1pt;height:17.25pt;z-index:-1;margin-left:77.3pt;margin-top:216.95pt;mso-wrap-distance-left:0pt;mso-wrap-distance-right:442.6pt;mso-position-horizontal-relative:page;mso-position-vertical-relative:page">
            <w10:wrap type="square" side="both"/>
            <v:fill opacity="1" o:opacity2="1" recolor="f" rotate="f" type="solid"/>
            <v:textbox inset="0pt, 0pt, 0pt, 0pt">
              <w:txbxContent>
                <w:p>
                  <w:pPr>
                    <w:spacing w:before="166"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w:t>
                  </w:r>
                </w:p>
              </w:txbxContent>
            </v:textbox>
          </v:shape>
        </w:pict>
      </w:r>
      <w:r>
        <w:pict>
          <v:shapetype id="_x0000_t191" coordsize="21600,21600" o:spt="202" path="m,l,21600r21600,l21600,xe">
            <v:stroke joinstyle="miter"/>
            <v:path gradientshapeok="t" o:connecttype="rect"/>
          </v:shapetype>
          <v:shape id="_x0000_s190" type="#_x0000_t191" filled="f" stroked="f" style="position:absolute;width:461.7pt;height:8.4pt;z-index:-1;margin-left:77.3pt;margin-top:234.2pt;mso-wrap-distance-left:0pt;mso-wrap-distance-right:0pt;mso-position-horizontal-relative:page;mso-position-vertical-relative:page">
            <w10:wrap type="square" side="both"/>
            <v:fill opacity="1" o:opacity2="1" recolor="f" rotate="f" type="solid"/>
            <v:textbox inset="0pt, 0pt, 0pt, 0pt">
              <w:txbxContent>
                <w:p>
                  <w:pPr>
                    <w:spacing w:before="0" w:after="0" w:line="168" w:lineRule="exact"/>
                    <w:ind w:right="0" w:left="7416"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25</w:t>
                  </w: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431.75pt;height:9.65pt;z-index:-1;margin-left:83.05pt;margin-top:242.6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821"/>
                      <w:tab w:val="left" w:leader="none" w:pos="1901"/>
                      <w:tab w:val="left" w:leader="none" w:pos="2981"/>
                      <w:tab w:val="left" w:leader="none" w:pos="4061"/>
                      <w:tab w:val="left" w:leader="none" w:pos="5141"/>
                      <w:tab w:val="left" w:leader="none" w:pos="6221"/>
                      <w:tab w:val="left" w:leader="none" w:pos="8381"/>
                    </w:tabs>
                    <w:spacing w:before="0" w:after="0" w:line="188" w:lineRule="exact"/>
                    <w:ind w:right="0" w:left="0" w:firstLine="0"/>
                    <w:jc w:val="left"/>
                    <w:textAlignment w:val="baseline"/>
                    <w:rPr>
                      <w:rFonts w:ascii="Calibri" w:hAnsi="Calibri" w:eastAsia="Calibri"/>
                      <w:color w:val="585858"/>
                      <w:spacing w:val="-1"/>
                      <w:w w:val="100"/>
                      <w:sz w:val="18"/>
                      <w:vertAlign w:val="baseline"/>
                      <w:lang w:val="en-US"/>
                    </w:rPr>
                  </w:pPr>
                  <w:r>
                    <w:rPr>
                      <w:rFonts w:ascii="Calibri" w:hAnsi="Calibri" w:eastAsia="Calibri"/>
                      <w:color w:val="585858"/>
                      <w:spacing w:val="-1"/>
                      <w:w w:val="100"/>
                      <w:sz w:val="18"/>
                      <w:vertAlign w:val="baseline"/>
                      <w:lang w:val="en-US"/>
                    </w:rPr>
                    <w:t xml:space="preserve">25</w:t>
                  </w:r>
                  <w:r>
                    <w:rPr>
                      <w:rFonts w:ascii="Calibri" w:hAnsi="Calibri" w:eastAsia="Calibri"/>
                      <w:color w:val="404040"/>
                      <w:spacing w:val="-1"/>
                      <w:w w:val="100"/>
                      <w:sz w:val="18"/>
                      <w:u w:val="single"/>
                      <w:vertAlign w:val="baseline"/>
                      <w:lang w:val="en-US"/>
                    </w:rPr>
                    <w:t xml:space="preserve"> 	</w:t>
                  </w:r>
                  <w:r>
                    <w:rPr>
                      <w:rFonts w:ascii="Calibri" w:hAnsi="Calibri" w:eastAsia="Calibri"/>
                      <w:color w:val="404040"/>
                      <w:spacing w:val="-1"/>
                      <w:w w:val="100"/>
                      <w:sz w:val="18"/>
                      <w:u w:val="single"/>
                      <w:vertAlign w:val="baseline"/>
                      <w:lang w:val="en-US"/>
                    </w:rPr>
                    <w:t xml:space="preserve">22	</w:t>
                  </w:r>
                  <w:r>
                    <w:rPr>
                      <w:rFonts w:ascii="Calibri" w:hAnsi="Calibri" w:eastAsia="Calibri"/>
                      <w:color w:val="404040"/>
                      <w:spacing w:val="-1"/>
                      <w:w w:val="100"/>
                      <w:sz w:val="18"/>
                      <w:u w:val="single"/>
                      <w:vertAlign w:val="baseline"/>
                      <w:lang w:val="en-US"/>
                    </w:rPr>
                    <w:t xml:space="preserve">23	</w:t>
                  </w:r>
                  <w:r>
                    <w:rPr>
                      <w:rFonts w:ascii="Calibri" w:hAnsi="Calibri" w:eastAsia="Calibri"/>
                      <w:color w:val="404040"/>
                      <w:spacing w:val="-1"/>
                      <w:w w:val="100"/>
                      <w:sz w:val="18"/>
                      <w:u w:val="single"/>
                      <w:vertAlign w:val="baseline"/>
                      <w:lang w:val="en-US"/>
                    </w:rPr>
                    <w:t xml:space="preserve">23	</w:t>
                  </w:r>
                  <w:r>
                    <w:rPr>
                      <w:rFonts w:ascii="Calibri" w:hAnsi="Calibri" w:eastAsia="Calibri"/>
                      <w:color w:val="404040"/>
                      <w:spacing w:val="-1"/>
                      <w:w w:val="100"/>
                      <w:sz w:val="18"/>
                      <w:u w:val="single"/>
                      <w:vertAlign w:val="baseline"/>
                      <w:lang w:val="en-US"/>
                    </w:rPr>
                    <w:t xml:space="preserve">23	</w:t>
                  </w:r>
                  <w:r>
                    <w:rPr>
                      <w:rFonts w:ascii="Calibri" w:hAnsi="Calibri" w:eastAsia="Calibri"/>
                      <w:color w:val="404040"/>
                      <w:spacing w:val="-1"/>
                      <w:w w:val="100"/>
                      <w:sz w:val="18"/>
                      <w:vertAlign w:val="baseline"/>
                      <w:lang w:val="en-US"/>
                    </w:rPr>
                    <w:t xml:space="preserve">22	</w:t>
                  </w:r>
                  <w:r>
                    <w:rPr>
                      <w:rFonts w:ascii="Calibri" w:hAnsi="Calibri" w:eastAsia="Calibri"/>
                      <w:color w:val="404040"/>
                      <w:spacing w:val="-1"/>
                      <w:w w:val="100"/>
                      <w:sz w:val="18"/>
                      <w:vertAlign w:val="baseline"/>
                      <w:lang w:val="en-US"/>
                    </w:rPr>
                    <w:t xml:space="preserve">22	</w:t>
                  </w:r>
                  <w:r>
                    <w:rPr>
                      <w:rFonts w:ascii="Calibri" w:hAnsi="Calibri" w:eastAsia="Calibri"/>
                      <w:color w:val="404040"/>
                      <w:spacing w:val="-1"/>
                      <w:w w:val="100"/>
                      <w:sz w:val="18"/>
                      <w:vertAlign w:val="baseline"/>
                      <w:lang w:val="en-US"/>
                    </w:rPr>
                    <w:t xml:space="preserve">22</w:t>
                  </w:r>
                </w:p>
              </w:txbxContent>
            </v:textbox>
          </v:shape>
        </w:pict>
      </w:r>
      <w:r>
        <w:pict>
          <v:shapetype id="_x0000_t193" coordsize="21600,21600" o:spt="202" path="m,l,21600r21600,l21600,xe">
            <v:stroke joinstyle="miter"/>
            <v:path gradientshapeok="t" o:connecttype="rect"/>
          </v:shapetype>
          <v:shape id="_x0000_s192" type="#_x0000_t193" filled="f" stroked="f" style="position:absolute;width:18.3pt;height:25.5pt;z-index:-1;margin-left:78.1pt;margin-top:252.25pt;mso-wrap-distance-left:0pt;mso-wrap-distance-right:0pt;mso-position-horizontal-relative:page;mso-position-vertical-relative:page">
            <w10:wrap type="square" side="both"/>
            <v:fill opacity="1" o:opacity2="1" recolor="f" rotate="f" type="solid"/>
            <v:textbox inset="0pt, 0pt, 0pt, 0pt">
              <w:txbxContent>
                <w:p>
                  <w:pPr>
                    <w:spacing w:before="175" w:after="145"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txbxContent>
            </v:textbox>
          </v:shape>
        </w:pict>
      </w:r>
      <w:r>
        <w:pict>
          <v:shapetype id="_x0000_t194" coordsize="21600,21600" o:spt="202" path="m,l,21600r21600,l21600,xe">
            <v:stroke joinstyle="miter"/>
            <v:path gradientshapeok="t" o:connecttype="rect"/>
          </v:shapetype>
          <v:shape id="_x0000_s193" type="#_x0000_t194" filled="f" stroked="f" style="position:absolute;width:18.3pt;height:18pt;z-index:-1;margin-left:78.1pt;margin-top:277.75pt;mso-wrap-distance-left:0pt;mso-wrap-distance-right:0pt;mso-position-horizontal-relative:page;mso-position-vertical-relative:page">
            <w10:wrap type="square" side="both"/>
            <v:fill opacity="1" o:opacity2="1" recolor="f" rotate="f" type="solid"/>
            <v:textbox inset="0pt, 0pt, 0pt, 0pt">
              <w:txbxContent>
                <w:p>
                  <w:pPr>
                    <w:spacing w:before="20" w:after="15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w:t>
                  </w:r>
                </w:p>
              </w:txbxContent>
            </v:textbox>
          </v:shape>
        </w:pict>
      </w:r>
      <w:r>
        <w:pict>
          <v:shapetype id="_x0000_t195" coordsize="21600,21600" o:spt="202" path="m,l,21600r21600,l21600,xe">
            <v:stroke joinstyle="miter"/>
            <v:path gradientshapeok="t" o:connecttype="rect"/>
          </v:shapetype>
          <v:shape id="_x0000_s194" type="#_x0000_t195" filled="f" stroked="f" style="position:absolute;width:18.3pt;height:17.8pt;z-index:-1;margin-left:78.1pt;margin-top:295.75pt;mso-wrap-distance-left:0pt;mso-wrap-distance-right:0pt;mso-position-horizontal-relative:page;mso-position-vertical-relative:page">
            <w10:wrap type="square" side="both"/>
            <v:fill opacity="1" o:opacity2="1" recolor="f" rotate="f" type="solid"/>
            <v:textbox inset="0pt, 0pt, 0pt, 0pt">
              <w:txbxContent>
                <w:p>
                  <w:pPr>
                    <w:spacing w:before="20" w:after="15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txbxContent>
            </v:textbox>
          </v:shape>
        </w:pict>
      </w:r>
      <w:r>
        <w:pict>
          <v:shapetype id="_x0000_t196" coordsize="21600,21600" o:spt="202" path="m,l,21600r21600,l21600,xe">
            <v:stroke joinstyle="miter"/>
            <v:path gradientshapeok="t" o:connecttype="rect"/>
          </v:shapetype>
          <v:shape id="_x0000_s195" type="#_x0000_t196" filled="f" stroked="f" style="position:absolute;width:18.3pt;height:18pt;z-index:-1;margin-left:78.1pt;margin-top:313.55pt;mso-wrap-distance-left:0pt;mso-wrap-distance-right:0pt;mso-position-horizontal-relative:page;mso-position-vertical-relative:page">
            <w10:wrap type="square" side="both"/>
            <v:fill opacity="1" o:opacity2="1" recolor="f" rotate="f" type="solid"/>
            <v:textbox inset="0pt, 0pt, 0pt, 0pt">
              <w:txbxContent>
                <w:p>
                  <w:pPr>
                    <w:spacing w:before="20" w:after="154" w:line="179"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w:t>
                  </w:r>
                </w:p>
              </w:txbxContent>
            </v:textbox>
          </v:shape>
        </w:pict>
      </w:r>
      <w:r>
        <w:pict>
          <v:shapetype id="_x0000_t197" coordsize="21600,21600" o:spt="202" path="m,l,21600r21600,l21600,xe">
            <v:stroke joinstyle="miter"/>
            <v:path gradientshapeok="t" o:connecttype="rect"/>
          </v:shapetype>
          <v:shape id="_x0000_s196" type="#_x0000_t197" filled="f" stroked="f" style="position:absolute;width:18.3pt;height:9.95pt;z-index:-1;margin-left:78.1pt;margin-top:331.55pt;mso-wrap-distance-left:0pt;mso-wrap-distance-right:0pt;mso-position-horizontal-relative:page;mso-position-vertical-relative:page">
            <w10:wrap type="square" side="both"/>
            <v:fill opacity="1" o:opacity2="1" recolor="f" rotate="f" type="solid"/>
            <v:textbox inset="0pt, 0pt, 0pt, 0pt">
              <w:txbxContent>
                <w:p>
                  <w:pPr>
                    <w:spacing w:before="20" w:after="0" w:line="174" w:lineRule="exact"/>
                    <w:ind w:right="0" w:left="14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xbxContent>
            </v:textbox>
          </v:shape>
        </w:pict>
      </w:r>
      <w:r>
        <w:pict>
          <v:shapetype id="_x0000_t198" coordsize="21600,21600" o:spt="202" path="m,l,21600r21600,l21600,xe">
            <v:stroke joinstyle="miter"/>
            <v:path gradientshapeok="t" o:connecttype="rect"/>
          </v:shapetype>
          <v:shape id="_x0000_s197" type="#_x0000_t198" filled="f" stroked="f" style="position:absolute;width:15.1pt;height:13.75pt;z-index:-1;margin-left:166.8pt;margin-top:266.1pt;mso-wrap-distance-left:0pt;mso-wrap-distance-right:0pt;mso-position-horizontal-relative:page;mso-position-vertical-relative:page">
            <w10:wrap type="square" side="both"/>
            <v:fill opacity="1" o:opacity2="1" recolor="f" rotate="f" type="solid"/>
            <v:textbox inset="0pt, 0pt, 0pt, 0pt">
              <w:txbxContent>
                <w:p>
                  <w:pPr>
                    <w:spacing w:before="0" w:after="92" w:line="173"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16</w:t>
                  </w:r>
                </w:p>
              </w:txbxContent>
            </v:textbox>
          </v:shape>
        </w:pict>
      </w:r>
      <w:r>
        <w:pict>
          <v:shapetype id="_x0000_t199" coordsize="21600,21600" o:spt="202" path="m,l,21600r21600,l21600,xe">
            <v:stroke joinstyle="miter"/>
            <v:path gradientshapeok="t" o:connecttype="rect"/>
          </v:shapetype>
          <v:shape id="_x0000_s198" type="#_x0000_t199" filled="f" stroked="f" style="position:absolute;width:15.15pt;height:20.95pt;z-index:-1;margin-left:220.3pt;margin-top:266.1pt;mso-wrap-distance-left:0pt;mso-wrap-distance-right:0pt;mso-position-horizontal-relative:page;mso-position-vertical-relative:page">
            <w10:wrap type="square" side="both"/>
            <v:fill opacity="1" o:opacity2="1" recolor="f" rotate="f" type="solid"/>
            <v:textbox inset="0pt, 0pt, 0pt, 0pt">
              <w:txbxContent>
                <w:p>
                  <w:pPr>
                    <w:spacing w:before="138" w:after="92" w:line="17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14</w:t>
                  </w:r>
                </w:p>
              </w:txbxContent>
            </v:textbox>
          </v:shape>
        </w:pict>
      </w:r>
      <w:r>
        <w:pict>
          <v:shapetype id="_x0000_t200" coordsize="21600,21600" o:spt="202" path="m,l,21600r21600,l21600,xe">
            <v:stroke joinstyle="miter"/>
            <v:path gradientshapeok="t" o:connecttype="rect"/>
          </v:shapetype>
          <v:shape id="_x0000_s199" type="#_x0000_t200" filled="f" stroked="f" style="position:absolute;width:15.35pt;height:13.45pt;z-index:-1;margin-left:273.85pt;margin-top:252.25pt;mso-wrap-distance-left:0pt;mso-wrap-distance-right:0pt;mso-position-horizontal-relative:page;mso-position-vertical-relative:page">
            <w10:wrap type="square" side="both"/>
            <v:fill opacity="1" o:opacity2="1" recolor="f" rotate="f" type="solid"/>
            <v:textbox inset="0pt, 0pt, 0pt, 0pt">
              <w:txbxContent>
                <w:p>
                  <w:pPr>
                    <w:spacing w:before="0" w:after="106" w:line="162"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20</w:t>
                  </w:r>
                </w:p>
              </w:txbxContent>
            </v:textbox>
          </v:shape>
        </w:pict>
      </w:r>
      <w:r>
        <w:pict>
          <v:shapetype id="_x0000_t201" coordsize="21600,21600" o:spt="202" path="m,l,21600r21600,l21600,xe">
            <v:stroke joinstyle="miter"/>
            <v:path gradientshapeok="t" o:connecttype="rect"/>
          </v:shapetype>
          <v:shape id="_x0000_s200" type="#_x0000_t201" filled="f" stroked="f" style="position:absolute;width:15.35pt;height:13.75pt;z-index:-1;margin-left:327.6pt;margin-top:266.1pt;mso-wrap-distance-left:0pt;mso-wrap-distance-right:0pt;mso-position-horizontal-relative:page;mso-position-vertical-relative:page">
            <w10:wrap type="square" side="both"/>
            <v:fill opacity="1" o:opacity2="1" recolor="f" rotate="f" type="solid"/>
            <v:textbox inset="0pt, 0pt, 0pt, 0pt">
              <w:txbxContent>
                <w:p>
                  <w:pPr>
                    <w:spacing w:before="0" w:after="92" w:line="173"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16</w:t>
                  </w:r>
                </w:p>
              </w:txbxContent>
            </v:textbox>
          </v:shape>
        </w:pict>
      </w:r>
      <w:r>
        <w:pict>
          <v:shapetype id="_x0000_t202" coordsize="21600,21600" o:spt="202" path="m,l,21600r21600,l21600,xe">
            <v:stroke joinstyle="miter"/>
            <v:path gradientshapeok="t" o:connecttype="rect"/>
          </v:shapetype>
          <v:shape id="_x0000_s201" type="#_x0000_t202" filled="f" stroked="f" style="position:absolute;width:15.1pt;height:17.35pt;z-index:-1;margin-left:434.9pt;margin-top:266.1pt;mso-wrap-distance-left:0pt;mso-wrap-distance-right:0pt;mso-position-horizontal-relative:page;mso-position-vertical-relative:page">
            <w10:wrap type="square" side="both"/>
            <v:fill opacity="1" o:opacity2="1" recolor="f" rotate="f" type="solid"/>
            <v:textbox inset="0pt, 0pt, 0pt, 0pt">
              <w:txbxContent>
                <w:p>
                  <w:pPr>
                    <w:spacing w:before="66" w:after="92" w:line="17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15</w:t>
                  </w:r>
                </w:p>
              </w:txbxContent>
            </v:textbox>
          </v:shape>
        </w:pict>
      </w:r>
      <w:r>
        <w:pict>
          <v:shapetype id="_x0000_t203" coordsize="21600,21600" o:spt="202" path="m,l,21600r21600,l21600,xe">
            <v:stroke joinstyle="miter"/>
            <v:path gradientshapeok="t" o:connecttype="rect"/>
          </v:shapetype>
          <v:shape id="_x0000_s202" type="#_x0000_t203" filled="f" stroked="f" style="position:absolute;width:15.35pt;height:20.65pt;z-index:-1;margin-left:488.65pt;margin-top:252.25pt;mso-wrap-distance-left:0pt;mso-wrap-distance-right:0pt;mso-position-horizontal-relative:page;mso-position-vertical-relative:page">
            <w10:wrap type="square" side="both"/>
            <v:fill opacity="1" o:opacity2="1" recolor="f" rotate="f" type="solid"/>
            <v:textbox inset="0pt, 0pt, 0pt, 0pt">
              <w:txbxContent>
                <w:p>
                  <w:pPr>
                    <w:spacing w:before="127" w:after="86" w:line="199" w:lineRule="exact"/>
                    <w:ind w:right="0" w:left="0" w:firstLine="0"/>
                    <w:jc w:val="left"/>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18</w:t>
                  </w:r>
                  <w:r>
                    <w:rPr>
                      <w:rFonts w:ascii="Calibri" w:hAnsi="Calibri" w:eastAsia="Calibri"/>
                      <w:color w:val="404040"/>
                      <w:spacing w:val="0"/>
                      <w:w w:val="100"/>
                      <w:sz w:val="18"/>
                      <w:vertAlign w:val="baseline"/>
                      <w:lang w:val="en-US"/>
                    </w:rPr>
                    <w:t xml:space="preserve">
</w:t>
                  </w: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25.2pt;height:84.8pt;z-index:-1;margin-left:504pt;margin-top:252.25pt;mso-wrap-distance-left:0pt;mso-wrap-distance-right:0pt;mso-position-horizontal-relative:page;mso-position-vertical-relative:page">
            <w10:wrap type="square" side="both"/>
            <v:fill opacity="1" o:opacity2="1" recolor="f" rotate="f" type="solid"/>
            <v:textbox inset="0pt, 0pt, 0pt, 0pt">
              <w:txbxContent>
                <w:p>
                  <w:pPr>
                    <w:spacing w:before="125" w:after="7" w:line="240" w:lineRule="auto"/>
                    <w:ind w:right="0" w:left="0"/>
                    <w:jc w:val="left"/>
                    <w:textAlignment w:val="baseline"/>
                  </w:pPr>
                  <w:r>
                    <w:drawing>
                      <wp:inline>
                        <wp:extent cx="320040" cy="993140"/>
                        <wp:docPr name="Picture" id="50"/>
                        <a:graphic>
                          <a:graphicData uri="http://schemas.openxmlformats.org/drawingml/2006/picture">
                            <pic:pic>
                              <pic:nvPicPr>
                                <pic:cNvPr id="50" name="Picture"/>
                                <pic:cNvPicPr preferRelativeResize="false"/>
                              </pic:nvPicPr>
                              <pic:blipFill>
                                <a:blip r:embed="prId50"/>
                                <a:stretch>
                                  <a:fillRect/>
                                </a:stretch>
                              </pic:blipFill>
                              <pic:spPr>
                                <a:xfrm>
                                  <a:off x="0" y="0"/>
                                  <a:ext cx="320040" cy="993140"/>
                                </a:xfrm>
                                <a:prstGeom prst="rect"/>
                              </pic:spPr>
                            </pic:pic>
                          </a:graphicData>
                        </a:graphic>
                      </wp:inline>
                    </w:drawing>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17.9pt;height:9.95pt;z-index:-1;margin-left:110.25pt;margin-top:264.8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16</w:t>
                  </w:r>
                </w:p>
              </w:txbxContent>
            </v:textbox>
          </v:shape>
        </w:pict>
      </w:r>
      <w:r>
        <w:pict>
          <v:shapetype id="_x0000_t206" coordsize="21600,21600" o:spt="202" path="m,l,21600r21600,l21600,xe">
            <v:stroke joinstyle="miter"/>
            <v:path gradientshapeok="t" o:connecttype="rect"/>
          </v:shapetype>
          <v:shape id="_x0000_s205" type="#_x0000_t206" filled="f" stroked="f" style="position:absolute;width:17.45pt;height:10.95pt;z-index:-1;margin-left:379.05pt;margin-top:261.2pt;mso-wrap-distance-left:0pt;mso-wrap-distance-right:0pt;mso-position-horizontal-relative:page;mso-position-vertical-relative:page">
            <w10:wrap type="square" side="both"/>
            <v:fill opacity="1" o:opacity2="1" recolor="f" rotate="f" type="solid"/>
            <v:textbox inset="0pt, 0pt, 0pt, 0pt">
              <w:txbxContent>
                <w:p>
                  <w:pPr>
                    <w:spacing w:before="20" w:after="0" w:line="184" w:lineRule="exact"/>
                    <w:ind w:right="0" w:left="0" w:firstLine="0"/>
                    <w:jc w:val="left"/>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17</w:t>
                  </w:r>
                  <w:r>
                    <w:rPr>
                      <w:rFonts w:ascii="Calibri" w:hAnsi="Calibri" w:eastAsia="Calibri"/>
                      <w:color w:val="404040"/>
                      <w:spacing w:val="0"/>
                      <w:w w:val="100"/>
                      <w:sz w:val="18"/>
                      <w:vertAlign w:val="baseline"/>
                      <w:lang w:val="en-US"/>
                    </w:rPr>
                    <w:t xml:space="preserve">
</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25.45pt;height:56.85pt;z-index:-1;margin-left:99.6pt;margin-top:279.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323215" cy="721995"/>
                        <wp:docPr name="Picture" id="51"/>
                        <a:graphic>
                          <a:graphicData uri="http://schemas.openxmlformats.org/drawingml/2006/picture">
                            <pic:pic>
                              <pic:nvPicPr>
                                <pic:cNvPr id="51" name="Picture"/>
                                <pic:cNvPicPr preferRelativeResize="false"/>
                              </pic:nvPicPr>
                              <pic:blipFill>
                                <a:blip r:embed="prId51"/>
                                <a:stretch>
                                  <a:fillRect/>
                                </a:stretch>
                              </pic:blipFill>
                              <pic:spPr>
                                <a:xfrm>
                                  <a:off x="0" y="0"/>
                                  <a:ext cx="323215" cy="721995"/>
                                </a:xfrm>
                                <a:prstGeom prst="rect"/>
                              </pic:spPr>
                            </pic:pic>
                          </a:graphicData>
                        </a:graphic>
                      </wp:inline>
                    </w:drawing>
                  </w:r>
                </w:p>
              </w:txbxContent>
            </v:textbox>
          </v:shape>
        </w:pict>
      </w:r>
      <w:r>
        <w:pict>
          <v:shapetype id="_x0000_t208" coordsize="21600,21600" o:spt="202" path="m,l,21600r21600,l21600,xe">
            <v:stroke joinstyle="miter"/>
            <v:path gradientshapeok="t" o:connecttype="rect"/>
          </v:shapetype>
          <v:shape id="_x0000_s207" type="#_x0000_t208" filled="f" stroked="f" style="position:absolute;width:461.7pt;height:11.8pt;z-index:-1;margin-left:77.3pt;margin-top:341.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728"/>
                      <w:tab w:val="left" w:leader="none" w:pos="2880"/>
                      <w:tab w:val="left" w:leader="none" w:pos="3888"/>
                      <w:tab w:val="left" w:leader="none" w:pos="5040"/>
                      <w:tab w:val="left" w:leader="none" w:pos="6048"/>
                      <w:tab w:val="left" w:leader="none" w:pos="7200"/>
                      <w:tab w:val="left" w:leader="none" w:pos="8208"/>
                    </w:tabs>
                    <w:spacing w:before="51" w:after="0" w:line="180" w:lineRule="exact"/>
                    <w:ind w:right="0" w:left="648"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209" coordsize="21600,21600" o:spt="202" path="m,l,21600r21600,l21600,xe">
            <v:stroke joinstyle="miter"/>
            <v:path gradientshapeok="t" o:connecttype="rect"/>
          </v:shapetype>
          <v:shape id="_x0000_s208" type="#_x0000_t209" filled="f" stroked="f" style="position:absolute;width:275.5pt;height:33.9pt;z-index:-1;margin-left:263.5pt;margin-top:353.3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884"/>
                    </w:tabs>
                    <w:spacing w:before="218" w:after="273"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Smoking 	</w:t>
                  </w:r>
                  <w:r>
                    <w:rPr>
                      <w:rFonts w:ascii="Calibri" w:hAnsi="Calibri" w:eastAsia="Calibri"/>
                      <w:color w:val="585858"/>
                      <w:spacing w:val="0"/>
                      <w:w w:val="100"/>
                      <w:sz w:val="18"/>
                      <w:vertAlign w:val="baseline"/>
                      <w:lang w:val="en-US"/>
                    </w:rPr>
                    <w:t xml:space="preserve">Binge Drinking</w:t>
                  </w:r>
                </w:p>
              </w:txbxContent>
            </v:textbox>
          </v:shape>
        </w:pict>
      </w:r>
      <w:r>
        <w:pict>
          <v:shapetype id="_x0000_t210" coordsize="21600,21600" o:spt="202" path="m,l,21600r21600,l21600,xe">
            <v:stroke joinstyle="miter"/>
            <v:path gradientshapeok="t" o:connecttype="rect"/>
          </v:shapetype>
          <v:shape id="_x0000_s209" type="#_x0000_t210" filled="f" stroked="f" style="position:absolute;width:186.2pt;height:32.5pt;z-index:-1;margin-left:77.3pt;margin-top:353.3pt;mso-wrap-distance-left:0pt;mso-wrap-distance-right:0pt;mso-position-horizontal-relative:page;mso-position-vertical-relative:page">
            <w10:wrap type="square" side="both"/>
            <v:fill opacity="1" o:opacity2="1" recolor="f" rotate="f" type="solid"/>
            <v:textbox inset="0pt, 0pt, 0pt, 0pt">
              <w:txbxContent>
                <w:p>
                  <w:pPr>
                    <w:spacing w:before="259" w:after="290" w:line="101" w:lineRule="exact"/>
                    <w:ind w:right="52" w:left="3566"/>
                    <w:jc w:val="left"/>
                    <w:textAlignment w:val="baseline"/>
                  </w:pPr>
                  <w:r>
                    <w:drawing>
                      <wp:inline>
                        <wp:extent cx="67310" cy="64135"/>
                        <wp:docPr name="Picture" id="52"/>
                        <a:graphic>
                          <a:graphicData uri="http://schemas.openxmlformats.org/drawingml/2006/picture">
                            <pic:pic>
                              <pic:nvPicPr>
                                <pic:cNvPr id="52" name="Picture"/>
                                <pic:cNvPicPr preferRelativeResize="false"/>
                              </pic:nvPicPr>
                              <pic:blipFill>
                                <a:blip r:embed="prId52"/>
                                <a:stretch>
                                  <a:fillRect/>
                                </a:stretch>
                              </pic:blipFill>
                              <pic:spPr>
                                <a:xfrm>
                                  <a:off x="0" y="0"/>
                                  <a:ext cx="67310" cy="64135"/>
                                </a:xfrm>
                                <a:prstGeom prst="rect"/>
                              </pic:spPr>
                            </pic:pic>
                          </a:graphicData>
                        </a:graphic>
                      </wp:inline>
                    </w:drawing>
                  </w:r>
                </w:p>
              </w:txbxContent>
            </v:textbox>
          </v:shape>
        </w:pict>
      </w:r>
      <w:r>
        <w:pict>
          <v:shapetype id="_x0000_t211" coordsize="21600,21600" o:spt="202" path="m,l,21600r21600,l21600,xe">
            <v:stroke joinstyle="miter"/>
            <v:path gradientshapeok="t" o:connecttype="rect"/>
          </v:shapetype>
          <v:shape id="_x0000_s210" type="#_x0000_t211" filled="f" stroked="f" style="position:absolute;width:407.5pt;height:66.7pt;z-index:-1;margin-left:101.3pt;margin-top:518.65pt;mso-wrap-distance-left:0pt;mso-wrap-distance-right:0pt;mso-position-horizontal-relative:page;mso-position-vertical-relative:page">
            <w10:wrap type="square" side="both"/>
            <v:fill opacity="1" o:opacity2="1" recolor="f" rotate="f" type="solid"/>
            <v:textbox inset="0pt, 0pt, 0pt, 0pt">
              <w:txbxContent>
                <w:p>
                  <w:pPr>
                    <w:spacing w:before="140" w:after="0" w:line="345"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Age-Adjusted Percentage of Adults who Report Two or</w:t>
                    <w:br/>
                  </w:r>
                  <w:r>
                    <w:rPr>
                      <w:rFonts w:ascii="Calibri" w:hAnsi="Calibri" w:eastAsia="Calibri"/>
                      <w:color w:val="585858"/>
                      <w:spacing w:val="0"/>
                      <w:w w:val="100"/>
                      <w:sz w:val="28"/>
                      <w:vertAlign w:val="baseline"/>
                      <w:lang w:val="en-US"/>
                    </w:rPr>
                    <w:t xml:space="preserve">More Adverse Childhood Experiences (2021)</w:t>
                  </w:r>
                </w:p>
                <w:p>
                  <w:pPr>
                    <w:tabs>
                      <w:tab w:val="left" w:leader="none" w:pos="2088"/>
                      <w:tab w:val="left" w:leader="none" w:pos="3240"/>
                      <w:tab w:val="left" w:leader="none" w:pos="4392"/>
                      <w:tab w:val="left" w:leader="none" w:pos="5472"/>
                      <w:tab w:val="left" w:leader="none" w:pos="6624"/>
                      <w:tab w:val="right" w:leader="none" w:pos="7992"/>
                    </w:tabs>
                    <w:spacing w:before="180" w:after="130" w:line="179" w:lineRule="exact"/>
                    <w:ind w:right="0" w:left="93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	</w:t>
                  </w:r>
                  <w:r>
                    <w:rPr>
                      <w:rFonts w:ascii="Calibri" w:hAnsi="Calibri" w:eastAsia="Calibri"/>
                      <w:color w:val="585858"/>
                      <w:spacing w:val="0"/>
                      <w:w w:val="100"/>
                      <w:sz w:val="18"/>
                      <w:vertAlign w:val="baseline"/>
                      <w:lang w:val="en-US"/>
                    </w:rPr>
                    <w:t xml:space="preserve">10	</w:t>
                  </w:r>
                  <w:r>
                    <w:rPr>
                      <w:rFonts w:ascii="Calibri" w:hAnsi="Calibri" w:eastAsia="Calibri"/>
                      <w:color w:val="585858"/>
                      <w:spacing w:val="0"/>
                      <w:w w:val="100"/>
                      <w:sz w:val="18"/>
                      <w:vertAlign w:val="baseline"/>
                      <w:lang w:val="en-US"/>
                    </w:rPr>
                    <w:t xml:space="preserve">20	</w:t>
                  </w:r>
                  <w:r>
                    <w:rPr>
                      <w:rFonts w:ascii="Calibri" w:hAnsi="Calibri" w:eastAsia="Calibri"/>
                      <w:color w:val="585858"/>
                      <w:spacing w:val="0"/>
                      <w:w w:val="100"/>
                      <w:sz w:val="18"/>
                      <w:vertAlign w:val="baseline"/>
                      <w:lang w:val="en-US"/>
                    </w:rPr>
                    <w:t xml:space="preserve">30	</w:t>
                  </w:r>
                  <w:r>
                    <w:rPr>
                      <w:rFonts w:ascii="Calibri" w:hAnsi="Calibri" w:eastAsia="Calibri"/>
                      <w:color w:val="585858"/>
                      <w:spacing w:val="0"/>
                      <w:w w:val="100"/>
                      <w:sz w:val="18"/>
                      <w:vertAlign w:val="baseline"/>
                      <w:lang w:val="en-US"/>
                    </w:rPr>
                    <w:t xml:space="preserve">40	</w:t>
                  </w:r>
                  <w:r>
                    <w:rPr>
                      <w:rFonts w:ascii="Calibri" w:hAnsi="Calibri" w:eastAsia="Calibri"/>
                      <w:color w:val="585858"/>
                      <w:spacing w:val="0"/>
                      <w:w w:val="100"/>
                      <w:sz w:val="18"/>
                      <w:vertAlign w:val="baseline"/>
                      <w:lang w:val="en-US"/>
                    </w:rPr>
                    <w:t xml:space="preserve">50	</w:t>
                  </w:r>
                  <w:r>
                    <w:rPr>
                      <w:rFonts w:ascii="Calibri" w:hAnsi="Calibri" w:eastAsia="Calibri"/>
                      <w:color w:val="585858"/>
                      <w:spacing w:val="0"/>
                      <w:w w:val="100"/>
                      <w:sz w:val="18"/>
                      <w:vertAlign w:val="baseline"/>
                      <w:lang w:val="en-US"/>
                    </w:rPr>
                    <w:t xml:space="preserve">60</w:t>
                  </w:r>
                </w:p>
              </w:txbxContent>
            </v:textbox>
          </v:shape>
        </w:pict>
      </w:r>
      <w:r>
        <w:pict>
          <v:shapetype id="_x0000_t212" coordsize="21600,21600" o:spt="202" path="m,l,21600r21600,l21600,xe">
            <v:stroke joinstyle="miter"/>
            <v:path gradientshapeok="t" o:connecttype="rect"/>
          </v:shapetype>
          <v:shape id="_x0000_s211" type="#_x0000_t212" filled="f" stroked="f" style="position:absolute;width:393.25pt;height:99.15pt;z-index:-1;margin-left:101.3pt;margin-top:585.3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22"/>
                    <w:gridCol w:w="5693"/>
                    <w:gridCol w:w="1150"/>
                  </w:tblGrid>
                  <w:tr>
                    <w:trPr>
                      <w:trHeight w:val="1982" w:hRule="exact"/>
                    </w:trPr>
                    <w:tc>
                      <w:tcPr>
                        <w:tcW w:w="1022" w:type="dxa"/>
                        <w:tcBorders>
                          <w:top w:val="none"/>
                          <w:left w:val="none"/>
                          <w:bottom w:val="none"/>
                          <w:right w:val="none"/>
                        </w:tcBorders>
                        <w:textDirection w:val="lrTb"/>
                        <w:vAlign w:val="top"/>
                      </w:tcPr>
                      <w:p>
                        <w:pPr>
                          <w:spacing w:before="0" w:after="25" w:line="243" w:lineRule="exact"/>
                          <w:ind w:right="0" w:left="108"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c>
                    <w:tc>
                      <w:tcPr>
                        <w:tcW w:w="5693" w:type="dxa"/>
                        <w:vMerge w:val="restart"/>
                        <w:tcBorders>
                          <w:top w:val="none"/>
                          <w:left w:val="none"/>
                          <w:bottom w:val="none"/>
                          <w:right w:val="single" w:sz="5" w:color="D8D8D8"/>
                        </w:tcBorders>
                        <w:textDirection w:val="lrTb"/>
                        <w:vAlign w:val="top"/>
                      </w:tcPr>
                      <w:p>
                        <w:pPr>
                          <w:spacing w:before="0" w:after="0" w:line="240" w:lineRule="auto"/>
                          <w:ind w:right="0" w:left="0"/>
                          <w:jc w:val="center"/>
                          <w:textAlignment w:val="baseline"/>
                        </w:pPr>
                        <w:r>
                          <w:drawing>
                            <wp:inline>
                              <wp:extent cx="3602990" cy="1259205"/>
                              <wp:docPr name="Picture" id="53"/>
                              <a:graphic>
                                <a:graphicData uri="http://schemas.openxmlformats.org/drawingml/2006/picture">
                                  <pic:pic>
                                    <pic:nvPicPr>
                                      <pic:cNvPr id="53" name="Picture"/>
                                      <pic:cNvPicPr preferRelativeResize="false"/>
                                    </pic:nvPicPr>
                                    <pic:blipFill>
                                      <a:blip r:embed="prId53"/>
                                      <a:stretch>
                                        <a:fillRect/>
                                      </a:stretch>
                                    </pic:blipFill>
                                    <pic:spPr>
                                      <a:xfrm>
                                        <a:off x="0" y="0"/>
                                        <a:ext cx="3602990" cy="1259205"/>
                                      </a:xfrm>
                                      <a:prstGeom prst="rect"/>
                                    </pic:spPr>
                                  </pic:pic>
                                </a:graphicData>
                              </a:graphic>
                            </wp:inline>
                          </w:drawing>
                        </w:r>
                      </w:p>
                    </w:tc>
                    <w:tc>
                      <w:tcPr>
                        <w:tcW w:w="1150" w:type="dxa"/>
                        <w:tcBorders>
                          <w:top w:val="none"/>
                          <w:left w:val="single" w:sz="5" w:color="D8D8D8"/>
                          <w:bottom w:val="none"/>
                          <w:right w:val="single" w:sz="5" w:color="D8D8D8"/>
                        </w:tcBorders>
                        <w:textDirection w:val="lrTb"/>
                        <w:vAlign w:val="top"/>
                      </w:tcPr>
                      <w:p/>
                    </w:tc>
                  </w:tr>
                  <w:tr>
                    <w:trPr>
                      <w:trHeight w:val="1" w:hRule="exact"/>
                    </w:trPr>
                    <w:tc>
                      <w:tcPr>
                        <w:tcW w:w="1022" w:type="dxa"/>
                        <w:tcBorders>
                          <w:top w:val="none"/>
                          <w:left w:val="none"/>
                          <w:bottom w:val="none"/>
                          <w:right w:val="none"/>
                        </w:tcBorders>
                        <w:textDirection w:val="lrTb"/>
                        <w:vAlign w:val="top"/>
                      </w:tcPr>
                      <w:p/>
                    </w:tc>
                    <w:tc>
                      <w:tcPr>
                        <w:tcW w:w="5693" w:type="dxa"/>
                        <w:vMerge w:val="continue"/>
                        <w:tcBorders>
                          <w:top w:val="none"/>
                          <w:left w:val="none"/>
                          <w:bottom w:val="none"/>
                          <w:right w:val="none"/>
                        </w:tcBorders>
                        <w:textDirection w:val="lrTb"/>
                        <w:vAlign w:val="top"/>
                      </w:tcPr>
                      <w:p/>
                    </w:tc>
                    <w:tc>
                      <w:tcPr>
                        <w:tcW w:w="1150" w:type="dxa"/>
                        <w:tcBorders>
                          <w:top w:val="none"/>
                          <w:left w:val="none"/>
                          <w:bottom w:val="none"/>
                          <w:right w:val="none"/>
                        </w:tcBorders>
                        <w:textDirection w:val="lrTb"/>
                        <w:vAlign w:val="top"/>
                      </w:tcPr>
                      <w:p/>
                    </w:tc>
                  </w:tr>
                </w:tbl>
              </w:txbxContent>
            </v:textbox>
          </v:shape>
        </w:pict>
      </w:r>
      <w:r>
        <w:pict>
          <v:shapetype id="_x0000_t213" coordsize="21600,21600" o:spt="202" path="m,l,21600r21600,l21600,xe">
            <v:stroke joinstyle="miter"/>
            <v:path gradientshapeok="t" o:connecttype="rect"/>
          </v:shapetype>
          <v:shape id="_x0000_s212" type="#_x0000_t21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46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D8D8D8" from="99.6pt,229.9pt" to="529.25pt,229.9pt" style="position:absolute;mso-position-horizontal-relative:page;mso-position-vertical-relative:page;">
            <v:stroke dashstyle="solid"/>
          </v:line>
        </w:pict>
      </w:r>
      <w:r>
        <w:pict>
          <v:line strokeweight="0.5pt" strokecolor="#D8D8D8" from="247.7pt,265.45pt" to="273.9pt,265.45pt" style="position:absolute;mso-position-horizontal-relative:page;mso-position-vertical-relative:page;">
            <v:stroke dashstyle="solid"/>
          </v:line>
        </w:pict>
      </w:r>
      <w:r>
        <w:pict>
          <v:line strokeweight="0.7pt" strokecolor="#D8D8D8" from="408.7pt,265.7pt" to="450.05pt,265.7pt" style="position:absolute;mso-position-horizontal-relative:page;mso-position-vertical-relative:page;">
            <v:stroke dashstyle="solid"/>
          </v:line>
        </w:pict>
      </w:r>
      <w:r>
        <w:pict>
          <v:line strokeweight="0.7pt" strokecolor="#D8D8D8" from="140.4pt,265.7pt" to="181.95pt,265.7pt" style="position:absolute;mso-position-horizontal-relative:page;mso-position-vertical-relative:page;">
            <v:stroke dashstyle="solid"/>
          </v:line>
        </w:pict>
      </w:r>
      <w:r>
        <w:pict>
          <v:line strokeweight="0.7pt" strokecolor="#D8D8D8" from="301.7pt,265.7pt" to="343pt,265.7pt" style="position:absolute;mso-position-horizontal-relative:page;mso-position-vertical-relative:page;">
            <v:stroke dashstyle="solid"/>
          </v:line>
        </w:pict>
      </w:r>
      <w:r>
        <w:pict>
          <v:line strokeweight="0.7pt" strokecolor="#D8D8D8" from="194.15pt,265.7pt" to="235.5pt,265.7pt" style="position:absolute;mso-position-horizontal-relative:page;mso-position-vertical-relative:page;">
            <v:stroke dashstyle="solid"/>
          </v:line>
        </w:pict>
      </w:r>
      <w:r>
        <w:pict>
          <v:line strokeweight="0.7pt" strokecolor="#D8D8D8" from="99.6pt,265.7pt" to="128.2pt,265.7pt" style="position:absolute;mso-position-horizontal-relative:page;mso-position-vertical-relative:page;">
            <v:stroke dashstyle="solid"/>
          </v:line>
        </w:pict>
      </w:r>
      <w:r>
        <w:pict>
          <v:line strokeweight="0.5pt" strokecolor="#D8D8D8" from="408.7pt,283.2pt" to="434.95pt,283.2pt" style="position:absolute;mso-position-horizontal-relative:page;mso-position-vertical-relative:page;">
            <v:stroke dashstyle="solid"/>
          </v:line>
        </w:pict>
      </w:r>
      <w:r>
        <w:pict>
          <v:line strokeweight="0.7pt" strokecolor="#D8D8D8" from="462.5pt,283.45pt" to="488.7pt,283.45pt" style="position:absolute;mso-position-horizontal-relative:page;mso-position-vertical-relative:page;">
            <v:stroke dashstyle="solid"/>
          </v:line>
        </w:pict>
      </w:r>
      <w:r>
        <w:pict>
          <v:line strokeweight="0.7pt" strokecolor="#D8D8D8" from="301.7pt,283.45pt" to="327.65pt,283.45pt" style="position:absolute;mso-position-horizontal-relative:page;mso-position-vertical-relative:page;">
            <v:stroke dashstyle="solid"/>
          </v:line>
        </w:pict>
      </w:r>
      <w:r>
        <w:pict>
          <v:line strokeweight="0.7pt" strokecolor="#D8D8D8" from="355.2pt,283.45pt" to="381.15pt,283.45pt" style="position:absolute;mso-position-horizontal-relative:page;mso-position-vertical-relative:page;">
            <v:stroke dashstyle="solid"/>
          </v:line>
        </w:pict>
      </w:r>
      <w:r>
        <w:pict>
          <v:line strokeweight="0.7pt" strokecolor="#D8D8D8" from="194.15pt,283.45pt" to="235.5pt,283.45pt" style="position:absolute;mso-position-horizontal-relative:page;mso-position-vertical-relative:page;">
            <v:stroke dashstyle="solid"/>
          </v:line>
        </w:pict>
      </w:r>
      <w:r>
        <w:pict>
          <v:line strokeweight="0.7pt" strokecolor="#D8D8D8" from="247.7pt,283.45pt" to="273.9pt,283.45pt" style="position:absolute;mso-position-horizontal-relative:page;mso-position-vertical-relative:page;">
            <v:stroke dashstyle="solid"/>
          </v:line>
        </w:pict>
      </w:r>
      <w:r>
        <w:pict>
          <v:line strokeweight="0.7pt" strokecolor="#D8D8D8" from="140.4pt,283.45pt" to="166.85pt,283.45pt" style="position:absolute;mso-position-horizontal-relative:page;mso-position-vertical-relative:page;">
            <v:stroke dashstyle="solid"/>
          </v:line>
        </w:pict>
      </w:r>
      <w:r>
        <w:pict>
          <v:line strokeweight="0.7pt" strokecolor="#D8D8D8" from="140.4pt,301.45pt" to="166.85pt,301.45pt" style="position:absolute;mso-position-horizontal-relative:page;mso-position-vertical-relative:page;">
            <v:stroke dashstyle="solid"/>
          </v:line>
        </w:pict>
      </w:r>
      <w:r>
        <w:pict>
          <v:line strokeweight="0.7pt" strokecolor="#D8D8D8" from="462.5pt,301.45pt" to="488.7pt,301.45pt" style="position:absolute;mso-position-horizontal-relative:page;mso-position-vertical-relative:page;">
            <v:stroke dashstyle="solid"/>
          </v:line>
        </w:pict>
      </w:r>
      <w:r>
        <w:pict>
          <v:line strokeweight="0.7pt" strokecolor="#D8D8D8" from="301.7pt,301.45pt" to="327.65pt,301.45pt" style="position:absolute;mso-position-horizontal-relative:page;mso-position-vertical-relative:page;">
            <v:stroke dashstyle="solid"/>
          </v:line>
        </w:pict>
      </w:r>
      <w:r>
        <w:pict>
          <v:line strokeweight="0.7pt" strokecolor="#D8D8D8" from="408.7pt,301.45pt" to="434.95pt,301.45pt" style="position:absolute;mso-position-horizontal-relative:page;mso-position-vertical-relative:page;">
            <v:stroke dashstyle="solid"/>
          </v:line>
        </w:pict>
      </w:r>
      <w:r>
        <w:pict>
          <v:line strokeweight="0.7pt" strokecolor="#D8D8D8" from="194.15pt,301.45pt" to="220.35pt,301.45pt" style="position:absolute;mso-position-horizontal-relative:page;mso-position-vertical-relative:page;">
            <v:stroke dashstyle="solid"/>
          </v:line>
        </w:pict>
      </w:r>
      <w:r>
        <w:pict>
          <v:line strokeweight="0.7pt" strokecolor="#D8D8D8" from="355.2pt,301.45pt" to="381.15pt,301.45pt" style="position:absolute;mso-position-horizontal-relative:page;mso-position-vertical-relative:page;">
            <v:stroke dashstyle="solid"/>
          </v:line>
        </w:pict>
      </w:r>
      <w:r>
        <w:pict>
          <v:line strokeweight="0.7pt" strokecolor="#D8D8D8" from="247.7pt,301.45pt" to="273.9pt,301.45pt" style="position:absolute;mso-position-horizontal-relative:page;mso-position-vertical-relative:page;">
            <v:stroke dashstyle="solid"/>
          </v:line>
        </w:pict>
      </w:r>
      <w:r>
        <w:pict>
          <v:line strokeweight="0.7pt" strokecolor="#D8D8D8" from="194.15pt,319.2pt" to="220.35pt,319.2pt" style="position:absolute;mso-position-horizontal-relative:page;mso-position-vertical-relative:page;">
            <v:stroke dashstyle="solid"/>
          </v:line>
        </w:pict>
      </w:r>
      <w:r>
        <w:pict>
          <v:line strokeweight="0.7pt" strokecolor="#D8D8D8" from="462.5pt,319.2pt" to="488.7pt,319.2pt" style="position:absolute;mso-position-horizontal-relative:page;mso-position-vertical-relative:page;">
            <v:stroke dashstyle="solid"/>
          </v:line>
        </w:pict>
      </w:r>
      <w:r>
        <w:pict>
          <v:line strokeweight="0.7pt" strokecolor="#D8D8D8" from="355.2pt,319.2pt" to="381.15pt,319.2pt" style="position:absolute;mso-position-horizontal-relative:page;mso-position-vertical-relative:page;">
            <v:stroke dashstyle="solid"/>
          </v:line>
        </w:pict>
      </w:r>
      <w:r>
        <w:pict>
          <v:line strokeweight="0.7pt" strokecolor="#D8D8D8" from="247.7pt,319.2pt" to="273.9pt,319.2pt" style="position:absolute;mso-position-horizontal-relative:page;mso-position-vertical-relative:page;">
            <v:stroke dashstyle="solid"/>
          </v:line>
        </w:pict>
      </w:r>
      <w:r>
        <w:pict>
          <v:line strokeweight="0.7pt" strokecolor="#D8D8D8" from="408.7pt,319.2pt" to="434.95pt,319.2pt" style="position:absolute;mso-position-horizontal-relative:page;mso-position-vertical-relative:page;">
            <v:stroke dashstyle="solid"/>
          </v:line>
        </w:pict>
      </w:r>
      <w:r>
        <w:pict>
          <v:line strokeweight="0.7pt" strokecolor="#D8D8D8" from="301.7pt,319.2pt" to="327.65pt,319.2pt" style="position:absolute;mso-position-horizontal-relative:page;mso-position-vertical-relative:page;">
            <v:stroke dashstyle="solid"/>
          </v:line>
        </w:pict>
      </w:r>
      <w:r>
        <w:pict>
          <v:line strokeweight="0.7pt" strokecolor="#D8D8D8" from="140.4pt,319.2pt" to="166.85pt,319.2pt" style="position:absolute;mso-position-horizontal-relative:page;mso-position-vertical-relative:page;">
            <v:stroke dashstyle="solid"/>
          </v:line>
        </w:pict>
      </w:r>
      <w:r>
        <w:pict>
          <v:line strokeweight="0.7pt" strokecolor="#D8D8D8" from="99.6pt,337.45pt" to="529.25pt,337.4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r>
        <w:pict>
          <v:line strokeweight="0.5pt" strokecolor="#D8D8D8" from="273.85pt,265.7pt" to="289.2pt,265.7pt" style="position:absolute;mso-position-horizontal-relative:page;mso-position-vertical-relative:page;">
            <v:stroke dashstyle="solid"/>
          </v:line>
        </w:pict>
      </w:r>
      <w:r>
        <w:pict>
          <v:line strokeweight="0.5pt" strokecolor="#D8D8D8" from="434.9pt,283.45pt" to="450pt,283.4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6"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b w:val="true"/>
          <w:i w:val="true"/>
          <w:color w:val="000000"/>
          <w:spacing w:val="0"/>
          <w:w w:val="100"/>
          <w:sz w:val="22"/>
          <w:vertAlign w:val="baseline"/>
          <w:lang w:val="en-US"/>
        </w:rPr>
        <w:t xml:space="preserve">Healthy Eafing</w:t>
      </w:r>
    </w:p>
    <w:p>
      <w:pPr>
        <w:spacing w:before="156"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Finger Lakes Region is largely rural with hundreds of farms and farm stands, during harvest season. Unfortunately, the number of people without access to a vehicle and/or who live far from a grocery store is substantial. The cost of healthy foods is also a factor in whether or not families are able to purchase fruits and vegetables.</w:t>
      </w:r>
    </w:p>
    <w:p>
      <w:pPr>
        <w:spacing w:before="155" w:after="0"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percentage of adults who eat fruits daily is under 50% for most of the counties but is trending upward, which is a promising sign. More people eat vegetables each day, but that percentage decreased for each county between 2016 and 2021. The number of people who drink one or more sugary drinks each day is below the NYS average in all but three counties (Livingston, Ontario, Schuyler). (Table 14)</w:t>
      </w:r>
    </w:p>
    <w:p>
      <w:pPr>
        <w:spacing w:before="162" w:after="0" w:line="290"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Focus group respondents noted that though healthy eating is a priority, it is difficult for many to afford healthy foods. While dollar stores, convenience stores and fast-food restaurants are prolific across the region, grocery stores are less common in many communities.</w:t>
      </w:r>
    </w:p>
    <w:p>
      <w:pPr>
        <w:spacing w:before="223" w:after="201" w:line="180" w:lineRule="exact"/>
        <w:ind w:right="0" w:left="1440" w:firstLine="0"/>
        <w:jc w:val="left"/>
        <w:textAlignment w:val="baseline"/>
        <w:rPr>
          <w:rFonts w:ascii="Calibri" w:hAnsi="Calibri" w:eastAsia="Calibri"/>
          <w:i w:val="true"/>
          <w:color w:val="0E2841"/>
          <w:spacing w:val="-1"/>
          <w:w w:val="100"/>
          <w:sz w:val="18"/>
          <w:vertAlign w:val="baseline"/>
          <w:lang w:val="en-US"/>
        </w:rPr>
      </w:pPr>
      <w:r>
        <w:rPr>
          <w:rFonts w:ascii="Calibri" w:hAnsi="Calibri" w:eastAsia="Calibri"/>
          <w:i w:val="true"/>
          <w:color w:val="0E2841"/>
          <w:spacing w:val="-1"/>
          <w:w w:val="100"/>
          <w:sz w:val="18"/>
          <w:vertAlign w:val="baseline"/>
          <w:lang w:val="en-US"/>
        </w:rPr>
        <w:t xml:space="preserve">Table 14: Healthy Eating</w:t>
      </w:r>
    </w:p>
    <w:tbl>
      <w:tblPr>
        <w:jc w:val="left"/>
        <w:tblInd w:w="1440" w:type="dxa"/>
        <w:tblLayout w:type="fixed"/>
        <w:tblCellMar>
          <w:left w:w="0" w:type="dxa"/>
          <w:right w:w="0" w:type="dxa"/>
        </w:tblCellMar>
      </w:tblPr>
      <w:tblGrid>
        <w:gridCol w:w="1334"/>
        <w:gridCol w:w="1340"/>
        <w:gridCol w:w="1334"/>
        <w:gridCol w:w="1339"/>
        <w:gridCol w:w="1335"/>
        <w:gridCol w:w="1334"/>
        <w:gridCol w:w="1344"/>
      </w:tblGrid>
      <w:tr>
        <w:trPr>
          <w:trHeight w:val="3187" w:hRule="exact"/>
        </w:trPr>
        <w:tc>
          <w:tcPr>
            <w:tcW w:w="1334"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507" w:after="1478" w:line="197"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County</w:t>
            </w:r>
          </w:p>
        </w:tc>
        <w:tc>
          <w:tcPr>
            <w:tcW w:w="1340"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849" w:after="1113" w:line="244"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Adults</w:t>
              <w:br/>
            </w:r>
            <w:r>
              <w:rPr>
                <w:rFonts w:ascii="Calibri" w:hAnsi="Calibri" w:eastAsia="Calibri"/>
                <w:b w:val="true"/>
                <w:color w:val="FFFFFF"/>
                <w:spacing w:val="0"/>
                <w:w w:val="100"/>
                <w:sz w:val="19"/>
                <w:vertAlign w:val="baseline"/>
                <w:lang w:val="en-US"/>
              </w:rPr>
              <w:t xml:space="preserve">who Eat Fruit</w:t>
              <w:br/>
            </w:r>
            <w:r>
              <w:rPr>
                <w:rFonts w:ascii="Calibri" w:hAnsi="Calibri" w:eastAsia="Calibri"/>
                <w:b w:val="true"/>
                <w:color w:val="FFFFFF"/>
                <w:spacing w:val="0"/>
                <w:w w:val="100"/>
                <w:sz w:val="19"/>
                <w:vertAlign w:val="baseline"/>
                <w:lang w:val="en-US"/>
              </w:rPr>
              <w:t xml:space="preserve">Daily</w:t>
              <w:br/>
            </w:r>
            <w:r>
              <w:rPr>
                <w:rFonts w:ascii="Calibri" w:hAnsi="Calibri" w:eastAsia="Calibri"/>
                <w:b w:val="true"/>
                <w:color w:val="FFFFFF"/>
                <w:spacing w:val="0"/>
                <w:w w:val="100"/>
                <w:sz w:val="19"/>
                <w:vertAlign w:val="baseline"/>
                <w:lang w:val="en-US"/>
              </w:rPr>
              <w:t xml:space="preserve">(2021)</w:t>
            </w:r>
          </w:p>
        </w:tc>
        <w:tc>
          <w:tcPr>
            <w:tcW w:w="1334"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092" w:after="1114" w:line="244"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</w:t>
              <w:br/>
            </w:r>
            <w:r>
              <w:rPr>
                <w:rFonts w:ascii="Calibri" w:hAnsi="Calibri" w:eastAsia="Calibri"/>
                <w:b w:val="true"/>
                <w:color w:val="FFFFFF"/>
                <w:spacing w:val="0"/>
                <w:w w:val="100"/>
                <w:sz w:val="19"/>
                <w:vertAlign w:val="baseline"/>
                <w:lang w:val="en-US"/>
              </w:rPr>
              <w:t xml:space="preserve">change from</w:t>
              <w:br/>
            </w:r>
            <w:r>
              <w:rPr>
                <w:rFonts w:ascii="Calibri" w:hAnsi="Calibri" w:eastAsia="Calibri"/>
                <w:b w:val="true"/>
                <w:color w:val="FFFFFF"/>
                <w:spacing w:val="0"/>
                <w:w w:val="100"/>
                <w:sz w:val="19"/>
                <w:vertAlign w:val="baseline"/>
                <w:lang w:val="en-US"/>
              </w:rPr>
              <w:t xml:space="preserve">2016</w:t>
              <w:br/>
            </w:r>
            <w:r>
              <w:rPr>
                <w:rFonts w:ascii="Calibri" w:hAnsi="Calibri" w:eastAsia="Calibri"/>
                <w:b w:val="true"/>
                <w:color w:val="FFFFFF"/>
                <w:spacing w:val="0"/>
                <w:w w:val="100"/>
                <w:sz w:val="19"/>
                <w:vertAlign w:val="baseline"/>
                <w:lang w:val="en-US"/>
              </w:rPr>
              <w:t xml:space="preserve">baseline</w:t>
            </w:r>
          </w:p>
        </w:tc>
        <w:tc>
          <w:tcPr>
            <w:tcW w:w="1339"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845" w:after="873" w:line="244"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Adults</w:t>
              <w:br/>
            </w:r>
            <w:r>
              <w:rPr>
                <w:rFonts w:ascii="Calibri" w:hAnsi="Calibri" w:eastAsia="Calibri"/>
                <w:b w:val="true"/>
                <w:color w:val="FFFFFF"/>
                <w:spacing w:val="0"/>
                <w:w w:val="100"/>
                <w:sz w:val="19"/>
                <w:vertAlign w:val="baseline"/>
                <w:lang w:val="en-US"/>
              </w:rPr>
              <w:t xml:space="preserve">who Eat</w:t>
              <w:br/>
            </w:r>
            <w:r>
              <w:rPr>
                <w:rFonts w:ascii="Calibri" w:hAnsi="Calibri" w:eastAsia="Calibri"/>
                <w:b w:val="true"/>
                <w:color w:val="FFFFFF"/>
                <w:spacing w:val="0"/>
                <w:w w:val="100"/>
                <w:sz w:val="19"/>
                <w:vertAlign w:val="baseline"/>
                <w:lang w:val="en-US"/>
              </w:rPr>
              <w:t xml:space="preserve">Vegetables</w:t>
              <w:br/>
            </w:r>
            <w:r>
              <w:rPr>
                <w:rFonts w:ascii="Calibri" w:hAnsi="Calibri" w:eastAsia="Calibri"/>
                <w:b w:val="true"/>
                <w:color w:val="FFFFFF"/>
                <w:spacing w:val="0"/>
                <w:w w:val="100"/>
                <w:sz w:val="19"/>
                <w:vertAlign w:val="baseline"/>
                <w:lang w:val="en-US"/>
              </w:rPr>
              <w:t xml:space="preserve">Daily</w:t>
              <w:br/>
            </w:r>
            <w:r>
              <w:rPr>
                <w:rFonts w:ascii="Calibri" w:hAnsi="Calibri" w:eastAsia="Calibri"/>
                <w:b w:val="true"/>
                <w:color w:val="FFFFFF"/>
                <w:spacing w:val="0"/>
                <w:w w:val="100"/>
                <w:sz w:val="19"/>
                <w:vertAlign w:val="baseline"/>
                <w:lang w:val="en-US"/>
              </w:rPr>
              <w:t xml:space="preserve">(2021)</w:t>
            </w:r>
          </w:p>
        </w:tc>
        <w:tc>
          <w:tcPr>
            <w:tcW w:w="1335"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092" w:after="1114" w:line="244"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</w:t>
              <w:br/>
            </w:r>
            <w:r>
              <w:rPr>
                <w:rFonts w:ascii="Calibri" w:hAnsi="Calibri" w:eastAsia="Calibri"/>
                <w:b w:val="true"/>
                <w:color w:val="FFFFFF"/>
                <w:spacing w:val="0"/>
                <w:w w:val="100"/>
                <w:sz w:val="19"/>
                <w:vertAlign w:val="baseline"/>
                <w:lang w:val="en-US"/>
              </w:rPr>
              <w:t xml:space="preserve">change from</w:t>
              <w:br/>
            </w:r>
            <w:r>
              <w:rPr>
                <w:rFonts w:ascii="Calibri" w:hAnsi="Calibri" w:eastAsia="Calibri"/>
                <w:b w:val="true"/>
                <w:color w:val="FFFFFF"/>
                <w:spacing w:val="0"/>
                <w:w w:val="100"/>
                <w:sz w:val="19"/>
                <w:vertAlign w:val="baseline"/>
                <w:lang w:val="en-US"/>
              </w:rPr>
              <w:t xml:space="preserve">2016</w:t>
              <w:br/>
            </w:r>
            <w:r>
              <w:rPr>
                <w:rFonts w:ascii="Calibri" w:hAnsi="Calibri" w:eastAsia="Calibri"/>
                <w:b w:val="true"/>
                <w:color w:val="FFFFFF"/>
                <w:spacing w:val="0"/>
                <w:w w:val="100"/>
                <w:sz w:val="19"/>
                <w:vertAlign w:val="baseline"/>
                <w:lang w:val="en-US"/>
              </w:rPr>
              <w:t xml:space="preserve">baseline</w:t>
            </w:r>
          </w:p>
        </w:tc>
        <w:tc>
          <w:tcPr>
            <w:tcW w:w="133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9" w:line="243"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Adults</w:t>
              <w:br/>
            </w:r>
            <w:r>
              <w:rPr>
                <w:rFonts w:ascii="Calibri" w:hAnsi="Calibri" w:eastAsia="Calibri"/>
                <w:b w:val="true"/>
                <w:color w:val="FFFFFF"/>
                <w:spacing w:val="0"/>
                <w:w w:val="100"/>
                <w:sz w:val="19"/>
                <w:vertAlign w:val="baseline"/>
                <w:lang w:val="en-US"/>
              </w:rPr>
              <w:t xml:space="preserve">with an</w:t>
              <w:br/>
            </w:r>
            <w:r>
              <w:rPr>
                <w:rFonts w:ascii="Calibri" w:hAnsi="Calibri" w:eastAsia="Calibri"/>
                <w:b w:val="true"/>
                <w:color w:val="FFFFFF"/>
                <w:spacing w:val="0"/>
                <w:w w:val="100"/>
                <w:sz w:val="19"/>
                <w:vertAlign w:val="baseline"/>
                <w:lang w:val="en-US"/>
              </w:rPr>
              <w:t xml:space="preserve">Annual</w:t>
              <w:br/>
            </w:r>
            <w:r>
              <w:rPr>
                <w:rFonts w:ascii="Calibri" w:hAnsi="Calibri" w:eastAsia="Calibri"/>
                <w:b w:val="true"/>
                <w:color w:val="FFFFFF"/>
                <w:spacing w:val="0"/>
                <w:w w:val="100"/>
                <w:sz w:val="19"/>
                <w:vertAlign w:val="baseline"/>
                <w:lang w:val="en-US"/>
              </w:rPr>
              <w:t xml:space="preserve">Household</w:t>
              <w:br/>
            </w:r>
            <w:r>
              <w:rPr>
                <w:rFonts w:ascii="Calibri" w:hAnsi="Calibri" w:eastAsia="Calibri"/>
                <w:b w:val="true"/>
                <w:color w:val="FFFFFF"/>
                <w:spacing w:val="0"/>
                <w:w w:val="100"/>
                <w:sz w:val="19"/>
                <w:vertAlign w:val="baseline"/>
                <w:lang w:val="en-US"/>
              </w:rPr>
              <w:t xml:space="preserve">Income</w:t>
              <w:br/>
            </w:r>
            <w:r>
              <w:rPr>
                <w:rFonts w:ascii="Calibri" w:hAnsi="Calibri" w:eastAsia="Calibri"/>
                <w:b w:val="true"/>
                <w:color w:val="FFFFFF"/>
                <w:spacing w:val="0"/>
                <w:w w:val="100"/>
                <w:sz w:val="19"/>
                <w:vertAlign w:val="baseline"/>
                <w:lang w:val="en-US"/>
              </w:rPr>
              <w:t xml:space="preserve">&lt;$25,000</w:t>
              <w:br/>
            </w:r>
            <w:r>
              <w:rPr>
                <w:rFonts w:ascii="Calibri" w:hAnsi="Calibri" w:eastAsia="Calibri"/>
                <w:b w:val="true"/>
                <w:color w:val="FFFFFF"/>
                <w:spacing w:val="0"/>
                <w:w w:val="100"/>
                <w:sz w:val="19"/>
                <w:vertAlign w:val="baseline"/>
                <w:lang w:val="en-US"/>
              </w:rPr>
              <w:t xml:space="preserve">who drink</w:t>
              <w:br/>
            </w:r>
            <w:r>
              <w:rPr>
                <w:rFonts w:ascii="Calibri" w:hAnsi="Calibri" w:eastAsia="Calibri"/>
                <w:b w:val="true"/>
                <w:color w:val="FFFFFF"/>
                <w:spacing w:val="0"/>
                <w:w w:val="100"/>
                <w:sz w:val="19"/>
                <w:vertAlign w:val="baseline"/>
                <w:lang w:val="en-US"/>
              </w:rPr>
              <w:t xml:space="preserve">one or more</w:t>
              <w:br/>
            </w:r>
            <w:r>
              <w:rPr>
                <w:rFonts w:ascii="Calibri" w:hAnsi="Calibri" w:eastAsia="Calibri"/>
                <w:b w:val="true"/>
                <w:color w:val="FFFFFF"/>
                <w:spacing w:val="0"/>
                <w:w w:val="100"/>
                <w:sz w:val="19"/>
                <w:vertAlign w:val="baseline"/>
                <w:lang w:val="en-US"/>
              </w:rPr>
              <w:t xml:space="preserve">sugary drinks</w:t>
              <w:br/>
            </w:r>
            <w:r>
              <w:rPr>
                <w:rFonts w:ascii="Calibri" w:hAnsi="Calibri" w:eastAsia="Calibri"/>
                <w:b w:val="true"/>
                <w:color w:val="FFFFFF"/>
                <w:spacing w:val="0"/>
                <w:w w:val="100"/>
                <w:sz w:val="19"/>
                <w:vertAlign w:val="baseline"/>
                <w:lang w:val="en-US"/>
              </w:rPr>
              <w:t xml:space="preserve">every day</w:t>
              <w:br/>
            </w:r>
            <w:r>
              <w:rPr>
                <w:rFonts w:ascii="Calibri" w:hAnsi="Calibri" w:eastAsia="Calibri"/>
                <w:b w:val="true"/>
                <w:color w:val="FFFFFF"/>
                <w:spacing w:val="0"/>
                <w:w w:val="100"/>
                <w:sz w:val="19"/>
                <w:vertAlign w:val="baseline"/>
                <w:lang w:val="en-US"/>
              </w:rPr>
              <w:t xml:space="preserve">(2021)</w:t>
              <w:br/>
            </w:r>
            <w:r>
              <w:rPr>
                <w:rFonts w:ascii="Calibri" w:hAnsi="Calibri" w:eastAsia="Calibri"/>
                <w:b w:val="true"/>
                <w:color w:val="FFFFFF"/>
                <w:spacing w:val="0"/>
                <w:w w:val="100"/>
                <w:sz w:val="19"/>
                <w:vertAlign w:val="baseline"/>
                <w:lang w:val="en-US"/>
              </w:rPr>
              <w:t xml:space="preserve">(NYS = 34.1)</w:t>
            </w:r>
          </w:p>
        </w:tc>
        <w:tc>
          <w:tcPr>
            <w:tcW w:w="1344"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092" w:after="1114" w:line="244"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</w:t>
              <w:br/>
            </w:r>
            <w:r>
              <w:rPr>
                <w:rFonts w:ascii="Calibri" w:hAnsi="Calibri" w:eastAsia="Calibri"/>
                <w:b w:val="true"/>
                <w:color w:val="FFFFFF"/>
                <w:spacing w:val="0"/>
                <w:w w:val="100"/>
                <w:sz w:val="19"/>
                <w:vertAlign w:val="baseline"/>
                <w:lang w:val="en-US"/>
              </w:rPr>
              <w:t xml:space="preserve">change from</w:t>
              <w:br/>
            </w:r>
            <w:r>
              <w:rPr>
                <w:rFonts w:ascii="Calibri" w:hAnsi="Calibri" w:eastAsia="Calibri"/>
                <w:b w:val="true"/>
                <w:color w:val="FFFFFF"/>
                <w:spacing w:val="0"/>
                <w:w w:val="100"/>
                <w:sz w:val="19"/>
                <w:vertAlign w:val="baseline"/>
                <w:lang w:val="en-US"/>
              </w:rPr>
              <w:t xml:space="preserve">2016</w:t>
              <w:br/>
            </w:r>
            <w:r>
              <w:rPr>
                <w:rFonts w:ascii="Calibri" w:hAnsi="Calibri" w:eastAsia="Calibri"/>
                <w:b w:val="true"/>
                <w:color w:val="FFFFFF"/>
                <w:spacing w:val="0"/>
                <w:w w:val="100"/>
                <w:sz w:val="19"/>
                <w:vertAlign w:val="baseline"/>
                <w:lang w:val="en-US"/>
              </w:rPr>
              <w:t xml:space="preserve">baseline</w:t>
            </w:r>
          </w:p>
        </w:tc>
      </w:tr>
      <w:tr>
        <w:trPr>
          <w:trHeight w:val="312"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1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41.7</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52" w:after="23"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 change</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46.9</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52"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25.5</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52"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-47</w:t>
            </w:r>
          </w:p>
        </w:tc>
      </w:tr>
      <w:tr>
        <w:trPr>
          <w:trHeight w:val="312"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2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56.5</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37.5</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w:t>
            </w:r>
          </w:p>
        </w:tc>
      </w:tr>
      <w:tr>
        <w:trPr>
          <w:trHeight w:val="307"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1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340" w:type="dxa"/>
            <w:tcBorders>
              <w:top w:val="single" w:sz="5" w:color="000000"/>
              <w:left w:val="single" w:sz="5" w:color="000000"/>
              <w:bottom w:val="single" w:sz="5" w:color="000000"/>
              <w:right w:val="single" w:sz="5" w:color="000000"/>
            </w:tcBorders>
            <w:textDirection w:val="lrTb"/>
            <w:vAlign w:val="center"/>
          </w:tcPr>
          <w:p>
            <w:pPr>
              <w:spacing w:before="48"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48"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52.1</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48"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24"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45.2</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48" w:after="2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w:t>
            </w:r>
          </w:p>
        </w:tc>
      </w:tr>
      <w:tr>
        <w:trPr>
          <w:trHeight w:val="312"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2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45.6</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60.3</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42.4</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48" w:after="3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r>
      <w:tr>
        <w:trPr>
          <w:trHeight w:val="308"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3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57.3</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48"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71.3</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48"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8"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28.1</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48"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w:t>
            </w:r>
          </w:p>
        </w:tc>
      </w:tr>
      <w:tr>
        <w:trPr>
          <w:trHeight w:val="312"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24"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44.7</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52"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339" w:type="dxa"/>
            <w:tcBorders>
              <w:top w:val="single" w:sz="5" w:color="000000"/>
              <w:left w:val="single" w:sz="5" w:color="000000"/>
              <w:bottom w:val="single" w:sz="5" w:color="000000"/>
              <w:right w:val="single" w:sz="5" w:color="000000"/>
            </w:tcBorders>
            <w:textDirection w:val="lrTb"/>
            <w:vAlign w:val="center"/>
          </w:tcPr>
          <w:p>
            <w:pPr>
              <w:spacing w:before="52"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52"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20.5</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52"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w:t>
            </w:r>
          </w:p>
        </w:tc>
      </w:tr>
      <w:tr>
        <w:trPr>
          <w:trHeight w:val="307"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7"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42.3</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47"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7"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57.2</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47"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47" w:after="3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20.3</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47"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r>
      <w:tr>
        <w:trPr>
          <w:trHeight w:val="321" w:hRule="exact"/>
        </w:trPr>
        <w:tc>
          <w:tcPr>
            <w:tcW w:w="13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3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340"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4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63.4</w:t>
            </w:r>
          </w:p>
        </w:tc>
        <w:tc>
          <w:tcPr>
            <w:tcW w:w="1334" w:type="dxa"/>
            <w:tcBorders>
              <w:top w:val="single" w:sz="5" w:color="000000"/>
              <w:left w:val="single" w:sz="5" w:color="000000"/>
              <w:bottom w:val="single" w:sz="5" w:color="000000"/>
              <w:right w:val="single" w:sz="5" w:color="000000"/>
            </w:tcBorders>
            <w:textDirection w:val="lrTb"/>
            <w:vAlign w:val="center"/>
          </w:tcPr>
          <w:p>
            <w:pPr>
              <w:spacing w:before="52" w:after="4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w:t>
            </w:r>
          </w:p>
        </w:tc>
        <w:tc>
          <w:tcPr>
            <w:tcW w:w="1339"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4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70.2</w:t>
            </w:r>
          </w:p>
        </w:tc>
        <w:tc>
          <w:tcPr>
            <w:tcW w:w="1335" w:type="dxa"/>
            <w:tcBorders>
              <w:top w:val="single" w:sz="5" w:color="000000"/>
              <w:left w:val="single" w:sz="5" w:color="000000"/>
              <w:bottom w:val="single" w:sz="5" w:color="000000"/>
              <w:right w:val="single" w:sz="5" w:color="000000"/>
            </w:tcBorders>
            <w:textDirection w:val="lrTb"/>
            <w:vAlign w:val="center"/>
          </w:tcPr>
          <w:p>
            <w:pPr>
              <w:spacing w:before="52" w:after="4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c>
          <w:tcPr>
            <w:tcW w:w="1334" w:type="dxa"/>
            <w:tcBorders>
              <w:top w:val="single" w:sz="5" w:color="000000"/>
              <w:left w:val="single" w:sz="5" w:color="000000"/>
              <w:bottom w:val="single" w:sz="5" w:color="000000"/>
              <w:right w:val="single" w:sz="5" w:color="000000"/>
            </w:tcBorders>
            <w:textDirection w:val="lrTb"/>
            <w:vAlign w:val="center"/>
          </w:tcPr>
          <w:p>
            <w:pPr>
              <w:tabs>
                <w:tab w:val="decimal" w:leader="none" w:pos="720"/>
              </w:tabs>
              <w:spacing w:before="52" w:after="43"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17.1</w:t>
            </w:r>
          </w:p>
        </w:tc>
        <w:tc>
          <w:tcPr>
            <w:tcW w:w="1344" w:type="dxa"/>
            <w:tcBorders>
              <w:top w:val="single" w:sz="5" w:color="000000"/>
              <w:left w:val="single" w:sz="5" w:color="000000"/>
              <w:bottom w:val="single" w:sz="5" w:color="000000"/>
              <w:right w:val="single" w:sz="5" w:color="000000"/>
            </w:tcBorders>
            <w:textDirection w:val="lrTb"/>
            <w:vAlign w:val="center"/>
          </w:tcPr>
          <w:p>
            <w:pPr>
              <w:spacing w:before="52" w:after="43"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w:t>
            </w:r>
          </w:p>
        </w:tc>
      </w:tr>
    </w:tbl>
    <w:p>
      <w:pPr>
        <w:spacing w:before="8" w:after="2472"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Behavioral Risk Factor Surveillance System</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47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14" coordsize="21600,21600" o:spt="202" path="m,l,21600r21600,l21600,xe">
            <v:stroke joinstyle="miter"/>
            <v:path gradientshapeok="t" o:connecttype="rect"/>
          </v:shapetype>
          <v:shape id="_x0000_s213" type="#_x0000_t214" filled="f" stroked="f" style="position:absolute;width:478.05pt;height:205.75pt;z-index:-1;margin-left:71.3pt;margin-top:225.85pt;mso-wrap-distance-left:71.3pt;mso-wrap-distance-right:62.15pt;mso-position-horizontal-relative:page;mso-position-vertical-relative:page">
            <w10:wrap type="square"/>
            <v:fill opacity="1" o:opacity2="1" recolor="f" rotate="f" type="solid"/>
            <v:textbox inset="0pt, 0pt, 0pt, 0pt">
              <w:txbxContent>
                <w:p>
                  <w:pPr>
                    <w:pBdr>
                      <w:top w:sz="5" w:space="0" w:color="D8D8D8" w:val="single"/>
                      <w:left w:sz="5" w:space="71" w:color="D8D8D8" w:val="single"/>
                      <w:bottom w:sz="5" w:space="0" w:color="D8D8D8" w:val="single"/>
                      <w:right w:sz="5" w:space="62" w:color="D8D8D8" w:val="single"/>
                    </w:pBdr>
                  </w:pPr>
                </w:p>
              </w:txbxContent>
            </v:textbox>
          </v:shape>
        </w:pict>
      </w:r>
      <w:r>
        <w:pict>
          <v:shapetype id="_x0000_t215" coordsize="21600,21600" o:spt="202" path="m,l,21600r21600,l21600,xe">
            <v:stroke joinstyle="miter"/>
            <v:path gradientshapeok="t" o:connecttype="rect"/>
          </v:shapetype>
          <v:shape id="_x0000_s214" type="#_x0000_t215"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612pt;height:153.75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33" w:after="0" w:line="287"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Neighborhood and Built Environment</w:t>
                  </w:r>
                </w:p>
                <w:p>
                  <w:pPr>
                    <w:spacing w:before="234"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Opportunities for Active Transportation and Physical Activity</w:t>
                  </w:r>
                </w:p>
                <w:p>
                  <w:pPr>
                    <w:spacing w:before="159"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healthy eating is a major component of preventing and managing chronic diseases, so is physical activity and exercise. More than 50 percent of the population in several counties have access to locations for physical activity (Figure 19). Livingston, Steuben, and Wayne counties all increased the share of residents with access to physical activity resources between 2021 and 2024, with Steuben showing a particularly notable rise of 940 percent.</w:t>
                  </w:r>
                </w:p>
                <w:p>
                  <w:pPr>
                    <w:spacing w:before="420" w:after="8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19: Access to Locations for Physical Activity.</w:t>
                  </w:r>
                </w:p>
              </w:txbxContent>
            </v:textbox>
          </v:shape>
        </w:pict>
      </w:r>
      <w:r>
        <w:pict>
          <v:shapetype id="_x0000_t217" coordsize="21600,21600" o:spt="202" path="m,l,21600r21600,l21600,xe">
            <v:stroke joinstyle="miter"/>
            <v:path gradientshapeok="t" o:connecttype="rect"/>
          </v:shapetype>
          <v:shape id="_x0000_s216" type="#_x0000_t217" filled="f" stroked="f" style="position:absolute;width:612pt;height:285.25pt;z-index:1;margin-left:0pt;margin-top:431.6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ArcGIS Business Analyst and Living Atlas of the World; YMCA; US Census TIGER/Line Shapefiles</w:t>
                  </w:r>
                </w:p>
                <w:p>
                  <w:pPr>
                    <w:spacing w:before="259"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Walkability Index measures how walkable a county is on a scale from 1 (least walkable) to 20 (most walkable). Overall, the Finger Lakes counties included in this chart have relatively low walkability scores, ranging from about 4.5 to just over 9 on the 20-point scale. The 2019 Walkability Index scores are: Chemung 7.6, Livingston 9.12, Ontario 6.49, Schuyler 4.53, Seneca 6.11, Steuben 6.66, Wayne 6.16, and Yates 5.46 (Figure 20).</w:t>
                  </w:r>
                </w:p>
                <w:p>
                  <w:pPr>
                    <w:spacing w:before="166" w:after="1603"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Walking or biking for exercise in rural upstate communities can be dangerous due to roads that often lack sidewalks, shoulders, and streetlights, especially outside village centers. Between October and April, roadways and any existing sidewalks may be icy or snow-covered, and higher speed limits on county and town roads can discourage walking and biking for recreation or transportation. Although there are YMCA facilities and other indoor exercise options in parts of the region, many residents face barriers such as membership costs, limited hours, and lack of reliable transportation, which can reduce access to safe places for physical activity.</w:t>
                  </w:r>
                </w:p>
              </w:txbxContent>
            </v:textbox>
          </v:shape>
        </w:pict>
      </w:r>
      <w:r>
        <w:pict>
          <v:shapetype id="_x0000_t218" coordsize="21600,21600" o:spt="202" path="m,l,21600r21600,l21600,xe">
            <v:stroke joinstyle="miter"/>
            <v:path gradientshapeok="t" o:connecttype="rect"/>
          </v:shapetype>
          <v:shape id="_x0000_s217" type="#_x0000_t218" filled="f" stroked="f" style="position:absolute;width:474.65pt;height:63.25pt;z-index:-1;margin-left:73pt;margin-top:225.85pt;mso-wrap-distance-left:0pt;mso-wrap-distance-right:0pt;mso-position-horizontal-relative:page;mso-position-vertical-relative:page">
            <w10:wrap type="square" side="both"/>
            <v:fill opacity="1" o:opacity2="1" recolor="f" rotate="f" type="solid"/>
            <v:textbox inset="0pt, 0pt, 0pt, 0pt">
              <w:txbxContent>
                <w:p>
                  <w:pPr>
                    <w:spacing w:before="143" w:after="0" w:line="341"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Percentage of Population with Access to Locations for Physical</w:t>
                    <w:br/>
                  </w:r>
                  <w:r>
                    <w:rPr>
                      <w:rFonts w:ascii="Calibri" w:hAnsi="Calibri" w:eastAsia="Calibri"/>
                      <w:color w:val="585858"/>
                      <w:spacing w:val="0"/>
                      <w:w w:val="100"/>
                      <w:sz w:val="28"/>
                      <w:vertAlign w:val="baseline"/>
                      <w:lang w:val="en-US"/>
                    </w:rPr>
                    <w:t xml:space="preserve">Activity (2024)</w:t>
                  </w:r>
                </w:p>
                <w:p>
                  <w:pPr>
                    <w:tabs>
                      <w:tab w:val="left" w:leader="none" w:pos="1728"/>
                      <w:tab w:val="left" w:leader="none" w:pos="2592"/>
                      <w:tab w:val="left" w:leader="none" w:pos="3384"/>
                      <w:tab w:val="left" w:leader="none" w:pos="4176"/>
                      <w:tab w:val="left" w:leader="none" w:pos="5040"/>
                      <w:tab w:val="left" w:leader="none" w:pos="5832"/>
                      <w:tab w:val="left" w:leader="none" w:pos="6624"/>
                      <w:tab w:val="left" w:leader="none" w:pos="7488"/>
                      <w:tab w:val="left" w:leader="none" w:pos="8280"/>
                      <w:tab w:val="right" w:leader="none" w:pos="9360"/>
                    </w:tabs>
                    <w:spacing w:before="181" w:after="71" w:line="180" w:lineRule="exact"/>
                    <w:ind w:right="0" w:left="93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	</w:t>
                  </w:r>
                  <w:r>
                    <w:rPr>
                      <w:rFonts w:ascii="Calibri" w:hAnsi="Calibri" w:eastAsia="Calibri"/>
                      <w:color w:val="585858"/>
                      <w:spacing w:val="0"/>
                      <w:w w:val="100"/>
                      <w:sz w:val="18"/>
                      <w:vertAlign w:val="baseline"/>
                      <w:lang w:val="en-US"/>
                    </w:rPr>
                    <w:t xml:space="preserve">10	</w:t>
                  </w:r>
                  <w:r>
                    <w:rPr>
                      <w:rFonts w:ascii="Calibri" w:hAnsi="Calibri" w:eastAsia="Calibri"/>
                      <w:color w:val="585858"/>
                      <w:spacing w:val="0"/>
                      <w:w w:val="100"/>
                      <w:sz w:val="18"/>
                      <w:vertAlign w:val="baseline"/>
                      <w:lang w:val="en-US"/>
                    </w:rPr>
                    <w:t xml:space="preserve">20	</w:t>
                  </w:r>
                  <w:r>
                    <w:rPr>
                      <w:rFonts w:ascii="Calibri" w:hAnsi="Calibri" w:eastAsia="Calibri"/>
                      <w:color w:val="585858"/>
                      <w:spacing w:val="0"/>
                      <w:w w:val="100"/>
                      <w:sz w:val="18"/>
                      <w:vertAlign w:val="baseline"/>
                      <w:lang w:val="en-US"/>
                    </w:rPr>
                    <w:t xml:space="preserve">30	</w:t>
                  </w:r>
                  <w:r>
                    <w:rPr>
                      <w:rFonts w:ascii="Calibri" w:hAnsi="Calibri" w:eastAsia="Calibri"/>
                      <w:color w:val="585858"/>
                      <w:spacing w:val="0"/>
                      <w:w w:val="100"/>
                      <w:sz w:val="18"/>
                      <w:vertAlign w:val="baseline"/>
                      <w:lang w:val="en-US"/>
                    </w:rPr>
                    <w:t xml:space="preserve">40	</w:t>
                  </w:r>
                  <w:r>
                    <w:rPr>
                      <w:rFonts w:ascii="Calibri" w:hAnsi="Calibri" w:eastAsia="Calibri"/>
                      <w:color w:val="585858"/>
                      <w:spacing w:val="0"/>
                      <w:w w:val="100"/>
                      <w:sz w:val="18"/>
                      <w:vertAlign w:val="baseline"/>
                      <w:lang w:val="en-US"/>
                    </w:rPr>
                    <w:t xml:space="preserve">50	</w:t>
                  </w:r>
                  <w:r>
                    <w:rPr>
                      <w:rFonts w:ascii="Calibri" w:hAnsi="Calibri" w:eastAsia="Calibri"/>
                      <w:color w:val="585858"/>
                      <w:spacing w:val="0"/>
                      <w:w w:val="100"/>
                      <w:sz w:val="18"/>
                      <w:vertAlign w:val="baseline"/>
                      <w:lang w:val="en-US"/>
                    </w:rPr>
                    <w:t xml:space="preserve">60	</w:t>
                  </w:r>
                  <w:r>
                    <w:rPr>
                      <w:rFonts w:ascii="Calibri" w:hAnsi="Calibri" w:eastAsia="Calibri"/>
                      <w:color w:val="585858"/>
                      <w:spacing w:val="0"/>
                      <w:w w:val="100"/>
                      <w:sz w:val="18"/>
                      <w:vertAlign w:val="baseline"/>
                      <w:lang w:val="en-US"/>
                    </w:rPr>
                    <w:t xml:space="preserve">70	</w:t>
                  </w:r>
                  <w:r>
                    <w:rPr>
                      <w:rFonts w:ascii="Calibri" w:hAnsi="Calibri" w:eastAsia="Calibri"/>
                      <w:color w:val="585858"/>
                      <w:spacing w:val="0"/>
                      <w:w w:val="100"/>
                      <w:sz w:val="18"/>
                      <w:vertAlign w:val="baseline"/>
                      <w:lang w:val="en-US"/>
                    </w:rPr>
                    <w:t xml:space="preserve">80	</w:t>
                  </w:r>
                  <w:r>
                    <w:rPr>
                      <w:rFonts w:ascii="Calibri" w:hAnsi="Calibri" w:eastAsia="Calibri"/>
                      <w:color w:val="585858"/>
                      <w:spacing w:val="0"/>
                      <w:w w:val="100"/>
                      <w:sz w:val="18"/>
                      <w:vertAlign w:val="baseline"/>
                      <w:lang w:val="en-US"/>
                    </w:rPr>
                    <w:t xml:space="preserve">90	</w:t>
                  </w:r>
                  <w:r>
                    <w:rPr>
                      <w:rFonts w:ascii="Calibri" w:hAnsi="Calibri" w:eastAsia="Calibri"/>
                      <w:color w:val="585858"/>
                      <w:spacing w:val="0"/>
                      <w:w w:val="100"/>
                      <w:sz w:val="18"/>
                      <w:vertAlign w:val="baseline"/>
                      <w:lang w:val="en-US"/>
                    </w:rPr>
                    <w:t xml:space="preserve">100</w:t>
                  </w:r>
                </w:p>
              </w:txbxContent>
            </v:textbox>
          </v:shape>
        </w:pict>
      </w:r>
      <w:r>
        <w:pict>
          <v:shapetype id="_x0000_t219" coordsize="21600,21600" o:spt="202" path="m,l,21600r21600,l21600,xe">
            <v:stroke joinstyle="miter"/>
            <v:path gradientshapeok="t" o:connecttype="rect"/>
          </v:shapetype>
          <v:shape id="_x0000_s218" type="#_x0000_t219" filled="f" stroked="f" style="position:absolute;width:458.3pt;height:127.3pt;z-index:-1;margin-left:73pt;margin-top:289.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22"/>
                    <w:gridCol w:w="7320"/>
                    <w:gridCol w:w="824"/>
                  </w:tblGrid>
                  <w:tr>
                    <w:trPr>
                      <w:trHeight w:val="2545" w:hRule="exact"/>
                    </w:trPr>
                    <w:tc>
                      <w:tcPr>
                        <w:tcW w:w="1022" w:type="dxa"/>
                        <w:tcBorders>
                          <w:top w:val="none"/>
                          <w:left w:val="none"/>
                          <w:bottom w:val="none"/>
                          <w:right w:val="none"/>
                        </w:tcBorders>
                        <w:textDirection w:val="lrTb"/>
                        <w:vAlign w:val="top"/>
                      </w:tcPr>
                      <w:p>
                        <w:pPr>
                          <w:spacing w:before="0" w:after="67" w:line="309" w:lineRule="exact"/>
                          <w:ind w:right="0" w:left="108"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c>
                    <w:tc>
                      <w:tcPr>
                        <w:tcW w:w="7320" w:type="dxa"/>
                        <w:vMerge w:val="restart"/>
                        <w:tcBorders>
                          <w:top w:val="none"/>
                          <w:left w:val="none"/>
                          <w:bottom w:val="none"/>
                          <w:right w:val="single" w:sz="5" w:color="D8D8D8"/>
                        </w:tcBorders>
                        <w:textDirection w:val="lrTb"/>
                        <w:vAlign w:val="top"/>
                      </w:tcPr>
                      <w:p>
                        <w:pPr>
                          <w:spacing w:before="69" w:after="0" w:line="240" w:lineRule="auto"/>
                          <w:ind w:right="0" w:left="0"/>
                          <w:jc w:val="left"/>
                          <w:textAlignment w:val="baseline"/>
                        </w:pPr>
                        <w:r>
                          <w:drawing>
                            <wp:inline>
                              <wp:extent cx="4236720" cy="1572895"/>
                              <wp:docPr name="Picture" id="54"/>
                              <a:graphic>
                                <a:graphicData uri="http://schemas.openxmlformats.org/drawingml/2006/picture">
                                  <pic:pic>
                                    <pic:nvPicPr>
                                      <pic:cNvPr id="54" name="Picture"/>
                                      <pic:cNvPicPr preferRelativeResize="false"/>
                                    </pic:nvPicPr>
                                    <pic:blipFill>
                                      <a:blip r:embed="prId54"/>
                                      <a:stretch>
                                        <a:fillRect/>
                                      </a:stretch>
                                    </pic:blipFill>
                                    <pic:spPr>
                                      <a:xfrm>
                                        <a:off x="0" y="0"/>
                                        <a:ext cx="4236720" cy="1572895"/>
                                      </a:xfrm>
                                      <a:prstGeom prst="rect"/>
                                    </pic:spPr>
                                  </pic:pic>
                                </a:graphicData>
                              </a:graphic>
                            </wp:inline>
                          </w:drawing>
                        </w:r>
                      </w:p>
                    </w:tc>
                    <w:tc>
                      <w:tcPr>
                        <w:tcW w:w="824" w:type="dxa"/>
                        <w:tcBorders>
                          <w:top w:val="none"/>
                          <w:left w:val="single" w:sz="5" w:color="D8D8D8"/>
                          <w:bottom w:val="none"/>
                          <w:right w:val="single" w:sz="5" w:color="D8D8D8"/>
                        </w:tcBorders>
                        <w:textDirection w:val="lrTb"/>
                        <w:vAlign w:val="top"/>
                      </w:tcPr>
                      <w:p/>
                    </w:tc>
                  </w:tr>
                  <w:tr>
                    <w:trPr>
                      <w:trHeight w:val="1" w:hRule="exact"/>
                    </w:trPr>
                    <w:tc>
                      <w:tcPr>
                        <w:tcW w:w="1022" w:type="dxa"/>
                        <w:tcBorders>
                          <w:top w:val="none"/>
                          <w:left w:val="none"/>
                          <w:bottom w:val="none"/>
                          <w:right w:val="none"/>
                        </w:tcBorders>
                        <w:textDirection w:val="lrTb"/>
                        <w:vAlign w:val="top"/>
                      </w:tcPr>
                      <w:p/>
                    </w:tc>
                    <w:tc>
                      <w:tcPr>
                        <w:tcW w:w="7320" w:type="dxa"/>
                        <w:vMerge w:val="continue"/>
                        <w:tcBorders>
                          <w:top w:val="none"/>
                          <w:left w:val="none"/>
                          <w:bottom w:val="none"/>
                          <w:right w:val="none"/>
                        </w:tcBorders>
                        <w:textDirection w:val="lrTb"/>
                        <w:vAlign w:val="top"/>
                      </w:tcPr>
                      <w:p/>
                    </w:tc>
                    <w:tc>
                      <w:tcPr>
                        <w:tcW w:w="824" w:type="dxa"/>
                        <w:tcBorders>
                          <w:top w:val="none"/>
                          <w:left w:val="none"/>
                          <w:bottom w:val="none"/>
                          <w:right w:val="none"/>
                        </w:tcBorders>
                        <w:textDirection w:val="lrTb"/>
                        <w:vAlign w:val="top"/>
                      </w:tcPr>
                      <w:p/>
                    </w:tc>
                  </w:tr>
                </w:tbl>
              </w:txbxContent>
            </v:textbox>
          </v:shape>
        </w:pict>
      </w:r>
      <w:r>
        <w:pict>
          <v:shapetype id="_x0000_t220" coordsize="21600,21600" o:spt="202" path="m,l,21600r21600,l21600,xe">
            <v:stroke joinstyle="miter"/>
            <v:path gradientshapeok="t" o:connecttype="rect"/>
          </v:shapetype>
          <v:shape id="_x0000_s219" type="#_x0000_t22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48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21" coordsize="21600,21600" o:spt="202" path="m,l,21600r21600,l21600,xe">
            <v:stroke joinstyle="miter"/>
            <v:path gradientshapeok="t" o:connecttype="rect"/>
          </v:shapetype>
          <v:shape id="_x0000_s220" type="#_x0000_t221" filled="f" stroked="f" style="position:absolute;width:448.35pt;height:180.55pt;z-index:-1;margin-left:75.1pt;margin-top:498pt;mso-wrap-distance-left:75.1pt;mso-wrap-distance-right:88.05pt;mso-position-horizontal-relative:page;mso-position-vertical-relative:page">
            <w10:wrap type="square"/>
            <v:fill opacity="1" o:opacity2="1" recolor="f" rotate="f" type="solid"/>
            <v:textbox inset="0pt, 0pt, 0pt, 0pt">
              <w:txbxContent>
                <w:p>
                  <w:pPr>
                    <w:pBdr>
                      <w:top w:sz="5" w:space="0" w:color="D9D9D9" w:val="single"/>
                      <w:left w:sz="5" w:space="75" w:color="D9D9D9" w:val="single"/>
                      <w:bottom w:sz="5" w:space="0" w:color="D9D9D9" w:val="single"/>
                      <w:right w:sz="5" w:space="88" w:color="D9D9D9" w:val="single"/>
                    </w:pBdr>
                  </w:pP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612pt;height:22.25pt;z-index:1;margin-left:0pt;margin-top:86pt;mso-wrap-distance-left:0pt;mso-wrap-distance-right:0pt;mso-position-horizontal-relative:page;mso-position-vertical-relative:page">
            <w10:wrap anchorx="page" anchory="page"/>
            <v:fill opacity="1" o:opacity2="1" recolor="f" rotate="f" type="solid"/>
            <v:textbox inset="0pt, 0pt, 0pt, 0pt">
              <w:txbxContent>
                <w:p>
                  <w:pPr>
                    <w:spacing w:before="20" w:after="240" w:line="180"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20: Walkability Index</w:t>
                  </w:r>
                </w:p>
              </w:txbxContent>
            </v:textbox>
          </v:shape>
        </w:pict>
      </w:r>
      <w:r>
        <w:pict>
          <v:shapetype id="_x0000_t224" coordsize="21600,21600" o:spt="202" path="m,l,21600r21600,l21600,xe">
            <v:stroke joinstyle="miter"/>
            <v:path gradientshapeok="t" o:connecttype="rect"/>
          </v:shapetype>
          <v:shape id="_x0000_s223" type="#_x0000_t224" filled="f" stroked="f" style="position:absolute;width:612pt;height:222.1pt;z-index:-1;margin-left:0pt;margin-top:108.25pt;mso-wrap-distance-left:0pt;mso-wrap-distance-right:0pt;mso-position-horizontal-relative:page;mso-position-vertical-relative:page">
            <w10:wrap type="square" side="both"/>
            <v:fill opacity="1" o:opacity2="1" recolor="f" rotate="f" type="solid"/>
            <v:textbox inset="0pt, 0pt, 0pt, 0pt">
              <w:txbxContent>
                <w:p>
                  <w:pPr>
                    <w:spacing w:before="0" w:after="98" w:line="240" w:lineRule="auto"/>
                    <w:ind w:right="1843" w:left="1512"/>
                    <w:jc w:val="left"/>
                    <w:textAlignment w:val="baseline"/>
                  </w:pPr>
                  <w:r>
                    <w:drawing>
                      <wp:inline>
                        <wp:extent cx="5641975" cy="2758440"/>
                        <wp:docPr name="Picture" id="55"/>
                        <a:graphic>
                          <a:graphicData uri="http://schemas.openxmlformats.org/drawingml/2006/picture">
                            <pic:pic>
                              <pic:nvPicPr>
                                <pic:cNvPr id="55" name="Picture"/>
                                <pic:cNvPicPr preferRelativeResize="false"/>
                              </pic:nvPicPr>
                              <pic:blipFill>
                                <a:blip r:embed="prId55"/>
                                <a:stretch>
                                  <a:fillRect/>
                                </a:stretch>
                              </pic:blipFill>
                              <pic:spPr>
                                <a:xfrm>
                                  <a:off x="0" y="0"/>
                                  <a:ext cx="5641975" cy="2758440"/>
                                </a:xfrm>
                                <a:prstGeom prst="rect"/>
                              </pic:spPr>
                            </pic:pic>
                          </a:graphicData>
                        </a:graphic>
                      </wp:inline>
                    </w:drawing>
                  </w:r>
                </w:p>
              </w:txbxContent>
            </v:textbox>
          </v:shape>
        </w:pict>
      </w:r>
      <w:r>
        <w:pict>
          <v:shapetype id="_x0000_t225" coordsize="21600,21600" o:spt="202" path="m,l,21600r21600,l21600,xe">
            <v:stroke joinstyle="miter"/>
            <v:path gradientshapeok="t" o:connecttype="rect"/>
          </v:shapetype>
          <v:shape id="_x0000_s224" type="#_x0000_t225" filled="f" stroked="f" style="position:absolute;width:612pt;height:167.65pt;z-index:1;margin-left:0pt;margin-top:330.3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79" w:lineRule="exact"/>
                    <w:ind w:right="0" w:left="158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EPA Office of Community Revitalization</w:t>
                  </w:r>
                </w:p>
                <w:p>
                  <w:pPr>
                    <w:spacing w:before="211"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Access to Community Services and Support</w:t>
                  </w:r>
                </w:p>
                <w:p>
                  <w:pPr>
                    <w:spacing w:before="179" w:after="0" w:line="268"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Social Vulnerability Index was developed to measure the level of access to community services and support in the wake of emergencies. It is a useful tool for public health programming and outreach as it considers poverty, unemployment, income, high school graduation rate, single parent homes, individuals with disabilities, those over 65, minority status, spoken language, housing and transportation. It is measured on a scale from 0 (lowest vulnerability) to 1 (highest vulnerability). While no county is considered highest vulnerability, Chemung, Seneca, Steuben and Yates are above the 0.5 midpoint. (Figure 21)</w:t>
                  </w:r>
                </w:p>
                <w:p>
                  <w:pPr>
                    <w:spacing w:before="314" w:after="158"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21: Social Vulnerability Index</w:t>
                  </w:r>
                </w:p>
              </w:txbxContent>
            </v:textbox>
          </v:shape>
        </w:pict>
      </w:r>
      <w:r>
        <w:pict>
          <v:shapetype id="_x0000_t226" coordsize="21600,21600" o:spt="202" path="m,l,21600r21600,l21600,xe">
            <v:stroke joinstyle="miter"/>
            <v:path gradientshapeok="t" o:connecttype="rect"/>
          </v:shapetype>
          <v:shape id="_x0000_s225" type="#_x0000_t226" filled="f" stroked="f" style="position:absolute;width:612pt;height:38.3pt;z-index:1;margin-left:0pt;margin-top:678.55pt;mso-wrap-distance-left:0pt;mso-wrap-distance-right:0pt;mso-position-horizontal-relative:page;mso-position-vertical-relative:page">
            <w10:wrap anchorx="page" anchory="page"/>
            <v:fill opacity="1" o:opacity2="1" recolor="f" rotate="f" type="solid"/>
            <v:textbox inset="0pt, 0pt, 0pt, 0pt">
              <w:txbxContent>
                <w:p>
                  <w:pPr>
                    <w:spacing w:before="0" w:after="336" w:line="210" w:lineRule="exact"/>
                    <w:ind w:right="1800" w:left="151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Centers for Disease Control and Prevention/Agency for Toxic Substances and Disease Registry/Geospatial Research, Analysis, and Services Program. CDC/ATSDR Social Vulnerability Index Interactive</w:t>
                  </w:r>
                </w:p>
              </w:txbxContent>
            </v:textbox>
          </v:shape>
        </w:pict>
      </w:r>
      <w:r>
        <w:pict>
          <v:shapetype id="_x0000_t227" coordsize="21600,21600" o:spt="202" path="m,l,21600r21600,l21600,xe">
            <v:stroke joinstyle="miter"/>
            <v:path gradientshapeok="t" o:connecttype="rect"/>
          </v:shapetype>
          <v:shape id="_x0000_s226" type="#_x0000_t227" filled="f" stroked="f" style="position:absolute;width:444.95pt;height:32.5pt;z-index:-1;margin-left:76.8pt;margin-top:498pt;mso-wrap-distance-left:0pt;mso-wrap-distance-right:0pt;mso-position-horizontal-relative:page;mso-position-vertical-relative:page">
            <w10:wrap type="square" side="both"/>
            <v:fill opacity="1" o:opacity2="1" recolor="f" rotate="f" type="solid"/>
            <v:textbox inset="0pt, 0pt, 0pt, 0pt">
              <w:txbxContent>
                <w:p>
                  <w:pPr>
                    <w:spacing w:before="198" w:after="153" w:line="287"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Social Vulnerability Index (2022)</w:t>
                  </w:r>
                </w:p>
              </w:txbxContent>
            </v:textbox>
          </v:shape>
        </w:pict>
      </w:r>
      <w:r>
        <w:pict>
          <v:shapetype id="_x0000_t228" coordsize="21600,21600" o:spt="202" path="m,l,21600r21600,l21600,xe">
            <v:stroke joinstyle="miter"/>
            <v:path gradientshapeok="t" o:connecttype="rect"/>
          </v:shapetype>
          <v:shape id="_x0000_s227" type="#_x0000_t228" filled="f" stroked="f" style="position:absolute;width:444.95pt;height:14.45pt;z-index:-1;margin-left:76.8pt;margin-top:530.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656"/>
                      <w:tab w:val="left" w:leader="none" w:pos="2448"/>
                      <w:tab w:val="left" w:leader="none" w:pos="3168"/>
                      <w:tab w:val="left" w:leader="none" w:pos="3960"/>
                      <w:tab w:val="left" w:leader="none" w:pos="4752"/>
                      <w:tab w:val="left" w:leader="none" w:pos="5472"/>
                      <w:tab w:val="left" w:leader="none" w:pos="6264"/>
                      <w:tab w:val="left" w:leader="none" w:pos="7056"/>
                      <w:tab w:val="left" w:leader="none" w:pos="7776"/>
                      <w:tab w:val="right" w:leader="none" w:pos="8712"/>
                    </w:tabs>
                    <w:spacing w:before="20" w:after="76" w:line="180" w:lineRule="exact"/>
                    <w:ind w:right="0" w:left="93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	</w:t>
                  </w:r>
                  <w:r>
                    <w:rPr>
                      <w:rFonts w:ascii="Calibri" w:hAnsi="Calibri" w:eastAsia="Calibri"/>
                      <w:color w:val="585858"/>
                      <w:spacing w:val="0"/>
                      <w:w w:val="100"/>
                      <w:sz w:val="18"/>
                      <w:vertAlign w:val="baseline"/>
                      <w:lang w:val="en-US"/>
                    </w:rPr>
                    <w:t xml:space="preserve">0.1	</w:t>
                  </w:r>
                  <w:r>
                    <w:rPr>
                      <w:rFonts w:ascii="Calibri" w:hAnsi="Calibri" w:eastAsia="Calibri"/>
                      <w:color w:val="585858"/>
                      <w:spacing w:val="0"/>
                      <w:w w:val="100"/>
                      <w:sz w:val="18"/>
                      <w:vertAlign w:val="baseline"/>
                      <w:lang w:val="en-US"/>
                    </w:rPr>
                    <w:t xml:space="preserve">0.2	</w:t>
                  </w:r>
                  <w:r>
                    <w:rPr>
                      <w:rFonts w:ascii="Calibri" w:hAnsi="Calibri" w:eastAsia="Calibri"/>
                      <w:color w:val="585858"/>
                      <w:spacing w:val="0"/>
                      <w:w w:val="100"/>
                      <w:sz w:val="18"/>
                      <w:vertAlign w:val="baseline"/>
                      <w:lang w:val="en-US"/>
                    </w:rPr>
                    <w:t xml:space="preserve">0.3	</w:t>
                  </w:r>
                  <w:r>
                    <w:rPr>
                      <w:rFonts w:ascii="Calibri" w:hAnsi="Calibri" w:eastAsia="Calibri"/>
                      <w:color w:val="585858"/>
                      <w:spacing w:val="0"/>
                      <w:w w:val="100"/>
                      <w:sz w:val="18"/>
                      <w:vertAlign w:val="baseline"/>
                      <w:lang w:val="en-US"/>
                    </w:rPr>
                    <w:t xml:space="preserve">0.4	</w:t>
                  </w:r>
                  <w:r>
                    <w:rPr>
                      <w:rFonts w:ascii="Calibri" w:hAnsi="Calibri" w:eastAsia="Calibri"/>
                      <w:color w:val="585858"/>
                      <w:spacing w:val="0"/>
                      <w:w w:val="100"/>
                      <w:sz w:val="18"/>
                      <w:vertAlign w:val="baseline"/>
                      <w:lang w:val="en-US"/>
                    </w:rPr>
                    <w:t xml:space="preserve">0.5	</w:t>
                  </w:r>
                  <w:r>
                    <w:rPr>
                      <w:rFonts w:ascii="Calibri" w:hAnsi="Calibri" w:eastAsia="Calibri"/>
                      <w:color w:val="585858"/>
                      <w:spacing w:val="0"/>
                      <w:w w:val="100"/>
                      <w:sz w:val="18"/>
                      <w:vertAlign w:val="baseline"/>
                      <w:lang w:val="en-US"/>
                    </w:rPr>
                    <w:t xml:space="preserve">0.6	</w:t>
                  </w:r>
                  <w:r>
                    <w:rPr>
                      <w:rFonts w:ascii="Calibri" w:hAnsi="Calibri" w:eastAsia="Calibri"/>
                      <w:color w:val="585858"/>
                      <w:spacing w:val="0"/>
                      <w:w w:val="100"/>
                      <w:sz w:val="18"/>
                      <w:vertAlign w:val="baseline"/>
                      <w:lang w:val="en-US"/>
                    </w:rPr>
                    <w:t xml:space="preserve">0.7	</w:t>
                  </w:r>
                  <w:r>
                    <w:rPr>
                      <w:rFonts w:ascii="Calibri" w:hAnsi="Calibri" w:eastAsia="Calibri"/>
                      <w:color w:val="585858"/>
                      <w:spacing w:val="0"/>
                      <w:w w:val="100"/>
                      <w:sz w:val="18"/>
                      <w:vertAlign w:val="baseline"/>
                      <w:lang w:val="en-US"/>
                    </w:rPr>
                    <w:t xml:space="preserve">0.8	</w:t>
                  </w:r>
                  <w:r>
                    <w:rPr>
                      <w:rFonts w:ascii="Calibri" w:hAnsi="Calibri" w:eastAsia="Calibri"/>
                      <w:color w:val="585858"/>
                      <w:spacing w:val="0"/>
                      <w:w w:val="100"/>
                      <w:sz w:val="18"/>
                      <w:vertAlign w:val="baseline"/>
                      <w:lang w:val="en-US"/>
                    </w:rPr>
                    <w:t xml:space="preserve">0.9	</w:t>
                  </w:r>
                  <w:r>
                    <w:rPr>
                      <w:rFonts w:ascii="Calibri" w:hAnsi="Calibri" w:eastAsia="Calibri"/>
                      <w:color w:val="585858"/>
                      <w:spacing w:val="0"/>
                      <w:w w:val="100"/>
                      <w:sz w:val="18"/>
                      <w:vertAlign w:val="baseline"/>
                      <w:lang w:val="en-US"/>
                    </w:rPr>
                    <w:t xml:space="preserve">1</w:t>
                  </w:r>
                </w:p>
              </w:txbxContent>
            </v:textbox>
          </v:shape>
        </w:pict>
      </w:r>
      <w:r>
        <w:pict>
          <v:shapetype id="_x0000_t229" coordsize="21600,21600" o:spt="202" path="m,l,21600r21600,l21600,xe">
            <v:stroke joinstyle="miter"/>
            <v:path gradientshapeok="t" o:connecttype="rect"/>
          </v:shapetype>
          <v:shape id="_x0000_s228" type="#_x0000_t229" filled="f" stroked="f" style="position:absolute;width:444.95pt;height:132.2pt;z-index:-1;margin-left:76.8pt;margin-top:544.9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18"/>
                    <w:gridCol w:w="6105"/>
                    <w:gridCol w:w="768"/>
                    <w:gridCol w:w="776"/>
                  </w:tblGrid>
                  <w:tr>
                    <w:trPr>
                      <w:trHeight w:val="2377" w:hRule="exact"/>
                    </w:trPr>
                    <w:tc>
                      <w:tcPr>
                        <w:tcW w:w="1018" w:type="dxa"/>
                        <w:tcBorders>
                          <w:top w:val="none"/>
                          <w:left w:val="none"/>
                          <w:bottom w:val="none"/>
                          <w:right w:val="none"/>
                        </w:tcBorders>
                        <w:textDirection w:val="lrTb"/>
                        <w:vAlign w:val="top"/>
                      </w:tcPr>
                      <w:p>
                        <w:pPr>
                          <w:spacing w:before="0" w:after="43" w:line="290" w:lineRule="exact"/>
                          <w:ind w:right="0" w:left="108"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c>
                    <w:tc>
                      <w:tcPr>
                        <w:tcW w:w="6105" w:type="dxa"/>
                        <w:vMerge w:val="restart"/>
                        <w:tcBorders>
                          <w:top w:val="none"/>
                          <w:left w:val="none"/>
                          <w:bottom w:val="none"/>
                          <w:right w:val="single" w:sz="5" w:color="D9D9D9"/>
                        </w:tcBorders>
                        <w:textDirection w:val="lrTb"/>
                        <w:vAlign w:val="top"/>
                      </w:tcPr>
                      <w:p>
                        <w:pPr>
                          <w:spacing w:before="55" w:after="14" w:line="240" w:lineRule="auto"/>
                          <w:ind w:right="0" w:left="0"/>
                          <w:jc w:val="left"/>
                          <w:textAlignment w:val="baseline"/>
                        </w:pPr>
                        <w:r>
                          <w:drawing>
                            <wp:inline>
                              <wp:extent cx="3739515" cy="1475105"/>
                              <wp:docPr name="Picture" id="56"/>
                              <a:graphic>
                                <a:graphicData uri="http://schemas.openxmlformats.org/drawingml/2006/picture">
                                  <pic:pic>
                                    <pic:nvPicPr>
                                      <pic:cNvPr id="56" name="Picture"/>
                                      <pic:cNvPicPr preferRelativeResize="false"/>
                                    </pic:nvPicPr>
                                    <pic:blipFill>
                                      <a:blip r:embed="prId56"/>
                                      <a:stretch>
                                        <a:fillRect/>
                                      </a:stretch>
                                    </pic:blipFill>
                                    <pic:spPr>
                                      <a:xfrm>
                                        <a:off x="0" y="0"/>
                                        <a:ext cx="3739515" cy="1475105"/>
                                      </a:xfrm>
                                      <a:prstGeom prst="rect"/>
                                    </pic:spPr>
                                  </pic:pic>
                                </a:graphicData>
                              </a:graphic>
                            </wp:inline>
                          </w:drawing>
                        </w:r>
                      </w:p>
                    </w:tc>
                    <w:tc>
                      <w:tcPr>
                        <w:tcW w:w="768" w:type="dxa"/>
                        <w:tcBorders>
                          <w:top w:val="none"/>
                          <w:left w:val="single" w:sz="5" w:color="D9D9D9"/>
                          <w:bottom w:val="none"/>
                          <w:right w:val="single" w:sz="5" w:color="D9D9D9"/>
                        </w:tcBorders>
                        <w:textDirection w:val="lrTb"/>
                        <w:vAlign w:val="top"/>
                      </w:tcPr>
                      <w:p/>
                    </w:tc>
                    <w:tc>
                      <w:tcPr>
                        <w:tcW w:w="776" w:type="dxa"/>
                        <w:tcBorders>
                          <w:top w:val="none"/>
                          <w:left w:val="single" w:sz="5" w:color="D9D9D9"/>
                          <w:bottom w:val="none"/>
                          <w:right w:val="single" w:sz="5" w:color="D9D9D9"/>
                        </w:tcBorders>
                        <w:textDirection w:val="lrTb"/>
                        <w:vAlign w:val="top"/>
                      </w:tcPr>
                      <w:p/>
                    </w:tc>
                  </w:tr>
                  <w:tr>
                    <w:trPr>
                      <w:trHeight w:val="15" w:hRule="exact"/>
                    </w:trPr>
                    <w:tc>
                      <w:tcPr>
                        <w:tcW w:w="1018" w:type="dxa"/>
                        <w:tcBorders>
                          <w:top w:val="none"/>
                          <w:left w:val="none"/>
                          <w:bottom w:val="none"/>
                          <w:right w:val="none"/>
                        </w:tcBorders>
                        <w:textDirection w:val="lrTb"/>
                        <w:vAlign w:val="top"/>
                      </w:tcPr>
                      <w:p/>
                    </w:tc>
                    <w:tc>
                      <w:tcPr>
                        <w:tcW w:w="6105" w:type="dxa"/>
                        <w:vMerge w:val="continue"/>
                        <w:tcBorders>
                          <w:top w:val="none"/>
                          <w:left w:val="none"/>
                          <w:bottom w:val="none"/>
                          <w:right w:val="none"/>
                        </w:tcBorders>
                        <w:textDirection w:val="lrTb"/>
                        <w:vAlign w:val="top"/>
                      </w:tcPr>
                      <w:p/>
                    </w:tc>
                    <w:tc>
                      <w:tcPr>
                        <w:tcW w:w="768" w:type="dxa"/>
                        <w:tcBorders>
                          <w:top w:val="none"/>
                          <w:left w:val="none"/>
                          <w:bottom w:val="none"/>
                          <w:right w:val="none"/>
                        </w:tcBorders>
                        <w:textDirection w:val="lrTb"/>
                        <w:vAlign w:val="top"/>
                      </w:tcPr>
                      <w:p/>
                    </w:tc>
                    <w:tc>
                      <w:tcPr>
                        <w:tcW w:w="776" w:type="dxa"/>
                        <w:tcBorders>
                          <w:top w:val="none"/>
                          <w:left w:val="none"/>
                          <w:bottom w:val="none"/>
                          <w:right w:val="none"/>
                        </w:tcBorders>
                        <w:textDirection w:val="lrTb"/>
                        <w:vAlign w:val="top"/>
                      </w:tcPr>
                      <w:p/>
                    </w:tc>
                  </w:tr>
                </w:tbl>
                <w:p>
                  <w:pPr>
                    <w:spacing w:before="0" w:after="232" w:line="20" w:lineRule="exact"/>
                  </w:pPr>
                </w:p>
              </w:txbxContent>
            </v:textbox>
          </v:shape>
        </w:pict>
      </w:r>
      <w:r>
        <w:pict>
          <v:shapetype id="_x0000_t230" coordsize="21600,21600" o:spt="202" path="m,l,21600r21600,l21600,xe">
            <v:stroke joinstyle="miter"/>
            <v:path gradientshapeok="t" o:connecttype="rect"/>
          </v:shapetype>
          <v:shape id="_x0000_s229" type="#_x0000_t23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49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 w:after="0" w:line="289" w:lineRule="exact"/>
        <w:ind w:right="151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The Finger Lakes Region is aging and people over the age of 65 who live alone may lack access to community services and support. Map 12 highlights the distribution of this population. Loneliness and social isolation among adults over 65 can create serious physical, mental, and social health challenges. Physical challenges include increased risk of chronic diseases, higher mortality risk, and poor nutrition and sleep. Mental health impacts include depression and anxiety, cognitive decline and lower resilience in coping with mental and physical challenges. Social isolation may make it difficult to access services and supports, particularly during emergencies like a fall. Social isolation may also cause a loss of purpose and can perpetuate elder abuse by allowing it to go undetected.</w:t>
      </w:r>
      <w:r>
        <w:rPr>
          <w:rFonts w:ascii="Calibri" w:hAnsi="Calibri" w:eastAsia="Calibri"/>
          <w:color w:val="000000"/>
          <w:spacing w:val="0"/>
          <w:w w:val="100"/>
          <w:sz w:val="22"/>
          <w:vertAlign w:val="superscript"/>
          <w:lang w:val="en-US"/>
        </w:rPr>
        <w:t xml:space="preserve">23</w:t>
      </w:r>
      <w:r>
        <w:rPr>
          <w:rFonts w:ascii="Calibri" w:hAnsi="Calibri" w:eastAsia="Calibri"/>
          <w:color w:val="000000"/>
          <w:spacing w:val="0"/>
          <w:w w:val="100"/>
          <w:sz w:val="13"/>
          <w:vertAlign w:val="baseline"/>
          <w:lang w:val="en-US"/>
        </w:rPr>
        <w:t xml:space="preserve">
</w:t>
      </w:r>
    </w:p>
    <w:p>
      <w:pPr>
        <w:spacing w:before="372" w:after="197"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12: Percentage of the population of those 65 years and older living alone by zip code</w:t>
      </w:r>
    </w:p>
    <w:p>
      <w:pPr>
        <w:spacing w:before="0" w:after="526" w:line="240" w:lineRule="auto"/>
        <w:ind w:right="1526" w:left="1459"/>
        <w:jc w:val="left"/>
        <w:textAlignment w:val="baseline"/>
      </w:pPr>
      <w:r>
        <w:drawing>
          <wp:inline>
            <wp:extent cx="5876925" cy="2843530"/>
            <wp:docPr name="Picture" id="57"/>
            <a:graphic>
              <a:graphicData uri="http://schemas.openxmlformats.org/drawingml/2006/picture">
                <pic:pic>
                  <pic:nvPicPr>
                    <pic:cNvPr id="57" name="Picture"/>
                    <pic:cNvPicPr preferRelativeResize="false"/>
                  </pic:nvPicPr>
                  <pic:blipFill>
                    <a:blip r:embed="prId57"/>
                    <a:stretch>
                      <a:fillRect/>
                    </a:stretch>
                  </pic:blipFill>
                  <pic:spPr>
                    <a:xfrm>
                      <a:off x="0" y="0"/>
                      <a:ext cx="5876925" cy="2843530"/>
                    </a:xfrm>
                    <a:prstGeom prst="rect"/>
                  </pic:spPr>
                </pic:pic>
              </a:graphicData>
            </a:graphic>
          </wp:inline>
        </w:drawing>
      </w:r>
    </w:p>
    <w:p>
      <w:pPr>
        <w:spacing w:before="26"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Injuries and Violence</w:t>
      </w:r>
    </w:p>
    <w:p>
      <w:pPr>
        <w:spacing w:before="157" w:after="0" w:line="289" w:lineRule="exact"/>
        <w:ind w:right="144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Injuries and violence are a major and growing concern across the eight-county Finger Lakes region. Because “injuries and violence” in this assessment includes several distinct indicators (unintentional injury, violent crime, and firearm-related deaths), each measure uses a different baseline year based on data availability. For example, unintentional injury trends use a 2015 baseline, firearm-related deaths use 2018, and violent crime uses 2013. As a result, rates and trends should be interpreted within the context of each indicator’s specific baseline year rather than as a single combined trend for injuries and violence.</w:t>
      </w:r>
    </w:p>
    <w:p>
      <w:pPr>
        <w:spacing w:before="164" w:after="499" w:line="289"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Unintentional injuries in NYS Vital Statistics include deaths from external causes that are not intentionally self-inflicted or due to assault, such as motor vehicle crashes, falls, drownings, fires and burns, accidental poisonings (including many drug overdoses coded as unintentional), and other accidental injuries.</w:t>
      </w:r>
    </w:p>
    <w:p>
      <w:pPr>
        <w:spacing w:before="100" w:after="60" w:line="243" w:lineRule="exact"/>
        <w:ind w:right="1584"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72.5pt" to="216.3pt,672.5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23</w:t>
      </w:r>
      <w:r>
        <w:rPr>
          <w:rFonts w:ascii="Calibri" w:hAnsi="Calibri" w:eastAsia="Calibri"/>
          <w:color w:val="000000"/>
          <w:spacing w:val="0"/>
          <w:w w:val="100"/>
          <w:sz w:val="20"/>
          <w:vertAlign w:val="baseline"/>
          <w:lang w:val="en-US"/>
        </w:rPr>
        <w:t xml:space="preserve"> Perissinofto CM, Stijacic Cenzer I, Covinsky KE. Loneliness in older persons: a predictor of functional decline and death. Arch Intern Med. 2012 Jul 23;172(14):1078-83. doi: 10.1001/archinternmed.2012.1993. PMID: 22710744; PMCID: PMC4383762.</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50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9" w:after="0" w:line="288" w:lineRule="exact"/>
        <w:ind w:right="151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Unintentional Injuries in the eight counties of the Finger Lakes region have increased since 2015 and, in many cases, alarmingly. The exception is Seneca County which decreased in age-adjusted death rate for unintentional injury in 2015 from 2022. Three counties are below the New York State average for age-adjusted death rate for unintentional injury. Conversely, five counties exceed the New York State average for age-adjusted death rate (death before age 75) for unintentional injury. All counties have increased in this indicator from baseline. (Table 15)</w:t>
      </w:r>
    </w:p>
    <w:p>
      <w:pPr>
        <w:spacing w:before="224" w:after="202" w:line="179"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15: Injuries and Violence</w:t>
      </w:r>
    </w:p>
    <w:tbl>
      <w:tblPr>
        <w:jc w:val="left"/>
        <w:tblInd w:w="1440" w:type="dxa"/>
        <w:tblLayout w:type="fixed"/>
        <w:tblCellMar>
          <w:left w:w="0" w:type="dxa"/>
          <w:right w:w="0" w:type="dxa"/>
        </w:tblCellMar>
      </w:tblPr>
      <w:tblGrid>
        <w:gridCol w:w="1872"/>
        <w:gridCol w:w="1872"/>
        <w:gridCol w:w="1867"/>
        <w:gridCol w:w="1872"/>
        <w:gridCol w:w="1877"/>
      </w:tblGrid>
      <w:tr>
        <w:trPr>
          <w:trHeight w:val="2429" w:hRule="exact"/>
        </w:trPr>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8" w:after="2155" w:line="226" w:lineRule="exact"/>
              <w:ind w:right="610"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45"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Age-Adjusted</w:t>
              <w:br/>
            </w:r>
            <w:r>
              <w:rPr>
                <w:rFonts w:ascii="Calibri" w:hAnsi="Calibri" w:eastAsia="Calibri"/>
                <w:b w:val="true"/>
                <w:color w:val="FFFFFF"/>
                <w:spacing w:val="0"/>
                <w:w w:val="100"/>
                <w:sz w:val="22"/>
                <w:vertAlign w:val="baseline"/>
                <w:lang w:val="en-US"/>
              </w:rPr>
              <w:t xml:space="preserve">Death Rate for</w:t>
              <w:br/>
            </w:r>
            <w:r>
              <w:rPr>
                <w:rFonts w:ascii="Calibri" w:hAnsi="Calibri" w:eastAsia="Calibri"/>
                <w:b w:val="true"/>
                <w:color w:val="FFFFFF"/>
                <w:spacing w:val="0"/>
                <w:w w:val="100"/>
                <w:sz w:val="22"/>
                <w:vertAlign w:val="baseline"/>
                <w:lang w:val="en-US"/>
              </w:rPr>
              <w:t xml:space="preserve">Unintentional</w:t>
              <w:br/>
            </w:r>
            <w:r>
              <w:rPr>
                <w:rFonts w:ascii="Calibri" w:hAnsi="Calibri" w:eastAsia="Calibri"/>
                <w:b w:val="true"/>
                <w:color w:val="FFFFFF"/>
                <w:spacing w:val="0"/>
                <w:w w:val="100"/>
                <w:sz w:val="22"/>
                <w:vertAlign w:val="baseline"/>
                <w:lang w:val="en-US"/>
              </w:rPr>
              <w:t xml:space="preserve">Injury per</w:t>
              <w:br/>
            </w:r>
            <w:r>
              <w:rPr>
                <w:rFonts w:ascii="Calibri" w:hAnsi="Calibri" w:eastAsia="Calibri"/>
                <w:b w:val="true"/>
                <w:color w:val="FFFFFF"/>
                <w:spacing w:val="0"/>
                <w:w w:val="100"/>
                <w:sz w:val="22"/>
                <w:vertAlign w:val="baseline"/>
                <w:lang w:val="en-US"/>
              </w:rPr>
              <w:t xml:space="preserve">100,000</w:t>
              <w:br/>
            </w: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 = 54.1)</w:t>
            </w:r>
          </w:p>
        </w:tc>
        <w:tc>
          <w:tcPr>
            <w:tcW w:w="186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Change</w:t>
              <w:br/>
            </w:r>
            <w:r>
              <w:rPr>
                <w:rFonts w:ascii="Calibri" w:hAnsi="Calibri" w:eastAsia="Calibri"/>
                <w:b w:val="true"/>
                <w:color w:val="FFFFFF"/>
                <w:spacing w:val="0"/>
                <w:w w:val="100"/>
                <w:sz w:val="22"/>
                <w:vertAlign w:val="baseline"/>
                <w:lang w:val="en-US"/>
              </w:rPr>
              <w:t xml:space="preserve">from Baseline of</w:t>
            </w:r>
          </w:p>
          <w:p>
            <w:pPr>
              <w:spacing w:before="41" w:after="1625" w:line="223" w:lineRule="exact"/>
              <w:ind w:right="632"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2015</w:t>
            </w:r>
          </w:p>
        </w:tc>
        <w:tc>
          <w:tcPr>
            <w:tcW w:w="187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2"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Age-Adjusted</w:t>
              <w:br/>
            </w:r>
            <w:r>
              <w:rPr>
                <w:rFonts w:ascii="Calibri" w:hAnsi="Calibri" w:eastAsia="Calibri"/>
                <w:b w:val="true"/>
                <w:color w:val="FFFFFF"/>
                <w:spacing w:val="0"/>
                <w:w w:val="100"/>
                <w:sz w:val="22"/>
                <w:vertAlign w:val="baseline"/>
                <w:lang w:val="en-US"/>
              </w:rPr>
              <w:t xml:space="preserve">Premature Death</w:t>
              <w:br/>
            </w:r>
            <w:r>
              <w:rPr>
                <w:rFonts w:ascii="Calibri" w:hAnsi="Calibri" w:eastAsia="Calibri"/>
                <w:b w:val="true"/>
                <w:color w:val="FFFFFF"/>
                <w:spacing w:val="0"/>
                <w:w w:val="100"/>
                <w:sz w:val="22"/>
                <w:vertAlign w:val="baseline"/>
                <w:lang w:val="en-US"/>
              </w:rPr>
              <w:t xml:space="preserve">Rate (Death</w:t>
              <w:br/>
            </w:r>
            <w:r>
              <w:rPr>
                <w:rFonts w:ascii="Calibri" w:hAnsi="Calibri" w:eastAsia="Calibri"/>
                <w:b w:val="true"/>
                <w:color w:val="FFFFFF"/>
                <w:spacing w:val="0"/>
                <w:w w:val="100"/>
                <w:sz w:val="22"/>
                <w:vertAlign w:val="baseline"/>
                <w:lang w:val="en-US"/>
              </w:rPr>
              <w:t xml:space="preserve">Before Age 75) for</w:t>
              <w:br/>
            </w:r>
            <w:r>
              <w:rPr>
                <w:rFonts w:ascii="Calibri" w:hAnsi="Calibri" w:eastAsia="Calibri"/>
                <w:b w:val="true"/>
                <w:color w:val="FFFFFF"/>
                <w:spacing w:val="0"/>
                <w:w w:val="100"/>
                <w:sz w:val="22"/>
                <w:vertAlign w:val="baseline"/>
                <w:lang w:val="en-US"/>
              </w:rPr>
              <w:t xml:space="preserve">Unintentional</w:t>
              <w:br/>
            </w:r>
            <w:r>
              <w:rPr>
                <w:rFonts w:ascii="Calibri" w:hAnsi="Calibri" w:eastAsia="Calibri"/>
                <w:b w:val="true"/>
                <w:color w:val="FFFFFF"/>
                <w:spacing w:val="0"/>
                <w:w w:val="100"/>
                <w:sz w:val="22"/>
                <w:vertAlign w:val="baseline"/>
                <w:lang w:val="en-US"/>
              </w:rPr>
              <w:t xml:space="preserve">Injury per</w:t>
              <w:br/>
            </w:r>
            <w:r>
              <w:rPr>
                <w:rFonts w:ascii="Calibri" w:hAnsi="Calibri" w:eastAsia="Calibri"/>
                <w:b w:val="true"/>
                <w:color w:val="FFFFFF"/>
                <w:spacing w:val="0"/>
                <w:w w:val="100"/>
                <w:sz w:val="22"/>
                <w:vertAlign w:val="baseline"/>
                <w:lang w:val="en-US"/>
              </w:rPr>
              <w:t xml:space="preserve">100,000</w:t>
              <w:br/>
            </w: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 = 46.9)</w:t>
            </w:r>
          </w:p>
        </w:tc>
        <w:tc>
          <w:tcPr>
            <w:tcW w:w="187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Change</w:t>
              <w:br/>
            </w:r>
            <w:r>
              <w:rPr>
                <w:rFonts w:ascii="Calibri" w:hAnsi="Calibri" w:eastAsia="Calibri"/>
                <w:b w:val="true"/>
                <w:color w:val="FFFFFF"/>
                <w:spacing w:val="0"/>
                <w:w w:val="100"/>
                <w:sz w:val="22"/>
                <w:vertAlign w:val="baseline"/>
                <w:lang w:val="en-US"/>
              </w:rPr>
              <w:t xml:space="preserve">from Baseline of</w:t>
            </w:r>
          </w:p>
          <w:p>
            <w:pPr>
              <w:spacing w:before="41" w:after="1625" w:line="223" w:lineRule="exact"/>
              <w:ind w:right="642"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2015</w:t>
            </w:r>
          </w:p>
        </w:tc>
      </w:tr>
      <w:tr>
        <w:trPr>
          <w:trHeight w:val="278"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3" w:after="9"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1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88.2</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1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+102</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1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75.4</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+144</w:t>
            </w:r>
          </w:p>
        </w:tc>
      </w:tr>
      <w:tr>
        <w:trPr>
          <w:trHeight w:val="279"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4" w:after="19"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50.7</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4" w:after="2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43.6</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4" w:after="2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w:t>
            </w:r>
          </w:p>
        </w:tc>
      </w:tr>
      <w:tr>
        <w:trPr>
          <w:trHeight w:val="283"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8" w:after="10"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8" w:after="1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48.1</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8" w:after="1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8" w:after="1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38.1</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8" w:after="1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w:t>
            </w:r>
          </w:p>
        </w:tc>
      </w:tr>
      <w:tr>
        <w:trPr>
          <w:trHeight w:val="278"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3" w:after="18"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66.3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w:t>
            </w:r>
          </w:p>
        </w:tc>
        <w:tc>
          <w:tcPr>
            <w:tcW w:w="1872"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+57</w:t>
            </w:r>
          </w:p>
        </w:tc>
      </w:tr>
      <w:tr>
        <w:trPr>
          <w:trHeight w:val="279"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4" w:after="15"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43.5</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4" w:after="15"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36.7</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4" w:after="15"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+27</w:t>
            </w:r>
          </w:p>
        </w:tc>
      </w:tr>
      <w:tr>
        <w:trPr>
          <w:trHeight w:val="278"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3" w:after="11"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1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58.6</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1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1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48.9</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1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+136</w:t>
            </w:r>
          </w:p>
        </w:tc>
      </w:tr>
      <w:tr>
        <w:trPr>
          <w:trHeight w:val="278"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3" w:after="19"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2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3" w:after="2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3" w:after="2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58.1</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3" w:after="21"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w:t>
            </w:r>
          </w:p>
        </w:tc>
      </w:tr>
      <w:tr>
        <w:trPr>
          <w:trHeight w:val="284" w:hRule="exact"/>
        </w:trPr>
        <w:tc>
          <w:tcPr>
            <w:tcW w:w="1872" w:type="dxa"/>
            <w:tcBorders>
              <w:top w:val="single" w:sz="5" w:color="000000"/>
              <w:left w:val="single" w:sz="5" w:color="000000"/>
              <w:bottom w:val="single" w:sz="5" w:color="000000"/>
              <w:right w:val="single" w:sz="5" w:color="000000"/>
            </w:tcBorders>
            <w:textDirection w:val="lrTb"/>
            <w:vAlign w:val="center"/>
          </w:tcPr>
          <w:p>
            <w:pPr>
              <w:spacing w:before="34" w:after="30" w:line="220"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80.3</w:t>
            </w:r>
          </w:p>
        </w:tc>
        <w:tc>
          <w:tcPr>
            <w:tcW w:w="1867" w:type="dxa"/>
            <w:tcBorders>
              <w:top w:val="single" w:sz="5" w:color="000000"/>
              <w:left w:val="single" w:sz="5" w:color="000000"/>
              <w:bottom w:val="single" w:sz="5" w:color="000000"/>
              <w:right w:val="single" w:sz="5" w:color="000000"/>
            </w:tcBorders>
            <w:textDirection w:val="lrTb"/>
            <w:vAlign w:val="center"/>
          </w:tcPr>
          <w:p>
            <w:pPr>
              <w:spacing w:before="34" w:after="3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+267</w:t>
            </w:r>
          </w:p>
        </w:tc>
        <w:tc>
          <w:tcPr>
            <w:tcW w:w="1872" w:type="dxa"/>
            <w:tcBorders>
              <w:top w:val="single" w:sz="5" w:color="000000"/>
              <w:left w:val="single" w:sz="5" w:color="000000"/>
              <w:bottom w:val="single" w:sz="5" w:color="000000"/>
              <w:right w:val="single" w:sz="5" w:color="000000"/>
            </w:tcBorders>
            <w:textDirection w:val="lrTb"/>
            <w:vAlign w:val="center"/>
          </w:tcPr>
          <w:p>
            <w:pPr>
              <w:tabs>
                <w:tab w:val="decimal" w:leader="none" w:pos="360"/>
              </w:tabs>
              <w:spacing w:before="34"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63.4</w:t>
            </w:r>
          </w:p>
        </w:tc>
        <w:tc>
          <w:tcPr>
            <w:tcW w:w="1877" w:type="dxa"/>
            <w:tcBorders>
              <w:top w:val="single" w:sz="5" w:color="000000"/>
              <w:left w:val="single" w:sz="5" w:color="000000"/>
              <w:bottom w:val="single" w:sz="5" w:color="000000"/>
              <w:right w:val="single" w:sz="5" w:color="000000"/>
            </w:tcBorders>
            <w:textDirection w:val="lrTb"/>
            <w:vAlign w:val="center"/>
          </w:tcPr>
          <w:p>
            <w:pPr>
              <w:spacing w:before="34" w:after="30" w:line="220" w:lineRule="exact"/>
              <w:ind w:right="0" w:left="12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+424</w:t>
            </w:r>
          </w:p>
        </w:tc>
      </w:tr>
    </w:tbl>
    <w:p>
      <w:pPr>
        <w:spacing w:before="0" w:after="0" w:line="204" w:lineRule="exact"/>
        <w:ind w:right="1872"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New York State Department of Health - Office of Quality and Patient Safety - Division of Information and Statistics - Bureau of Health Informatics - Vital Statistics Unit</w:t>
      </w:r>
    </w:p>
    <w:p>
      <w:pPr>
        <w:spacing w:before="202" w:after="1248"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Violence related harms show similar concern in the region and require clear definitions. Violent crime refers to reported offenses of murder, rape, robbery, and aggravated assault, compiled from local law enforcement data by state and federal justice agencies and expressed as a rate per 100,000 residents. Firearm related deaths are measured as the number of deaths due to firearms per 100,000 population over a five year period, based on national mortality data and Census population estimates; this measure includes suicides, homicides, and other firearm fatalities defined by specific ICD10 codes, and values are suppressed for counties with fewer than 10 deaths. Because recent changes in population estimation methods affect the denominator for firearm fatality rates, comparisons across years should be made with caution. In the Finger Lakes region, the violent crime rate has risen from about 120.9 per 100,000 in 2013 to approximately 154.5 per 100,000 in 2022, and firearm related deaths have also increased since 2018 and now exceed the statewide rate, although they remain concentrated in specific communities. Together, these patterns indicate that many residents face elevated risks of both accidental and intentional injury, underscoring the need for coordinated prevention strategies focused on traffic safety, fall and poisoning prevention, firearm safety, and community violence reduction.</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51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74" w:line="309"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32" w:after="0" w:line="20" w:lineRule="exact"/>
      </w:pPr>
      <w:r>
        <w:pict>
          <v:line strokeweight="1.7pt" strokecolor="#145F82" from="0pt,62.9pt" to="612.05pt,62.9pt" style="position:absolute;mso-position-horizontal-relative:page;mso-position-vertical-relative:page;">
            <v:stroke dashstyle="solid"/>
          </v:line>
        </w:pict>
      </w:r>
    </w:p>
    <w:tbl>
      <w:tblPr>
        <w:jc w:val="left"/>
        <w:tblLayout w:type="fixed"/>
        <w:tblCellMar>
          <w:left w:w="0" w:type="dxa"/>
          <w:right w:w="0" w:type="dxa"/>
        </w:tblCellMar>
      </w:tblPr>
      <w:tblGrid>
        <w:gridCol w:w="6811"/>
        <w:gridCol w:w="4817"/>
      </w:tblGrid>
      <w:tr>
        <w:trPr>
          <w:trHeight w:val="1724" w:hRule="exact"/>
        </w:trPr>
        <w:tc>
          <w:tcPr>
            <w:tcW w:w="6811" w:type="dxa"/>
            <w:vMerge w:val="restart"/>
            <w:tcBorders>
              <w:top w:val="none"/>
              <w:left w:val="none"/>
              <w:bottom w:val="none"/>
              <w:right w:val="none"/>
            </w:tcBorders>
            <w:textDirection w:val="lrTb"/>
            <w:vAlign w:val="top"/>
          </w:tcPr>
          <w:p>
            <w:pPr>
              <w:spacing w:before="0" w:after="0" w:line="292"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Health Care Access and Quality</w:t>
            </w:r>
          </w:p>
          <w:p>
            <w:pPr>
              <w:spacing w:before="212"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Access to and Use of Prenatal Care</w:t>
            </w:r>
          </w:p>
          <w:p>
            <w:pPr>
              <w:spacing w:before="160" w:after="0" w:line="289" w:lineRule="exact"/>
              <w:ind w:right="18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Maternal and child health have been areas of focus for the Finger Lakes Region counties in several past Community Health Improvement Plans. According to Healthy People 2030, “improving the well-being of mothers, infants, and children is an important public health goal for the United States. Their well-being determines the health of the next generation and can impact future public health challenges for families, communities, and the health care system.”</w:t>
            </w:r>
            <w:r>
              <w:rPr>
                <w:rFonts w:ascii="Calibri" w:hAnsi="Calibri" w:eastAsia="Calibri"/>
                <w:color w:val="000000"/>
                <w:spacing w:val="-2"/>
                <w:w w:val="100"/>
                <w:sz w:val="22"/>
                <w:vertAlign w:val="superscript"/>
                <w:lang w:val="en-US"/>
              </w:rPr>
              <w:t xml:space="preserve">24</w:t>
            </w:r>
            <w:r>
              <w:rPr>
                <w:rFonts w:ascii="Calibri" w:hAnsi="Calibri" w:eastAsia="Calibri"/>
                <w:color w:val="000000"/>
                <w:spacing w:val="-2"/>
                <w:w w:val="100"/>
                <w:sz w:val="14"/>
                <w:vertAlign w:val="baseline"/>
                <w:lang w:val="en-US"/>
              </w:rPr>
              <w:t xml:space="preserve">
</w:t>
            </w:r>
          </w:p>
          <w:p>
            <w:pPr>
              <w:spacing w:before="172" w:after="19" w:line="289" w:lineRule="exact"/>
              <w:ind w:right="216"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Receiving early and adequate prenatal care is important for ensuring a healthy pregnancy. At prenatal visits, health care providers screen for diseases, provide vaccinations, and manage maternal chronic diseases that may be exacerbated by or have a negative impact on their pregnancy. In addition, health care providers educate pregnant persons about labor, delivery, postpartum depression, and early warning signs of complications. Ensuring timely prenatal care is obtained can lower the incidence of premature birth, low birth weight babies and infant mortality.</w:t>
            </w:r>
            <w:r>
              <w:rPr>
                <w:rFonts w:ascii="Calibri" w:hAnsi="Calibri" w:eastAsia="Calibri"/>
                <w:color w:val="000000"/>
                <w:spacing w:val="-2"/>
                <w:w w:val="100"/>
                <w:sz w:val="22"/>
                <w:vertAlign w:val="superscript"/>
                <w:lang w:val="en-US"/>
              </w:rPr>
              <w:t xml:space="preserve">18</w:t>
            </w:r>
            <w:r>
              <w:rPr>
                <w:rFonts w:ascii="Calibri" w:hAnsi="Calibri" w:eastAsia="Calibri"/>
                <w:color w:val="000000"/>
                <w:spacing w:val="-2"/>
                <w:w w:val="100"/>
                <w:sz w:val="14"/>
                <w:vertAlign w:val="baseline"/>
                <w:lang w:val="en-US"/>
              </w:rPr>
              <w:t xml:space="preserve">
</w:t>
            </w:r>
          </w:p>
        </w:tc>
        <w:tc>
          <w:tcPr>
            <w:tcW w:w="4817" w:type="dxa"/>
            <w:tcBorders>
              <w:top w:val="none"/>
              <w:left w:val="none"/>
              <w:bottom w:val="none"/>
              <w:right w:val="none"/>
            </w:tcBorders>
            <w:textDirection w:val="lrTb"/>
            <w:vAlign w:val="top"/>
          </w:tcPr>
          <w:p>
            <w:pPr>
              <w:spacing w:before="865" w:after="408" w:line="223" w:lineRule="exact"/>
              <w:ind w:right="108" w:left="86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13: Percentage of births with late (3</w:t>
            </w:r>
            <w:r>
              <w:rPr>
                <w:rFonts w:ascii="Calibri" w:hAnsi="Calibri" w:eastAsia="Calibri"/>
                <w:i w:val="true"/>
                <w:color w:val="0E2841"/>
                <w:spacing w:val="0"/>
                <w:w w:val="100"/>
                <w:sz w:val="18"/>
                <w:vertAlign w:val="superscript"/>
                <w:lang w:val="en-US"/>
              </w:rPr>
              <w:t xml:space="preserve">rd</w:t>
            </w:r>
            <w:r>
              <w:rPr>
                <w:rFonts w:ascii="Calibri" w:hAnsi="Calibri" w:eastAsia="Calibri"/>
                <w:i w:val="true"/>
                <w:color w:val="0E2841"/>
                <w:spacing w:val="0"/>
                <w:w w:val="100"/>
                <w:sz w:val="18"/>
                <w:vertAlign w:val="baseline"/>
                <w:lang w:val="en-US"/>
              </w:rPr>
              <w:t xml:space="preserve"> trimester) or no prenatal care (2019-2021)</w:t>
            </w:r>
          </w:p>
        </w:tc>
      </w:tr>
      <w:tr>
        <w:trPr>
          <w:trHeight w:val="4776" w:hRule="exact"/>
        </w:trPr>
        <w:tc>
          <w:tcPr>
            <w:tcW w:w="6811" w:type="dxa"/>
            <w:vMerge w:val="continue"/>
            <w:tcBorders>
              <w:top w:val="none"/>
              <w:left w:val="none"/>
              <w:bottom w:val="none"/>
              <w:right w:val="none"/>
            </w:tcBorders>
            <w:textDirection w:val="lrTb"/>
            <w:vAlign w:val="top"/>
          </w:tcPr>
          <w:p/>
        </w:tc>
        <w:tc>
          <w:tcPr>
            <w:tcW w:w="4817" w:type="dxa"/>
            <w:tcBorders>
              <w:top w:val="none"/>
              <w:left w:val="none"/>
              <w:bottom w:val="single" w:sz="5" w:color="EDEEEE"/>
              <w:right w:val="none"/>
            </w:tcBorders>
            <w:textDirection w:val="lrTb"/>
            <w:vAlign w:val="top"/>
          </w:tcPr>
          <w:p>
            <w:pPr>
              <w:spacing w:before="0" w:after="0" w:line="240" w:lineRule="auto"/>
              <w:ind w:right="295" w:left="787"/>
              <w:jc w:val="right"/>
              <w:textAlignment w:val="baseline"/>
            </w:pPr>
            <w:r>
              <w:drawing>
                <wp:inline>
                  <wp:extent cx="2362200" cy="2807335"/>
                  <wp:docPr name="Picture" id="58"/>
                  <a:graphic>
                    <a:graphicData uri="http://schemas.openxmlformats.org/drawingml/2006/picture">
                      <pic:pic>
                        <pic:nvPicPr>
                          <pic:cNvPr id="58" name="Picture"/>
                          <pic:cNvPicPr preferRelativeResize="false"/>
                        </pic:nvPicPr>
                        <pic:blipFill>
                          <a:blip r:embed="prId58"/>
                          <a:stretch>
                            <a:fillRect/>
                          </a:stretch>
                        </pic:blipFill>
                        <pic:spPr>
                          <a:xfrm>
                            <a:off x="0" y="0"/>
                            <a:ext cx="2362200" cy="2807335"/>
                          </a:xfrm>
                          <a:prstGeom prst="rect"/>
                        </pic:spPr>
                      </pic:pic>
                    </a:graphicData>
                  </a:graphic>
                </wp:inline>
              </w:drawing>
            </w:r>
          </w:p>
        </w:tc>
      </w:tr>
      <w:tr>
        <w:trPr>
          <w:trHeight w:val="76" w:hRule="exact"/>
        </w:trPr>
        <w:tc>
          <w:tcPr>
            <w:tcW w:w="6811" w:type="dxa"/>
            <w:vMerge w:val="continue"/>
            <w:tcBorders>
              <w:top w:val="none"/>
              <w:left w:val="none"/>
              <w:bottom w:val="none"/>
              <w:right w:val="none"/>
            </w:tcBorders>
            <w:textDirection w:val="lrTb"/>
            <w:vAlign w:val="top"/>
          </w:tcPr>
          <w:p/>
        </w:tc>
        <w:tc>
          <w:tcPr>
            <w:tcW w:w="4817" w:type="dxa"/>
            <w:tcBorders>
              <w:top w:val="single" w:sz="5" w:color="EDEEEE"/>
              <w:left w:val="none"/>
              <w:bottom w:val="none"/>
              <w:right w:val="none"/>
            </w:tcBorders>
            <w:textDirection w:val="lrTb"/>
            <w:vAlign w:val="top"/>
          </w:tcPr>
          <w:p/>
        </w:tc>
      </w:tr>
    </w:tbl>
    <w:p>
      <w:pPr>
        <w:tabs>
          <w:tab w:val="left" w:leader="none" w:pos="6840"/>
        </w:tabs>
        <w:spacing w:before="134" w:after="0" w:line="289"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Despite regional efforts, some pregnant residents still	</w:t>
      </w:r>
      <w:r>
        <w:rPr>
          <w:rFonts w:ascii="Calibri" w:hAnsi="Calibri" w:eastAsia="Calibri"/>
          <w:i w:val="true"/>
          <w:color w:val="0E2841"/>
          <w:spacing w:val="0"/>
          <w:w w:val="100"/>
          <w:sz w:val="18"/>
          <w:vertAlign w:val="baseline"/>
          <w:lang w:val="en-US"/>
        </w:rPr>
        <w:t xml:space="preserve">Source: NYS Perinatal Data Profile 2019-2021</w:t>
      </w:r>
    </w:p>
    <w:p>
      <w:pPr>
        <w:spacing w:before="6"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begin care late in pregnancy or receive no prenatal care at all. Map 13 shows that, while most births occur with timely prenatal care, a notable minority in several counties receive care in the third trimester or not at all, highlighting persistent geographic disparities in early access that can contribute to preterm birth, low birth weight, and higher infant and maternal risks.</w:t>
      </w:r>
    </w:p>
    <w:p>
      <w:pPr>
        <w:spacing w:before="230"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Prenatal care may also be measured using three abstinence indicators – alcohol (Figure 22), smoking</w:t>
      </w:r>
    </w:p>
    <w:p>
      <w:pPr>
        <w:spacing w:before="0" w:after="300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(Figure 23), and illegal drugs (Figure 24). All counties have improved in each indicator from 2018 to 2024 with the exception of alcohol abstinence in Schuyler County.</w:t>
      </w:r>
    </w:p>
    <w:p>
      <w:pPr>
        <w:spacing w:before="93" w:after="58" w:line="247" w:lineRule="exact"/>
        <w:ind w:right="1584"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24</w:t>
      </w:r>
      <w:r>
        <w:rPr>
          <w:rFonts w:ascii="Calibri" w:hAnsi="Calibri" w:eastAsia="Calibri"/>
          <w:color w:val="000000"/>
          <w:spacing w:val="0"/>
          <w:w w:val="100"/>
          <w:sz w:val="20"/>
          <w:vertAlign w:val="baseline"/>
          <w:lang w:val="en-US"/>
        </w:rPr>
        <w:t xml:space="preserve"> Source: Healthy People 2030 h</w:t>
      </w:r>
      <w:hyperlink r:id="dhId21">
        <w:r>
          <w:rPr>
            <w:rFonts w:ascii="Calibri" w:hAnsi="Calibri" w:eastAsia="Calibri"/>
            <w:color w:val="0000FF"/>
            <w:spacing w:val="0"/>
            <w:w w:val="100"/>
            <w:sz w:val="20"/>
            <w:u w:val="single"/>
            <w:vertAlign w:val="baseline"/>
            <w:lang w:val="en-US"/>
          </w:rPr>
          <w:t xml:space="preserve">ftps://odphp.health.gov/healthypeople/about/workgroups/maternal-infant-and-child-health-workgroup</w:t>
        </w:r>
      </w:hyperlink>
      <w:r>
        <w:rPr>
          <w:rFonts w:ascii="Calibri" w:hAnsi="Calibri" w:eastAsia="Calibri"/>
          <w:color w:val="000000"/>
          <w:spacing w:val="0"/>
          <w:w w:val="100"/>
          <w:sz w:val="20"/>
          <w:vertAlign w:val="baseline"/>
          <w:lang w:val="en-US"/>
        </w:rPr>
        <w:t xml:space="preserve">
</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52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31" coordsize="21600,21600" o:spt="202" path="m,l,21600r21600,l21600,xe">
            <v:stroke joinstyle="miter"/>
            <v:path gradientshapeok="t" o:connecttype="rect"/>
          </v:shapetype>
          <v:shape id="_x0000_s230" type="#_x0000_t231" filled="f" stroked="f" style="position:absolute;width:453.8pt;height:210.75pt;z-index:-1;margin-left:83.3pt;margin-top:120.7pt;mso-wrap-distance-left:83.3pt;mso-wrap-distance-right:74.4pt;mso-position-horizontal-relative:page;mso-position-vertical-relative:page">
            <w10:wrap type="square"/>
            <v:fill opacity="1" o:opacity2="1" recolor="f" rotate="f" type="solid"/>
            <v:textbox inset="0pt, 0pt, 0pt, 0pt">
              <w:txbxContent>
                <w:p>
                  <w:pPr>
                    <w:pBdr>
                      <w:top w:sz="5" w:space="0" w:color="D8D8D8" w:val="single"/>
                      <w:left w:sz="5" w:space="83" w:color="D8D8D8" w:val="single"/>
                      <w:bottom w:sz="5" w:space="0" w:color="D8D8D8" w:val="single"/>
                      <w:right w:sz="5" w:space="74" w:color="D8D8D8" w:val="single"/>
                    </w:pBdr>
                  </w:pPr>
                </w:p>
              </w:txbxContent>
            </v:textbox>
          </v:shape>
        </w:pict>
      </w:r>
      <w:r>
        <w:pict>
          <v:shapetype id="_x0000_t232" coordsize="21600,21600" o:spt="202" path="m,l,21600r21600,l21600,xe">
            <v:stroke joinstyle="miter"/>
            <v:path gradientshapeok="t" o:connecttype="rect"/>
          </v:shapetype>
          <v:shape id="_x0000_s231" type="#_x0000_t232" filled="f" stroked="f" style="position:absolute;width:612pt;height:192.55pt;z-index:-1;margin-left:0pt;margin-top:386.4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33" coordsize="21600,21600" o:spt="202" path="m,l,21600r21600,l21600,xe">
            <v:stroke joinstyle="miter"/>
            <v:path gradientshapeok="t" o:connecttype="rect"/>
          </v:shapetype>
          <v:shape id="_x0000_s232" type="#_x0000_t233"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34" coordsize="21600,21600" o:spt="202" path="m,l,21600r21600,l21600,xe">
            <v:stroke joinstyle="miter"/>
            <v:path gradientshapeok="t" o:connecttype="rect"/>
          </v:shapetype>
          <v:shape id="_x0000_s233" type="#_x0000_t234" filled="f" stroked="f" style="position:absolute;width:612pt;height:26.55pt;z-index:1;margin-left:0pt;margin-top:94.15pt;mso-wrap-distance-left:0pt;mso-wrap-distance-right:0pt;mso-position-horizontal-relative:page;mso-position-vertical-relative:page">
            <w10:wrap anchorx="page" anchory="page"/>
            <v:fill opacity="1" o:opacity2="1" recolor="f" rotate="f" type="solid"/>
            <v:textbox inset="0pt, 0pt, 0pt, 0pt">
              <w:txbxContent>
                <w:p>
                  <w:pPr>
                    <w:spacing w:before="20" w:after="321" w:line="180" w:lineRule="exact"/>
                    <w:ind w:right="0" w:left="1728"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22: Alcohol Abstinence in Pregnancy</w:t>
                  </w:r>
                </w:p>
              </w:txbxContent>
            </v:textbox>
          </v:shape>
        </w:pict>
      </w:r>
      <w:r>
        <w:pict>
          <v:shapetype id="_x0000_t235" coordsize="21600,21600" o:spt="202" path="m,l,21600r21600,l21600,xe">
            <v:stroke joinstyle="miter"/>
            <v:path gradientshapeok="t" o:connecttype="rect"/>
          </v:shapetype>
          <v:shape id="_x0000_s234" type="#_x0000_t235" filled="f" stroked="f" style="position:absolute;width:612pt;height:55.85pt;z-index:1;margin-left:0pt;margin-top:330.5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Healthy People 2020; US Department of Health and Human Services.</w:t>
                  </w:r>
                </w:p>
                <w:p>
                  <w:pPr>
                    <w:spacing w:before="483" w:after="244" w:line="180" w:lineRule="exact"/>
                    <w:ind w:right="0" w:left="158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23: Smoking Abstinence in Pregnancy</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612pt;height:137.9pt;z-index:1;margin-left:0pt;margin-top:578.95pt;mso-wrap-distance-left:0pt;mso-wrap-distance-right:0pt;mso-position-horizontal-relative:page;mso-position-vertical-relative:page">
            <w10:wrap anchorx="page" anchory="page"/>
            <v:fill opacity="1" o:opacity2="1" recolor="f" rotate="f" type="solid"/>
            <v:textbox inset="0pt, 0pt, 0pt, 0pt">
              <w:txbxContent>
                <w:p>
                  <w:pPr>
                    <w:spacing w:before="20" w:after="2549" w:line="180" w:lineRule="exact"/>
                    <w:ind w:right="0" w:left="158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Healthy People 2020; US Department of Health and Human Services.</w:t>
                  </w:r>
                </w:p>
              </w:txbxContent>
            </v:textbox>
          </v:shape>
        </w:pict>
      </w:r>
      <w:r>
        <w:pict>
          <v:shapetype id="_x0000_t237" coordsize="21600,21600" o:spt="202" path="m,l,21600r21600,l21600,xe">
            <v:stroke joinstyle="miter"/>
            <v:path gradientshapeok="t" o:connecttype="rect"/>
          </v:shapetype>
          <v:shape id="_x0000_s236" type="#_x0000_t237" filled="f" stroked="f" style="position:absolute;width:450.4pt;height:32.25pt;z-index:-1;margin-left:85pt;margin-top:120.7pt;mso-wrap-distance-left:0pt;mso-wrap-distance-right:0pt;mso-position-horizontal-relative:page;mso-position-vertical-relative:page">
            <w10:wrap type="square" side="both"/>
            <v:fill opacity="1" o:opacity2="1" recolor="f" rotate="f" type="solid"/>
            <v:textbox inset="0pt, 0pt, 0pt, 0pt">
              <w:txbxContent>
                <w:p>
                  <w:pPr>
                    <w:spacing w:before="194" w:after="158" w:line="286"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Alcohol Abstinence in Pregancy (2024)</w:t>
                  </w:r>
                </w:p>
              </w:txbxContent>
            </v:textbox>
          </v:shape>
        </w:pict>
      </w:r>
      <w:r>
        <w:pict>
          <v:shapetype id="_x0000_t238" coordsize="21600,21600" o:spt="202" path="m,l,21600r21600,l21600,xe">
            <v:stroke joinstyle="miter"/>
            <v:path gradientshapeok="t" o:connecttype="rect"/>
          </v:shapetype>
          <v:shape id="_x0000_s237" type="#_x0000_t238" filled="f" stroked="f" style="position:absolute;width:450.4pt;height:17.45pt;z-index:-1;margin-left:85pt;margin-top:152.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016"/>
                      <w:tab w:val="left" w:leader="none" w:pos="3096"/>
                      <w:tab w:val="left" w:leader="none" w:pos="4248"/>
                      <w:tab w:val="left" w:leader="none" w:pos="5328"/>
                      <w:tab w:val="left" w:leader="none" w:pos="6408"/>
                      <w:tab w:val="left" w:leader="none" w:pos="7488"/>
                      <w:tab w:val="right" w:leader="none" w:pos="8856"/>
                    </w:tabs>
                    <w:spacing w:before="20" w:after="139" w:line="180" w:lineRule="exact"/>
                    <w:ind w:right="0" w:left="93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86	</w:t>
                  </w:r>
                  <w:r>
                    <w:rPr>
                      <w:rFonts w:ascii="Calibri" w:hAnsi="Calibri" w:eastAsia="Calibri"/>
                      <w:color w:val="585858"/>
                      <w:spacing w:val="0"/>
                      <w:w w:val="100"/>
                      <w:sz w:val="18"/>
                      <w:vertAlign w:val="baseline"/>
                      <w:lang w:val="en-US"/>
                    </w:rPr>
                    <w:t xml:space="preserve">88	</w:t>
                  </w:r>
                  <w:r>
                    <w:rPr>
                      <w:rFonts w:ascii="Calibri" w:hAnsi="Calibri" w:eastAsia="Calibri"/>
                      <w:color w:val="585858"/>
                      <w:spacing w:val="0"/>
                      <w:w w:val="100"/>
                      <w:sz w:val="18"/>
                      <w:vertAlign w:val="baseline"/>
                      <w:lang w:val="en-US"/>
                    </w:rPr>
                    <w:t xml:space="preserve">90	</w:t>
                  </w:r>
                  <w:r>
                    <w:rPr>
                      <w:rFonts w:ascii="Calibri" w:hAnsi="Calibri" w:eastAsia="Calibri"/>
                      <w:color w:val="585858"/>
                      <w:spacing w:val="0"/>
                      <w:w w:val="100"/>
                      <w:sz w:val="18"/>
                      <w:vertAlign w:val="baseline"/>
                      <w:lang w:val="en-US"/>
                    </w:rPr>
                    <w:t xml:space="preserve">92	</w:t>
                  </w:r>
                  <w:r>
                    <w:rPr>
                      <w:rFonts w:ascii="Calibri" w:hAnsi="Calibri" w:eastAsia="Calibri"/>
                      <w:color w:val="585858"/>
                      <w:spacing w:val="0"/>
                      <w:w w:val="100"/>
                      <w:sz w:val="18"/>
                      <w:vertAlign w:val="baseline"/>
                      <w:lang w:val="en-US"/>
                    </w:rPr>
                    <w:t xml:space="preserve">94	</w:t>
                  </w:r>
                  <w:r>
                    <w:rPr>
                      <w:rFonts w:ascii="Calibri" w:hAnsi="Calibri" w:eastAsia="Calibri"/>
                      <w:color w:val="585858"/>
                      <w:spacing w:val="0"/>
                      <w:w w:val="100"/>
                      <w:sz w:val="18"/>
                      <w:vertAlign w:val="baseline"/>
                      <w:lang w:val="en-US"/>
                    </w:rPr>
                    <w:t xml:space="preserve">96	</w:t>
                  </w:r>
                  <w:r>
                    <w:rPr>
                      <w:rFonts w:ascii="Calibri" w:hAnsi="Calibri" w:eastAsia="Calibri"/>
                      <w:color w:val="585858"/>
                      <w:spacing w:val="0"/>
                      <w:w w:val="100"/>
                      <w:sz w:val="18"/>
                      <w:vertAlign w:val="baseline"/>
                      <w:lang w:val="en-US"/>
                    </w:rPr>
                    <w:t xml:space="preserve">98	</w:t>
                  </w:r>
                  <w:r>
                    <w:rPr>
                      <w:rFonts w:ascii="Calibri" w:hAnsi="Calibri" w:eastAsia="Calibri"/>
                      <w:color w:val="585858"/>
                      <w:spacing w:val="0"/>
                      <w:w w:val="100"/>
                      <w:sz w:val="18"/>
                      <w:vertAlign w:val="baseline"/>
                      <w:lang w:val="en-US"/>
                    </w:rPr>
                    <w:t xml:space="preserve">100</w:t>
                  </w:r>
                </w:p>
              </w:txbxContent>
            </v:textbox>
          </v:shape>
        </w:pict>
      </w:r>
      <w:r>
        <w:pict>
          <v:shapetype id="_x0000_t239" coordsize="21600,21600" o:spt="202" path="m,l,21600r21600,l21600,xe">
            <v:stroke joinstyle="miter"/>
            <v:path gradientshapeok="t" o:connecttype="rect"/>
          </v:shapetype>
          <v:shape id="_x0000_s238" type="#_x0000_t239" filled="f" stroked="f" style="position:absolute;width:43.3pt;height:134.95pt;z-index:-1;margin-left:85pt;margin-top:170.4pt;mso-wrap-distance-left:0pt;mso-wrap-distance-right:0pt;mso-position-horizontal-relative:page;mso-position-vertical-relative:page">
            <w10:wrap type="square" side="both"/>
            <v:fill opacity="1" o:opacity2="1" recolor="f" rotate="f" type="solid"/>
            <v:textbox inset="0pt, 0pt, 0pt, 0pt">
              <w:txbxContent>
                <w:p>
                  <w:pPr>
                    <w:spacing w:before="0" w:after="590" w:line="263" w:lineRule="exact"/>
                    <w:ind w:right="0" w:left="72"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xbxContent>
            </v:textbox>
          </v:shape>
        </w:pict>
      </w:r>
      <w:r>
        <w:pict>
          <v:shapetype id="_x0000_t240" coordsize="21600,21600" o:spt="202" path="m,l,21600r21600,l21600,xe">
            <v:stroke joinstyle="miter"/>
            <v:path gradientshapeok="t" o:connecttype="rect"/>
          </v:shapetype>
          <v:shape id="_x0000_s239" type="#_x0000_t240" filled="f" stroked="f" style="position:absolute;width:383.85pt;height:121.2pt;z-index:-1;margin-left:135.2pt;margin-top:170.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874895" cy="1539240"/>
                        <wp:docPr name="Picture" id="59"/>
                        <a:graphic>
                          <a:graphicData uri="http://schemas.openxmlformats.org/drawingml/2006/picture">
                            <pic:pic>
                              <pic:nvPicPr>
                                <pic:cNvPr id="59" name="Picture"/>
                                <pic:cNvPicPr preferRelativeResize="false"/>
                              </pic:nvPicPr>
                              <pic:blipFill>
                                <a:blip r:embed="prId59"/>
                                <a:stretch>
                                  <a:fillRect/>
                                </a:stretch>
                              </pic:blipFill>
                              <pic:spPr>
                                <a:xfrm>
                                  <a:off x="0" y="0"/>
                                  <a:ext cx="4874895" cy="1539240"/>
                                </a:xfrm>
                                <a:prstGeom prst="rect"/>
                              </pic:spPr>
                            </pic:pic>
                          </a:graphicData>
                        </a:graphic>
                      </wp:inline>
                    </w:drawing>
                  </w:r>
                </w:p>
              </w:txbxContent>
            </v:textbox>
          </v:shape>
        </w:pict>
      </w:r>
      <w:r>
        <w:pict>
          <v:shapetype id="_x0000_t241" coordsize="21600,21600" o:spt="202" path="m,l,21600r21600,l21600,xe">
            <v:stroke joinstyle="miter"/>
            <v:path gradientshapeok="t" o:connecttype="rect"/>
          </v:shapetype>
          <v:shape id="_x0000_s240" type="#_x0000_t241" filled="f" stroked="f" style="position:absolute;width:276.3pt;height:25.2pt;z-index:-1;margin-left:259.1pt;margin-top:305.3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296"/>
                    </w:tabs>
                    <w:spacing w:before="20" w:after="302"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2018-Alcohol 	</w:t>
                  </w:r>
                  <w:r>
                    <w:rPr>
                      <w:rFonts w:ascii="Calibri" w:hAnsi="Calibri" w:eastAsia="Calibri"/>
                      <w:color w:val="585858"/>
                      <w:spacing w:val="0"/>
                      <w:w w:val="100"/>
                      <w:sz w:val="18"/>
                      <w:vertAlign w:val="baseline"/>
                      <w:lang w:val="en-US"/>
                    </w:rPr>
                    <w:t xml:space="preserve">2024-Alcohol</w:t>
                  </w:r>
                </w:p>
              </w:txbxContent>
            </v:textbox>
          </v:shape>
        </w:pict>
      </w:r>
      <w:r>
        <w:pict>
          <v:shapetype id="_x0000_t242" coordsize="21600,21600" o:spt="202" path="m,l,21600r21600,l21600,xe">
            <v:stroke joinstyle="miter"/>
            <v:path gradientshapeok="t" o:connecttype="rect"/>
          </v:shapetype>
          <v:shape id="_x0000_s241" type="#_x0000_t242" filled="f" stroked="f" style="position:absolute;width:5.25pt;height:5.05pt;z-index:-1;margin-left:251.3pt;margin-top:308.65pt;mso-wrap-distance-left:0pt;mso-wrap-distance-right:0pt;mso-position-horizontal-relative:page;mso-position-vertical-relative:page">
            <w10:wrap type="square" side="both"/>
            <v:fill opacity="1" o:opacity2="1" recolor="f" rotate="f" type="solid"/>
            <v:textbox inset="0pt, 0pt, 0pt, 0pt">
              <w:txbxContent>
                <w:p>
                  <w:pPr>
                    <w:spacing w:before="0" w:after="0" w:line="101" w:lineRule="exact"/>
                    <w:ind w:right="0" w:left="0"/>
                    <w:jc w:val="left"/>
                    <w:textAlignment w:val="baseline"/>
                  </w:pPr>
                  <w:r>
                    <w:drawing>
                      <wp:inline>
                        <wp:extent cx="66675" cy="64135"/>
                        <wp:docPr name="Picture" id="60"/>
                        <a:graphic>
                          <a:graphicData uri="http://schemas.openxmlformats.org/drawingml/2006/picture">
                            <pic:pic>
                              <pic:nvPicPr>
                                <pic:cNvPr id="60" name="Picture"/>
                                <pic:cNvPicPr preferRelativeResize="false"/>
                              </pic:nvPicPr>
                              <pic:blipFill>
                                <a:blip r:embed="prId60"/>
                                <a:stretch>
                                  <a:fillRect/>
                                </a:stretch>
                              </pic:blipFill>
                              <pic:spPr>
                                <a:xfrm>
                                  <a:off x="0" y="0"/>
                                  <a:ext cx="66675" cy="64135"/>
                                </a:xfrm>
                                <a:prstGeom prst="rect"/>
                              </pic:spPr>
                            </pic:pic>
                          </a:graphicData>
                        </a:graphic>
                      </wp:inline>
                    </w:drawing>
                  </w:r>
                </w:p>
              </w:txbxContent>
            </v:textbox>
          </v:shape>
        </w:pict>
      </w:r>
      <w:r>
        <w:pict>
          <v:shapetype id="_x0000_t243" coordsize="21600,21600" o:spt="202" path="m,l,21600r21600,l21600,xe">
            <v:stroke joinstyle="miter"/>
            <v:path gradientshapeok="t" o:connecttype="rect"/>
          </v:shapetype>
          <v:shape id="_x0000_s242" type="#_x0000_t243" filled="f" stroked="f" style="position:absolute;width:450.95pt;height:188.9pt;z-index:-1;margin-left:79.45pt;margin-top:386.4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727065" cy="2399030"/>
                        <wp:docPr name="Picture" id="61"/>
                        <a:graphic>
                          <a:graphicData uri="http://schemas.openxmlformats.org/drawingml/2006/picture">
                            <pic:pic>
                              <pic:nvPicPr>
                                <pic:cNvPr id="61" name="Picture"/>
                                <pic:cNvPicPr preferRelativeResize="false"/>
                              </pic:nvPicPr>
                              <pic:blipFill>
                                <a:blip r:embed="prId61"/>
                                <a:stretch>
                                  <a:fillRect/>
                                </a:stretch>
                              </pic:blipFill>
                              <pic:spPr>
                                <a:xfrm>
                                  <a:off x="0" y="0"/>
                                  <a:ext cx="5727065" cy="2399030"/>
                                </a:xfrm>
                                <a:prstGeom prst="rect"/>
                              </pic:spPr>
                            </pic:pic>
                          </a:graphicData>
                        </a:graphic>
                      </wp:inline>
                    </w:drawing>
                  </w: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36.5pt;height:91.85pt;z-index:-1;margin-left:87.1pt;margin-top:436.15pt;mso-wrap-distance-left:0pt;mso-wrap-distance-right:0pt;mso-position-horizontal-relative:page;mso-position-vertical-relative:page">
            <w10:wrap type="square" side="both"/>
            <v:fill opacity="1" o:opacity2="1" recolor="f" rotate="f" type="solid"/>
            <v:textbox inset="0pt, 0pt, 0pt, 0pt">
              <w:txbxContent>
                <w:p>
                  <w:pPr>
                    <w:spacing w:before="0" w:after="0" w:line="229" w:lineRule="exact"/>
                    <w:ind w:right="0" w:left="0" w:firstLine="0"/>
                    <w:jc w:val="right"/>
                    <w:textAlignment w:val="baseline"/>
                    <w:rPr>
                      <w:rFonts w:ascii="Calibri" w:hAnsi="Calibri" w:eastAsia="Calibri"/>
                      <w:color w:val="585858"/>
                      <w:spacing w:val="-2"/>
                      <w:w w:val="100"/>
                      <w:sz w:val="18"/>
                      <w:vertAlign w:val="baseline"/>
                      <w:lang w:val="en-US"/>
                    </w:rPr>
                  </w:pPr>
                  <w:r>
                    <w:rPr>
                      <w:rFonts w:ascii="Calibri" w:hAnsi="Calibri" w:eastAsia="Calibri"/>
                      <w:color w:val="585858"/>
                      <w:spacing w:val="-2"/>
                      <w:w w:val="100"/>
                      <w:sz w:val="18"/>
                      <w:vertAlign w:val="baseline"/>
                      <w:lang w:val="en-US"/>
                    </w:rPr>
                    <w:t xml:space="preserve">Chemung Livingston Ontario Schuyler Seneca Steuben Wayne Yates</w:t>
                  </w: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389.75pt;height:10pt;z-index:-1;margin-left:129.6pt;margin-top:418.6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720"/>
                      <w:tab w:val="left" w:leader="none" w:pos="1512"/>
                      <w:tab w:val="left" w:leader="none" w:pos="2232"/>
                      <w:tab w:val="left" w:leader="none" w:pos="3024"/>
                      <w:tab w:val="left" w:leader="none" w:pos="3744"/>
                      <w:tab w:val="left" w:leader="none" w:pos="4536"/>
                      <w:tab w:val="left" w:leader="none" w:pos="5328"/>
                      <w:tab w:val="left" w:leader="none" w:pos="6048"/>
                      <w:tab w:val="left" w:leader="none" w:pos="6840"/>
                      <w:tab w:val="right" w:leader="none" w:pos="7848"/>
                    </w:tabs>
                    <w:spacing w:before="20"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	</w:t>
                  </w:r>
                  <w:r>
                    <w:rPr>
                      <w:rFonts w:ascii="Calibri" w:hAnsi="Calibri" w:eastAsia="Calibri"/>
                      <w:color w:val="585858"/>
                      <w:spacing w:val="0"/>
                      <w:w w:val="100"/>
                      <w:sz w:val="18"/>
                      <w:vertAlign w:val="baseline"/>
                      <w:lang w:val="en-US"/>
                    </w:rPr>
                    <w:t xml:space="preserve">10	</w:t>
                  </w:r>
                  <w:r>
                    <w:rPr>
                      <w:rFonts w:ascii="Calibri" w:hAnsi="Calibri" w:eastAsia="Calibri"/>
                      <w:color w:val="585858"/>
                      <w:spacing w:val="0"/>
                      <w:w w:val="100"/>
                      <w:sz w:val="18"/>
                      <w:vertAlign w:val="baseline"/>
                      <w:lang w:val="en-US"/>
                    </w:rPr>
                    <w:t xml:space="preserve">20	</w:t>
                  </w:r>
                  <w:r>
                    <w:rPr>
                      <w:rFonts w:ascii="Calibri" w:hAnsi="Calibri" w:eastAsia="Calibri"/>
                      <w:color w:val="585858"/>
                      <w:spacing w:val="0"/>
                      <w:w w:val="100"/>
                      <w:sz w:val="18"/>
                      <w:vertAlign w:val="baseline"/>
                      <w:lang w:val="en-US"/>
                    </w:rPr>
                    <w:t xml:space="preserve">30	</w:t>
                  </w:r>
                  <w:r>
                    <w:rPr>
                      <w:rFonts w:ascii="Calibri" w:hAnsi="Calibri" w:eastAsia="Calibri"/>
                      <w:color w:val="585858"/>
                      <w:spacing w:val="0"/>
                      <w:w w:val="100"/>
                      <w:sz w:val="18"/>
                      <w:vertAlign w:val="baseline"/>
                      <w:lang w:val="en-US"/>
                    </w:rPr>
                    <w:t xml:space="preserve">40	</w:t>
                  </w:r>
                  <w:r>
                    <w:rPr>
                      <w:rFonts w:ascii="Calibri" w:hAnsi="Calibri" w:eastAsia="Calibri"/>
                      <w:color w:val="585858"/>
                      <w:spacing w:val="0"/>
                      <w:w w:val="100"/>
                      <w:sz w:val="18"/>
                      <w:vertAlign w:val="baseline"/>
                      <w:lang w:val="en-US"/>
                    </w:rPr>
                    <w:t xml:space="preserve">50	</w:t>
                  </w:r>
                  <w:r>
                    <w:rPr>
                      <w:rFonts w:ascii="Calibri" w:hAnsi="Calibri" w:eastAsia="Calibri"/>
                      <w:color w:val="585858"/>
                      <w:spacing w:val="0"/>
                      <w:w w:val="100"/>
                      <w:sz w:val="18"/>
                      <w:vertAlign w:val="baseline"/>
                      <w:lang w:val="en-US"/>
                    </w:rPr>
                    <w:t xml:space="preserve">60	</w:t>
                  </w:r>
                  <w:r>
                    <w:rPr>
                      <w:rFonts w:ascii="Calibri" w:hAnsi="Calibri" w:eastAsia="Calibri"/>
                      <w:color w:val="585858"/>
                      <w:spacing w:val="0"/>
                      <w:w w:val="100"/>
                      <w:sz w:val="18"/>
                      <w:vertAlign w:val="baseline"/>
                      <w:lang w:val="en-US"/>
                    </w:rPr>
                    <w:t xml:space="preserve">70	</w:t>
                  </w:r>
                  <w:r>
                    <w:rPr>
                      <w:rFonts w:ascii="Calibri" w:hAnsi="Calibri" w:eastAsia="Calibri"/>
                      <w:color w:val="585858"/>
                      <w:spacing w:val="0"/>
                      <w:w w:val="100"/>
                      <w:sz w:val="18"/>
                      <w:vertAlign w:val="baseline"/>
                      <w:lang w:val="en-US"/>
                    </w:rPr>
                    <w:t xml:space="preserve">80	</w:t>
                  </w:r>
                  <w:r>
                    <w:rPr>
                      <w:rFonts w:ascii="Calibri" w:hAnsi="Calibri" w:eastAsia="Calibri"/>
                      <w:color w:val="585858"/>
                      <w:spacing w:val="0"/>
                      <w:w w:val="100"/>
                      <w:sz w:val="18"/>
                      <w:vertAlign w:val="baseline"/>
                      <w:lang w:val="en-US"/>
                    </w:rPr>
                    <w:t xml:space="preserve">90	</w:t>
                  </w:r>
                  <w:r>
                    <w:rPr>
                      <w:rFonts w:ascii="Calibri" w:hAnsi="Calibri" w:eastAsia="Calibri"/>
                      <w:color w:val="585858"/>
                      <w:spacing w:val="0"/>
                      <w:w w:val="100"/>
                      <w:sz w:val="18"/>
                      <w:vertAlign w:val="baseline"/>
                      <w:lang w:val="en-US"/>
                    </w:rPr>
                    <w:t xml:space="preserve">100</w:t>
                  </w:r>
                </w:p>
              </w:txbxContent>
            </v:textbox>
          </v:shape>
        </w:pict>
      </w:r>
      <w:r>
        <w:pict>
          <v:shapetype id="_x0000_t246" coordsize="21600,21600" o:spt="202" path="m,l,21600r21600,l21600,xe">
            <v:stroke joinstyle="miter"/>
            <v:path gradientshapeok="t" o:connecttype="rect"/>
          </v:shapetype>
          <v:shape id="_x0000_s245" type="#_x0000_t246" filled="f" stroked="f" style="position:absolute;width:229.7pt;height:16.25pt;z-index:-1;margin-left:190.3pt;margin-top:394.65pt;mso-wrap-distance-left:0pt;mso-wrap-distance-right:0pt;mso-position-horizontal-relative:page;mso-position-vertical-relative:page">
            <w10:wrap type="square" side="both"/>
            <v:fill opacity="1" o:opacity2="1" recolor="f" rotate="f" type="solid"/>
            <v:textbox inset="0pt, 0pt, 0pt, 0pt">
              <w:txbxContent>
                <w:p>
                  <w:pPr>
                    <w:spacing w:before="33" w:after="0" w:line="282" w:lineRule="exact"/>
                    <w:ind w:right="0" w:left="0" w:firstLine="0"/>
                    <w:jc w:val="center"/>
                    <w:textAlignment w:val="baseline"/>
                    <w:rPr>
                      <w:rFonts w:ascii="Calibri" w:hAnsi="Calibri" w:eastAsia="Calibri"/>
                      <w:color w:val="585858"/>
                      <w:spacing w:val="-4"/>
                      <w:w w:val="100"/>
                      <w:sz w:val="28"/>
                      <w:vertAlign w:val="baseline"/>
                      <w:lang w:val="en-US"/>
                    </w:rPr>
                  </w:pPr>
                  <w:r>
                    <w:rPr>
                      <w:rFonts w:ascii="Calibri" w:hAnsi="Calibri" w:eastAsia="Calibri"/>
                      <w:color w:val="585858"/>
                      <w:spacing w:val="-4"/>
                      <w:w w:val="100"/>
                      <w:sz w:val="28"/>
                      <w:vertAlign w:val="baseline"/>
                      <w:lang w:val="en-US"/>
                    </w:rPr>
                    <w:t xml:space="preserve">Smoking Abstinence in Pregnancy (2024)</w:t>
                  </w:r>
                </w:p>
              </w:txbxContent>
            </v:textbox>
          </v:shape>
        </w:pict>
      </w:r>
      <w:r>
        <w:pict>
          <v:shapetype id="_x0000_t247" coordsize="21600,21600" o:spt="202" path="m,l,21600r21600,l21600,xe">
            <v:stroke joinstyle="miter"/>
            <v:path gradientshapeok="t" o:connecttype="rect"/>
          </v:shapetype>
          <v:shape id="_x0000_s246" type="#_x0000_t247" filled="f" stroked="f" style="position:absolute;width:49.4pt;height:10pt;z-index:-1;margin-left:286.1pt;margin-top:554.9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08"/>
                    </w:tabs>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	</w:t>
                  </w:r>
                  <w:r>
                    <w:rPr>
                      <w:rFonts w:ascii="Calibri" w:hAnsi="Calibri" w:eastAsia="Calibri"/>
                      <w:color w:val="585858"/>
                      <w:spacing w:val="0"/>
                      <w:w w:val="100"/>
                      <w:sz w:val="18"/>
                      <w:vertAlign w:val="baseline"/>
                      <w:lang w:val="en-US"/>
                    </w:rPr>
                    <w:t xml:space="preserve">2024</w:t>
                  </w:r>
                </w:p>
              </w:txbxContent>
            </v:textbox>
          </v:shape>
        </w:pict>
      </w:r>
      <w:r>
        <w:pict>
          <v:shapetype id="_x0000_t248" coordsize="21600,21600" o:spt="202" path="m,l,21600r21600,l21600,xe">
            <v:stroke joinstyle="miter"/>
            <v:path gradientshapeok="t" o:connecttype="rect"/>
          </v:shapetype>
          <v:shape id="_x0000_s247" type="#_x0000_t248"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53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49" coordsize="21600,21600" o:spt="202" path="m,l,21600r21600,l21600,xe">
            <v:stroke joinstyle="miter"/>
            <v:path gradientshapeok="t" o:connecttype="rect"/>
          </v:shapetype>
          <v:shape id="_x0000_s248" type="#_x0000_t249" filled="f" stroked="f" style="position:absolute;width:612pt;height:189.45pt;z-index:-1;margin-left:0pt;margin-top:100.3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50" coordsize="21600,21600" o:spt="202" path="m,l,21600r21600,l21600,xe">
            <v:stroke joinstyle="miter"/>
            <v:path gradientshapeok="t" o:connecttype="rect"/>
          </v:shapetype>
          <v:shape id="_x0000_s249" type="#_x0000_t250" filled="f" stroked="f" style="position:absolute;width:461.8pt;height:225.15pt;z-index:-1;margin-left:71.5pt;margin-top:409.7pt;mso-wrap-distance-left:71.5pt;mso-wrap-distance-right:78.2pt;mso-position-horizontal-relative:page;mso-position-vertical-relative:page">
            <w10:wrap type="square"/>
            <v:fill opacity="1" o:opacity2="1" recolor="f" rotate="f" type="solid"/>
            <v:textbox inset="0pt, 0pt, 0pt, 0pt">
              <w:txbxContent>
                <w:p>
                  <w:pPr>
                    <w:pBdr>
                      <w:top w:sz="5" w:space="0" w:color="D8D8D8" w:val="single"/>
                      <w:left w:sz="5" w:space="71" w:color="D8D8D8" w:val="single"/>
                      <w:bottom w:sz="5" w:space="0" w:color="D8D8D8" w:val="single"/>
                      <w:right w:sz="5" w:space="78" w:color="D8D8D8" w:val="single"/>
                    </w:pBdr>
                  </w:pPr>
                </w:p>
              </w:txbxContent>
            </v:textbox>
          </v:shape>
        </w:pict>
      </w:r>
      <w:r>
        <w:pict>
          <v:shapetype id="_x0000_t251" coordsize="21600,21600" o:spt="202" path="m,l,21600r21600,l21600,xe">
            <v:stroke joinstyle="miter"/>
            <v:path gradientshapeok="t" o:connecttype="rect"/>
          </v:shapetype>
          <v:shape id="_x0000_s250" type="#_x0000_t251"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52" coordsize="21600,21600" o:spt="202" path="m,l,21600r21600,l21600,xe">
            <v:stroke joinstyle="miter"/>
            <v:path gradientshapeok="t" o:connecttype="rect"/>
          </v:shapetype>
          <v:shape id="_x0000_s251" type="#_x0000_t252" filled="f" stroked="f" style="position:absolute;width:612pt;height:28.2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0" w:after="359" w:line="180" w:lineRule="exact"/>
                    <w:ind w:right="0" w:left="1728"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24: Illegal Drug Abstinence in Pregnancy</w:t>
                  </w:r>
                </w:p>
              </w:txbxContent>
            </v:textbox>
          </v:shape>
        </w:pict>
      </w:r>
      <w:r>
        <w:pict>
          <v:shapetype id="_x0000_t253" coordsize="21600,21600" o:spt="202" path="m,l,21600r21600,l21600,xe">
            <v:stroke joinstyle="miter"/>
            <v:path gradientshapeok="t" o:connecttype="rect"/>
          </v:shapetype>
          <v:shape id="_x0000_s252" type="#_x0000_t253" filled="f" stroked="f" style="position:absolute;width:612pt;height:119.95pt;z-index:1;margin-left:0pt;margin-top:289.7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Healthy People 2020; US Department of Health and Human Services.</w:t>
                  </w:r>
                </w:p>
                <w:p>
                  <w:pPr>
                    <w:spacing w:before="567" w:after="0" w:line="288"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Additionally, lack of access to prenatal care may be manifested by low live birth weights (&lt;2,500 grams or about 5 lbs., 8 oz.) and premature births (live births before 37 weeks) (Figure 25 and Maps 14, 15, 16).</w:t>
                  </w:r>
                </w:p>
                <w:p>
                  <w:pPr>
                    <w:spacing w:before="679" w:after="196"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25: Percentage of Preterm Births in the Region from 2018-2024</w:t>
                  </w:r>
                </w:p>
              </w:txbxContent>
            </v:textbox>
          </v:shape>
        </w:pict>
      </w:r>
      <w:r>
        <w:pict>
          <v:shapetype id="_x0000_t254" coordsize="21600,21600" o:spt="202" path="m,l,21600r21600,l21600,xe">
            <v:stroke joinstyle="miter"/>
            <v:path gradientshapeok="t" o:connecttype="rect"/>
          </v:shapetype>
          <v:shape id="_x0000_s253" type="#_x0000_t254" filled="f" stroked="f" style="position:absolute;width:612pt;height:82.9pt;z-index:1;margin-left:0pt;margin-top:633.95pt;mso-wrap-distance-left:0pt;mso-wrap-distance-right:0pt;mso-position-horizontal-relative:page;mso-position-vertical-relative:page">
            <w10:wrap anchorx="page" anchory="page"/>
            <v:fill opacity="1" o:opacity2="1" recolor="f" rotate="f" type="solid"/>
            <v:textbox inset="0pt, 0pt, 0pt, 0pt">
              <w:txbxContent>
                <w:p>
                  <w:pPr>
                    <w:spacing w:before="20" w:after="1450" w:line="179"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National Center for Health Statistics</w:t>
                  </w: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439.2pt;height:185.55pt;z-index:-1;margin-left:84.95pt;margin-top:100.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577840" cy="2356485"/>
                        <wp:docPr name="Picture" id="62"/>
                        <a:graphic>
                          <a:graphicData uri="http://schemas.openxmlformats.org/drawingml/2006/picture">
                            <pic:pic>
                              <pic:nvPicPr>
                                <pic:cNvPr id="62" name="Picture"/>
                                <pic:cNvPicPr preferRelativeResize="false"/>
                              </pic:nvPicPr>
                              <pic:blipFill>
                                <a:blip r:embed="prId62"/>
                                <a:stretch>
                                  <a:fillRect/>
                                </a:stretch>
                              </pic:blipFill>
                              <pic:spPr>
                                <a:xfrm>
                                  <a:off x="0" y="0"/>
                                  <a:ext cx="5577840" cy="2356485"/>
                                </a:xfrm>
                                <a:prstGeom prst="rect"/>
                              </pic:spPr>
                            </pic:pic>
                          </a:graphicData>
                        </a:graphic>
                      </wp:inline>
                    </w:drawing>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36.45pt;height:88.9pt;z-index:-1;margin-left:92.65pt;margin-top:149.85pt;mso-wrap-distance-left:0pt;mso-wrap-distance-right:0pt;mso-position-horizontal-relative:page;mso-position-vertical-relative:page">
            <w10:wrap type="square" side="both"/>
            <v:fill opacity="1" o:opacity2="1" recolor="f" rotate="f" type="solid"/>
            <v:textbox inset="0pt, 0pt, 0pt, 0pt">
              <w:txbxContent>
                <w:p>
                  <w:pPr>
                    <w:spacing w:before="0" w:after="0" w:line="221" w:lineRule="exact"/>
                    <w:ind w:right="0" w:left="0" w:firstLine="0"/>
                    <w:jc w:val="right"/>
                    <w:textAlignment w:val="baseline"/>
                    <w:rPr>
                      <w:rFonts w:ascii="Calibri" w:hAnsi="Calibri" w:eastAsia="Calibri"/>
                      <w:color w:val="585858"/>
                      <w:spacing w:val="-2"/>
                      <w:w w:val="100"/>
                      <w:sz w:val="18"/>
                      <w:vertAlign w:val="baseline"/>
                      <w:lang w:val="en-US"/>
                    </w:rPr>
                  </w:pPr>
                  <w:r>
                    <w:rPr>
                      <w:rFonts w:ascii="Calibri" w:hAnsi="Calibri" w:eastAsia="Calibri"/>
                      <w:color w:val="585858"/>
                      <w:spacing w:val="-2"/>
                      <w:w w:val="100"/>
                      <w:sz w:val="18"/>
                      <w:vertAlign w:val="baseline"/>
                      <w:lang w:val="en-US"/>
                    </w:rPr>
                    <w:t xml:space="preserve">Chemung Livingston Ontario Schuyler Seneca Steuben Wayne Yates</w:t>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380.15pt;height:9.95pt;z-index:-1;margin-left:133.2pt;margin-top:132.3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80"/>
                      <w:tab w:val="left" w:leader="none" w:pos="2088"/>
                      <w:tab w:val="left" w:leader="none" w:pos="3168"/>
                      <w:tab w:val="left" w:leader="none" w:pos="4248"/>
                      <w:tab w:val="left" w:leader="none" w:pos="5256"/>
                      <w:tab w:val="left" w:leader="none" w:pos="6336"/>
                      <w:tab w:val="right" w:leader="none" w:pos="7632"/>
                    </w:tabs>
                    <w:spacing w:before="20" w:after="0" w:line="16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86	</w:t>
                  </w:r>
                  <w:r>
                    <w:rPr>
                      <w:rFonts w:ascii="Calibri" w:hAnsi="Calibri" w:eastAsia="Calibri"/>
                      <w:color w:val="585858"/>
                      <w:spacing w:val="0"/>
                      <w:w w:val="100"/>
                      <w:sz w:val="18"/>
                      <w:vertAlign w:val="baseline"/>
                      <w:lang w:val="en-US"/>
                    </w:rPr>
                    <w:t xml:space="preserve">88	</w:t>
                  </w:r>
                  <w:r>
                    <w:rPr>
                      <w:rFonts w:ascii="Calibri" w:hAnsi="Calibri" w:eastAsia="Calibri"/>
                      <w:color w:val="585858"/>
                      <w:spacing w:val="0"/>
                      <w:w w:val="100"/>
                      <w:sz w:val="18"/>
                      <w:vertAlign w:val="baseline"/>
                      <w:lang w:val="en-US"/>
                    </w:rPr>
                    <w:t xml:space="preserve">90	</w:t>
                  </w:r>
                  <w:r>
                    <w:rPr>
                      <w:rFonts w:ascii="Calibri" w:hAnsi="Calibri" w:eastAsia="Calibri"/>
                      <w:color w:val="585858"/>
                      <w:spacing w:val="0"/>
                      <w:w w:val="100"/>
                      <w:sz w:val="18"/>
                      <w:vertAlign w:val="baseline"/>
                      <w:lang w:val="en-US"/>
                    </w:rPr>
                    <w:t xml:space="preserve">92	</w:t>
                  </w:r>
                  <w:r>
                    <w:rPr>
                      <w:rFonts w:ascii="Calibri" w:hAnsi="Calibri" w:eastAsia="Calibri"/>
                      <w:color w:val="585858"/>
                      <w:spacing w:val="0"/>
                      <w:w w:val="100"/>
                      <w:sz w:val="18"/>
                      <w:vertAlign w:val="baseline"/>
                      <w:lang w:val="en-US"/>
                    </w:rPr>
                    <w:t xml:space="preserve">94	</w:t>
                  </w:r>
                  <w:r>
                    <w:rPr>
                      <w:rFonts w:ascii="Calibri" w:hAnsi="Calibri" w:eastAsia="Calibri"/>
                      <w:color w:val="585858"/>
                      <w:spacing w:val="0"/>
                      <w:w w:val="100"/>
                      <w:sz w:val="18"/>
                      <w:vertAlign w:val="baseline"/>
                      <w:lang w:val="en-US"/>
                    </w:rPr>
                    <w:t xml:space="preserve">96	</w:t>
                  </w:r>
                  <w:r>
                    <w:rPr>
                      <w:rFonts w:ascii="Calibri" w:hAnsi="Calibri" w:eastAsia="Calibri"/>
                      <w:color w:val="585858"/>
                      <w:spacing w:val="0"/>
                      <w:w w:val="100"/>
                      <w:sz w:val="18"/>
                      <w:vertAlign w:val="baseline"/>
                      <w:lang w:val="en-US"/>
                    </w:rPr>
                    <w:t xml:space="preserve">98	</w:t>
                  </w:r>
                  <w:r>
                    <w:rPr>
                      <w:rFonts w:ascii="Calibri" w:hAnsi="Calibri" w:eastAsia="Calibri"/>
                      <w:color w:val="585858"/>
                      <w:spacing w:val="0"/>
                      <w:w w:val="100"/>
                      <w:sz w:val="18"/>
                      <w:vertAlign w:val="baseline"/>
                      <w:lang w:val="en-US"/>
                    </w:rPr>
                    <w:t xml:space="preserve">100</w:t>
                  </w:r>
                </w:p>
              </w:txbxContent>
            </v:textbox>
          </v:shape>
        </w:pict>
      </w:r>
      <w:r>
        <w:pict>
          <v:shapetype id="_x0000_t258" coordsize="21600,21600" o:spt="202" path="m,l,21600r21600,l21600,xe">
            <v:stroke joinstyle="miter"/>
            <v:path gradientshapeok="t" o:connecttype="rect"/>
          </v:shapetype>
          <v:shape id="_x0000_s257" type="#_x0000_t258" filled="f" stroked="f" style="position:absolute;width:296.4pt;height:16.2pt;z-index:-1;margin-left:156.95pt;margin-top:108.35pt;mso-wrap-distance-left:0pt;mso-wrap-distance-right:0pt;mso-position-horizontal-relative:page;mso-position-vertical-relative:page">
            <w10:wrap type="square" side="both"/>
            <v:fill opacity="1" o:opacity2="1" recolor="f" rotate="f" type="solid"/>
            <v:textbox inset="0pt, 0pt, 0pt, 0pt">
              <w:txbxContent>
                <w:p>
                  <w:pPr>
                    <w:spacing w:before="33" w:after="0" w:line="276" w:lineRule="exact"/>
                    <w:ind w:right="0" w:left="0" w:firstLine="0"/>
                    <w:jc w:val="center"/>
                    <w:textAlignment w:val="baseline"/>
                    <w:rPr>
                      <w:rFonts w:ascii="Calibri" w:hAnsi="Calibri" w:eastAsia="Calibri"/>
                      <w:color w:val="585858"/>
                      <w:spacing w:val="-4"/>
                      <w:w w:val="100"/>
                      <w:sz w:val="28"/>
                      <w:vertAlign w:val="baseline"/>
                      <w:lang w:val="en-US"/>
                    </w:rPr>
                  </w:pPr>
                  <w:r>
                    <w:rPr>
                      <w:rFonts w:ascii="Calibri" w:hAnsi="Calibri" w:eastAsia="Calibri"/>
                      <w:color w:val="585858"/>
                      <w:spacing w:val="-4"/>
                      <w:w w:val="100"/>
                      <w:sz w:val="28"/>
                      <w:vertAlign w:val="baseline"/>
                      <w:lang w:val="en-US"/>
                    </w:rPr>
                    <w:t xml:space="preserve">Illegal Drug Use Abstinence During Pregnancy (2024)</w:t>
                  </w:r>
                </w:p>
              </w:txbxContent>
            </v:textbox>
          </v:shape>
        </w:pict>
      </w:r>
      <w:r>
        <w:pict>
          <v:shapetype id="_x0000_t259" coordsize="21600,21600" o:spt="202" path="m,l,21600r21600,l21600,xe">
            <v:stroke joinstyle="miter"/>
            <v:path gradientshapeok="t" o:connecttype="rect"/>
          </v:shapetype>
          <v:shape id="_x0000_s258" type="#_x0000_t259" filled="f" stroked="f" style="position:absolute;width:49.7pt;height:9.95pt;z-index:-1;margin-left:285.6pt;margin-top:265.05pt;mso-wrap-distance-left:0pt;mso-wrap-distance-right:0pt;mso-position-horizontal-relative:page;mso-position-vertical-relative:page">
            <w10:wrap type="square" side="both"/>
            <v:fill opacity="1" o:opacity2="1" recolor="f" rotate="f" type="solid"/>
            <v:textbox inset="0pt, 0pt, 0pt, 0pt">
              <w:txbxContent>
                <w:p>
                  <w:pPr>
                    <w:tabs>
                      <w:tab w:val="right" w:leader="none" w:pos="1008"/>
                    </w:tabs>
                    <w:spacing w:before="20" w:after="0" w:line="16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	</w:t>
                  </w:r>
                  <w:r>
                    <w:rPr>
                      <w:rFonts w:ascii="Calibri" w:hAnsi="Calibri" w:eastAsia="Calibri"/>
                      <w:color w:val="585858"/>
                      <w:spacing w:val="0"/>
                      <w:w w:val="100"/>
                      <w:sz w:val="18"/>
                      <w:vertAlign w:val="baseline"/>
                      <w:lang w:val="en-US"/>
                    </w:rPr>
                    <w:t xml:space="preserve">2024</w:t>
                  </w:r>
                </w:p>
              </w:txbxContent>
            </v:textbox>
          </v:shape>
        </w:pict>
      </w:r>
      <w:r>
        <w:pict>
          <v:shapetype id="_x0000_t260" coordsize="21600,21600" o:spt="202" path="m,l,21600r21600,l21600,xe">
            <v:stroke joinstyle="miter"/>
            <v:path gradientshapeok="t" o:connecttype="rect"/>
          </v:shapetype>
          <v:shape id="_x0000_s259" type="#_x0000_t260" filled="f" stroked="f" style="position:absolute;width:458.4pt;height:31.75pt;z-index:-1;margin-left:73.2pt;margin-top:409.7pt;mso-wrap-distance-left:0pt;mso-wrap-distance-right:0pt;mso-position-horizontal-relative:page;mso-position-vertical-relative:page">
            <w10:wrap type="square" side="both"/>
            <v:fill opacity="1" o:opacity2="1" recolor="f" rotate="f" type="solid"/>
            <v:textbox inset="0pt, 0pt, 0pt, 0pt">
              <w:txbxContent>
                <w:p>
                  <w:pPr>
                    <w:spacing w:before="198" w:after="149" w:line="286"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Percentage of Preterm Births</w:t>
                  </w:r>
                </w:p>
              </w:txbxContent>
            </v:textbox>
          </v:shape>
        </w:pict>
      </w:r>
      <w:r>
        <w:pict>
          <v:shapetype id="_x0000_t261" coordsize="21600,21600" o:spt="202" path="m,l,21600r21600,l21600,xe">
            <v:stroke joinstyle="miter"/>
            <v:path gradientshapeok="t" o:connecttype="rect"/>
          </v:shapetype>
          <v:shape id="_x0000_s260" type="#_x0000_t261" filled="f" stroked="f" style="position:absolute;width:16.3pt;height:9.95pt;z-index:-1;margin-left:73.2pt;margin-top:441.45pt;mso-wrap-distance-left:0pt;mso-wrap-distance-right:0pt;mso-position-horizontal-relative:page;mso-position-vertical-relative:page">
            <w10:wrap type="square" side="both"/>
            <v:fill opacity="1" o:opacity2="1" recolor="f" rotate="f" type="solid"/>
            <v:textbox inset="0pt, 0pt, 0pt, 0pt">
              <w:txbxContent>
                <w:p>
                  <w:pPr>
                    <w:spacing w:before="20" w:after="0" w:line="165"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80</w:t>
                  </w:r>
                </w:p>
              </w:txbxContent>
            </v:textbox>
          </v:shape>
        </w:pict>
      </w:r>
      <w:r>
        <w:pict>
          <v:shapetype id="_x0000_t262" coordsize="21600,21600" o:spt="202" path="m,l,21600r21600,l21600,xe">
            <v:stroke joinstyle="miter"/>
            <v:path gradientshapeok="t" o:connecttype="rect"/>
          </v:shapetype>
          <v:shape id="_x0000_s261" type="#_x0000_t262" filled="f" stroked="f" style="position:absolute;width:16.3pt;height:16.1pt;z-index:-1;margin-left:73.2pt;margin-top:451.4pt;mso-wrap-distance-left:0pt;mso-wrap-distance-right:0pt;mso-position-horizontal-relative:page;mso-position-vertical-relative:page">
            <w10:wrap type="square" side="both"/>
            <v:fill opacity="1" o:opacity2="1" recolor="f" rotate="f" type="solid"/>
            <v:textbox inset="0pt, 0pt, 0pt, 0pt">
              <w:txbxContent>
                <w:p>
                  <w:pPr>
                    <w:spacing w:before="162" w:after="0" w:line="155"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70</w:t>
                  </w:r>
                </w:p>
              </w:txbxContent>
            </v:textbox>
          </v:shape>
        </w:pict>
      </w:r>
      <w:r>
        <w:pict>
          <v:shapetype id="_x0000_t263" coordsize="21600,21600" o:spt="202" path="m,l,21600r21600,l21600,xe">
            <v:stroke joinstyle="miter"/>
            <v:path gradientshapeok="t" o:connecttype="rect"/>
          </v:shapetype>
          <v:shape id="_x0000_s262" type="#_x0000_t263" filled="f" stroked="f" style="position:absolute;width:460.1pt;height:119.3pt;z-index:-1;margin-left:71.5pt;margin-top:467.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85"/>
                    <w:gridCol w:w="2074"/>
                    <w:gridCol w:w="728"/>
                    <w:gridCol w:w="491"/>
                    <w:gridCol w:w="724"/>
                    <w:gridCol w:w="490"/>
                    <w:gridCol w:w="729"/>
                    <w:gridCol w:w="491"/>
                    <w:gridCol w:w="723"/>
                    <w:gridCol w:w="491"/>
                    <w:gridCol w:w="729"/>
                    <w:gridCol w:w="855"/>
                  </w:tblGrid>
                  <w:tr>
                    <w:trPr>
                      <w:trHeight w:val="197" w:hRule="exact"/>
                    </w:trPr>
                    <w:tc>
                      <w:tcPr>
                        <w:tcW w:w="485" w:type="dxa"/>
                        <w:tcBorders>
                          <w:top w:val="none"/>
                          <w:left w:val="none"/>
                          <w:bottom w:val="none"/>
                          <w:right w:val="none"/>
                        </w:tcBorders>
                        <w:textDirection w:val="lrTb"/>
                        <w:vAlign w:val="top"/>
                      </w:tcPr>
                      <w:p/>
                    </w:tc>
                    <w:tc>
                      <w:tcPr>
                        <w:tcW w:w="2074"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1316990" cy="1423670"/>
                              <wp:docPr name="Picture" id="63"/>
                              <a:graphic>
                                <a:graphicData uri="http://schemas.openxmlformats.org/drawingml/2006/picture">
                                  <pic:pic>
                                    <pic:nvPicPr>
                                      <pic:cNvPr id="63" name="Picture"/>
                                      <pic:cNvPicPr preferRelativeResize="false"/>
                                    </pic:nvPicPr>
                                    <pic:blipFill>
                                      <a:blip r:embed="prId63"/>
                                      <a:stretch>
                                        <a:fillRect/>
                                      </a:stretch>
                                    </pic:blipFill>
                                    <pic:spPr>
                                      <a:xfrm>
                                        <a:off x="0" y="0"/>
                                        <a:ext cx="1316990" cy="1423670"/>
                                      </a:xfrm>
                                      <a:prstGeom prst="rect"/>
                                    </pic:spPr>
                                  </pic:pic>
                                </a:graphicData>
                              </a:graphic>
                            </wp:inline>
                          </w:drawing>
                        </w: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42290" cy="1460500"/>
                              <wp:docPr name="Picture" id="64"/>
                              <a:graphic>
                                <a:graphicData uri="http://schemas.openxmlformats.org/drawingml/2006/picture">
                                  <pic:pic>
                                    <pic:nvPicPr>
                                      <pic:cNvPr id="64" name="Picture"/>
                                      <pic:cNvPicPr preferRelativeResize="false"/>
                                    </pic:nvPicPr>
                                    <pic:blipFill>
                                      <a:blip r:embed="prId64"/>
                                      <a:stretch>
                                        <a:fillRect/>
                                      </a:stretch>
                                    </pic:blipFill>
                                    <pic:spPr>
                                      <a:xfrm>
                                        <a:off x="0" y="0"/>
                                        <a:ext cx="542290" cy="1460500"/>
                                      </a:xfrm>
                                      <a:prstGeom prst="rect"/>
                                    </pic:spPr>
                                  </pic:pic>
                                </a:graphicData>
                              </a:graphic>
                            </wp:inline>
                          </w:drawing>
                        </w:r>
                      </w:p>
                    </w:tc>
                  </w:tr>
                  <w:tr>
                    <w:trPr>
                      <w:trHeight w:val="53" w:hRule="exact"/>
                    </w:trPr>
                    <w:tc>
                      <w:tcPr>
                        <w:tcW w:w="485" w:type="dxa"/>
                        <w:vMerge w:val="restart"/>
                        <w:tcBorders>
                          <w:top w:val="none"/>
                          <w:left w:val="none"/>
                          <w:bottom w:val="none"/>
                          <w:right w:val="none"/>
                        </w:tcBorders>
                        <w:textDirection w:val="lrTb"/>
                        <w:vAlign w:val="center"/>
                      </w:tcPr>
                      <w:p>
                        <w:pPr>
                          <w:spacing w:before="0" w:after="10" w:line="163"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94010" w:fill="994010"/>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94010" w:fill="994010"/>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9"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shd w:val="clear" w:color="994010" w:fill="994010"/>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single" w:sz="5" w:color="D8D8D8"/>
                          <w:right w:val="none"/>
                        </w:tcBorders>
                        <w:textDirection w:val="lrTb"/>
                        <w:vAlign w:val="top"/>
                      </w:tcPr>
                      <w:p/>
                    </w:tc>
                    <w:tc>
                      <w:tcPr>
                        <w:tcW w:w="491" w:type="dxa"/>
                        <w:tcBorders>
                          <w:top w:val="none"/>
                          <w:left w:val="none"/>
                          <w:bottom w:val="single" w:sz="5" w:color="D8D8D8"/>
                          <w:right w:val="none"/>
                        </w:tcBorders>
                        <w:textDirection w:val="lrTb"/>
                        <w:vAlign w:val="top"/>
                      </w:tcPr>
                      <w:p/>
                    </w:tc>
                    <w:tc>
                      <w:tcPr>
                        <w:tcW w:w="729" w:type="dxa"/>
                        <w:tcBorders>
                          <w:top w:val="none"/>
                          <w:left w:val="none"/>
                          <w:bottom w:val="single" w:sz="5" w:color="D8D8D8"/>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34"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single" w:sz="5" w:color="D8D8D8"/>
                          <w:left w:val="none"/>
                          <w:bottom w:val="none"/>
                          <w:right w:val="none"/>
                        </w:tcBorders>
                        <w:textDirection w:val="lrTb"/>
                        <w:vAlign w:val="top"/>
                      </w:tcPr>
                      <w:p/>
                    </w:tc>
                    <w:tc>
                      <w:tcPr>
                        <w:tcW w:w="491" w:type="dxa"/>
                        <w:tcBorders>
                          <w:top w:val="single" w:sz="5" w:color="D8D8D8"/>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7"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94010" w:fill="994010"/>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76"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0C394D" w:fill="0C394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3"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48"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0C394D" w:fill="0C394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53" w:hRule="exact"/>
                    </w:trPr>
                    <w:tc>
                      <w:tcPr>
                        <w:tcW w:w="485" w:type="dxa"/>
                        <w:vMerge w:val="restart"/>
                        <w:tcBorders>
                          <w:top w:val="none"/>
                          <w:left w:val="none"/>
                          <w:bottom w:val="none"/>
                          <w:right w:val="none"/>
                        </w:tcBorders>
                        <w:textDirection w:val="lrTb"/>
                        <w:vAlign w:val="center"/>
                      </w:tcPr>
                      <w:p>
                        <w:pPr>
                          <w:spacing w:before="0" w:after="0" w:line="101"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490" w:type="dxa"/>
                        <w:tcBorders>
                          <w:top w:val="none"/>
                          <w:left w:val="none"/>
                          <w:bottom w:val="none"/>
                          <w:right w:val="none"/>
                        </w:tcBorders>
                        <w:shd w:val="clear" w:color="0C394D" w:fill="0C394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single" w:sz="5" w:color="D8D8D8"/>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2"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single" w:sz="5" w:color="D8D8D8"/>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11"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4DA72D" w:fill="4DA72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4DA72D" w:fill="4DA72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7"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4DA72D" w:fill="4DA72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77" w:hRule="exact"/>
                    </w:trPr>
                    <w:tc>
                      <w:tcPr>
                        <w:tcW w:w="485" w:type="dxa"/>
                        <w:vMerge w:val="restart"/>
                        <w:tcBorders>
                          <w:top w:val="none"/>
                          <w:left w:val="none"/>
                          <w:bottom w:val="none"/>
                          <w:right w:val="none"/>
                        </w:tcBorders>
                        <w:textDirection w:val="lrTb"/>
                        <w:vAlign w:val="center"/>
                      </w:tcPr>
                      <w:p>
                        <w:pPr>
                          <w:spacing w:before="0" w:after="10"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490" w:type="dxa"/>
                        <w:tcBorders>
                          <w:top w:val="none"/>
                          <w:left w:val="none"/>
                          <w:bottom w:val="none"/>
                          <w:right w:val="none"/>
                        </w:tcBorders>
                        <w:shd w:val="clear" w:color="4DA72D" w:fill="4DA72D"/>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24"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single" w:sz="5" w:color="D8D8D8"/>
                          <w:left w:val="none"/>
                          <w:bottom w:val="single" w:sz="5" w:color="D8D8D8"/>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F2B92" w:fill="9F2B9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F2B92" w:fill="9F2B9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05"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single" w:sz="5" w:color="D8D8D8"/>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7"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9F2B92" w:fill="9F2B9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25"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05" w:hRule="exact"/>
                    </w:trPr>
                    <w:tc>
                      <w:tcPr>
                        <w:tcW w:w="485" w:type="dxa"/>
                        <w:vMerge w:val="restart"/>
                        <w:tcBorders>
                          <w:top w:val="none"/>
                          <w:left w:val="none"/>
                          <w:bottom w:val="none"/>
                          <w:right w:val="none"/>
                        </w:tcBorders>
                        <w:textDirection w:val="lrTb"/>
                        <w:vAlign w:val="center"/>
                      </w:tcPr>
                      <w:p>
                        <w:pPr>
                          <w:spacing w:before="50" w:after="0" w:line="151"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shd w:val="clear" w:color="9F2B92" w:fill="9F2B9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39"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shd w:val="clear" w:color="0F9ED4" w:fill="0F9ED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single" w:sz="5" w:color="D8D8D8"/>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28"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single" w:sz="5" w:color="D8D8D8"/>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single" w:sz="5" w:color="D8D8D8"/>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single" w:sz="5" w:color="D8D8D8"/>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34"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0F9ED4" w:fill="0F9ED4"/>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2"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48"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40" w:hRule="exact"/>
                    </w:trPr>
                    <w:tc>
                      <w:tcPr>
                        <w:tcW w:w="485" w:type="dxa"/>
                        <w:vMerge w:val="restart"/>
                        <w:tcBorders>
                          <w:top w:val="none"/>
                          <w:left w:val="none"/>
                          <w:bottom w:val="none"/>
                          <w:right w:val="none"/>
                        </w:tcBorders>
                        <w:textDirection w:val="lrTb"/>
                        <w:vAlign w:val="center"/>
                      </w:tcPr>
                      <w:p>
                        <w:pPr>
                          <w:spacing w:before="75" w:after="77"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24"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2"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115" w:hRule="exact"/>
                    </w:trPr>
                    <w:tc>
                      <w:tcPr>
                        <w:tcW w:w="485" w:type="dxa"/>
                        <w:vMerge w:val="continue"/>
                        <w:tcBorders>
                          <w:top w:val="none"/>
                          <w:left w:val="none"/>
                          <w:bottom w:val="none"/>
                          <w:right w:val="none"/>
                        </w:tcBorders>
                        <w:textDirection w:val="lrTb"/>
                        <w:vAlign w:val="center"/>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63"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24" w:hRule="exact"/>
                    </w:trPr>
                    <w:tc>
                      <w:tcPr>
                        <w:tcW w:w="485" w:type="dxa"/>
                        <w:tcBorders>
                          <w:top w:val="none"/>
                          <w:left w:val="none"/>
                          <w:bottom w:val="none"/>
                          <w:right w:val="none"/>
                        </w:tcBorders>
                        <w:textDirection w:val="lrTb"/>
                        <w:vAlign w:val="top"/>
                      </w:tcP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none"/>
                          <w:right w:val="none"/>
                        </w:tcBorders>
                        <w:textDirection w:val="lrTb"/>
                        <w:vAlign w:val="top"/>
                      </w:tcPr>
                      <w:p/>
                    </w:tc>
                    <w:tc>
                      <w:tcPr>
                        <w:tcW w:w="490"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491"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3"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9" w:type="dxa"/>
                        <w:tcBorders>
                          <w:top w:val="none"/>
                          <w:left w:val="none"/>
                          <w:bottom w:val="none"/>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76" w:hRule="exact"/>
                    </w:trPr>
                    <w:tc>
                      <w:tcPr>
                        <w:tcW w:w="485" w:type="dxa"/>
                        <w:vMerge w:val="restart"/>
                        <w:tcBorders>
                          <w:top w:val="none"/>
                          <w:left w:val="none"/>
                          <w:bottom w:val="none"/>
                          <w:right w:val="none"/>
                        </w:tcBorders>
                        <w:textDirection w:val="lrTb"/>
                        <w:vAlign w:val="top"/>
                      </w:tcPr>
                      <w:p>
                        <w:pPr>
                          <w:spacing w:before="0" w:after="0" w:line="167"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p>
                        <w:pPr>
                          <w:spacing w:before="157" w:after="0" w:line="155"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2074" w:type="dxa"/>
                        <w:vMerge w:val="continue"/>
                        <w:tcBorders>
                          <w:top w:val="none"/>
                          <w:left w:val="none"/>
                          <w:bottom w:val="none"/>
                          <w:right w:val="none"/>
                        </w:tcBorders>
                        <w:textDirection w:val="lrTb"/>
                        <w:vAlign w:val="top"/>
                      </w:tcPr>
                      <w:p/>
                    </w:tc>
                    <w:tc>
                      <w:tcPr>
                        <w:tcW w:w="728" w:type="dxa"/>
                        <w:tcBorders>
                          <w:top w:val="none"/>
                          <w:left w:val="none"/>
                          <w:bottom w:val="none"/>
                          <w:right w:val="none"/>
                        </w:tcBorders>
                        <w:textDirection w:val="lrTb"/>
                        <w:vAlign w:val="top"/>
                      </w:tcPr>
                      <w:p/>
                    </w:tc>
                    <w:tc>
                      <w:tcPr>
                        <w:tcW w:w="491" w:type="dxa"/>
                        <w:tcBorders>
                          <w:top w:val="none"/>
                          <w:left w:val="none"/>
                          <w:bottom w:val="none"/>
                          <w:right w:val="none"/>
                        </w:tcBorders>
                        <w:textDirection w:val="lrTb"/>
                        <w:vAlign w:val="top"/>
                      </w:tcPr>
                      <w:p/>
                    </w:tc>
                    <w:tc>
                      <w:tcPr>
                        <w:tcW w:w="724" w:type="dxa"/>
                        <w:tcBorders>
                          <w:top w:val="none"/>
                          <w:left w:val="none"/>
                          <w:bottom w:val="single" w:sz="5" w:color="D8D8D8"/>
                          <w:right w:val="none"/>
                        </w:tcBorders>
                        <w:textDirection w:val="lrTb"/>
                        <w:vAlign w:val="top"/>
                      </w:tcPr>
                      <w:p/>
                    </w:tc>
                    <w:tc>
                      <w:tcPr>
                        <w:tcW w:w="490"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textDirection w:val="lrTb"/>
                        <w:vAlign w:val="top"/>
                      </w:tcPr>
                      <w:p/>
                    </w:tc>
                    <w:tc>
                      <w:tcPr>
                        <w:tcW w:w="723" w:type="dxa"/>
                        <w:tcBorders>
                          <w:top w:val="none"/>
                          <w:left w:val="none"/>
                          <w:bottom w:val="single" w:sz="5" w:color="D8D8D8"/>
                          <w:right w:val="none"/>
                        </w:tcBorders>
                        <w:textDirection w:val="lrTb"/>
                        <w:vAlign w:val="top"/>
                      </w:tcPr>
                      <w:p/>
                    </w:tc>
                    <w:tc>
                      <w:tcPr>
                        <w:tcW w:w="491"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29" w:type="dxa"/>
                        <w:tcBorders>
                          <w:top w:val="none"/>
                          <w:left w:val="none"/>
                          <w:bottom w:val="single" w:sz="5" w:color="D8D8D8"/>
                          <w:right w:val="none"/>
                        </w:tcBorders>
                        <w:textDirection w:val="lrTb"/>
                        <w:vAlign w:val="top"/>
                      </w:tcPr>
                      <w:p/>
                    </w:tc>
                    <w:tc>
                      <w:tcPr>
                        <w:tcW w:w="855" w:type="dxa"/>
                        <w:vMerge w:val="continue"/>
                        <w:tcBorders>
                          <w:top w:val="none"/>
                          <w:left w:val="none"/>
                          <w:bottom w:val="none"/>
                          <w:right w:val="none"/>
                        </w:tcBorders>
                        <w:textDirection w:val="lrTb"/>
                        <w:vAlign w:val="top"/>
                      </w:tcPr>
                      <w:p/>
                    </w:tc>
                  </w:tr>
                  <w:tr>
                    <w:trPr>
                      <w:trHeight w:val="332" w:hRule="exact"/>
                    </w:trPr>
                    <w:tc>
                      <w:tcPr>
                        <w:tcW w:w="485" w:type="dxa"/>
                        <w:vMerge w:val="continue"/>
                        <w:tcBorders>
                          <w:top w:val="none"/>
                          <w:left w:val="none"/>
                          <w:bottom w:val="none"/>
                          <w:right w:val="none"/>
                        </w:tcBorders>
                        <w:textDirection w:val="lrTb"/>
                        <w:vAlign w:val="top"/>
                      </w:tcPr>
                      <w:p/>
                    </w:tc>
                    <w:tc>
                      <w:tcPr>
                        <w:tcW w:w="2074" w:type="dxa"/>
                        <w:vMerge w:val="continue"/>
                        <w:tcBorders>
                          <w:top w:val="none"/>
                          <w:left w:val="none"/>
                          <w:bottom w:val="single" w:sz="5" w:color="D8D8D8"/>
                          <w:right w:val="none"/>
                        </w:tcBorders>
                        <w:textDirection w:val="lrTb"/>
                        <w:vAlign w:val="top"/>
                      </w:tcPr>
                      <w:p/>
                    </w:tc>
                    <w:tc>
                      <w:tcPr>
                        <w:tcW w:w="728" w:type="dxa"/>
                        <w:tcBorders>
                          <w:top w:val="none"/>
                          <w:left w:val="none"/>
                          <w:bottom w:val="single" w:sz="5" w:color="D8D8D8"/>
                          <w:right w:val="none"/>
                        </w:tcBorders>
                        <w:textDirection w:val="lrTb"/>
                        <w:vAlign w:val="top"/>
                      </w:tcPr>
                      <w:p/>
                    </w:tc>
                    <w:tc>
                      <w:tcPr>
                        <w:tcW w:w="491" w:type="dxa"/>
                        <w:tcBorders>
                          <w:top w:val="none"/>
                          <w:left w:val="none"/>
                          <w:bottom w:val="single" w:sz="5" w:color="D8D8D8"/>
                          <w:right w:val="none"/>
                        </w:tcBorders>
                        <w:textDirection w:val="lrTb"/>
                        <w:vAlign w:val="top"/>
                      </w:tcPr>
                      <w:p/>
                    </w:tc>
                    <w:tc>
                      <w:tcPr>
                        <w:tcW w:w="724" w:type="dxa"/>
                        <w:tcBorders>
                          <w:top w:val="single" w:sz="5" w:color="D8D8D8"/>
                          <w:left w:val="none"/>
                          <w:bottom w:val="single" w:sz="5" w:color="D8D8D8"/>
                          <w:right w:val="none"/>
                        </w:tcBorders>
                        <w:textDirection w:val="lrTb"/>
                        <w:vAlign w:val="top"/>
                      </w:tcPr>
                      <w:p/>
                    </w:tc>
                    <w:tc>
                      <w:tcPr>
                        <w:tcW w:w="490" w:type="dxa"/>
                        <w:tcBorders>
                          <w:top w:val="none"/>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491" w:type="dxa"/>
                        <w:tcBorders>
                          <w:top w:val="none"/>
                          <w:left w:val="none"/>
                          <w:bottom w:val="single" w:sz="5" w:color="D8D8D8"/>
                          <w:right w:val="none"/>
                        </w:tcBorders>
                        <w:textDirection w:val="lrTb"/>
                        <w:vAlign w:val="top"/>
                      </w:tcPr>
                      <w:p/>
                    </w:tc>
                    <w:tc>
                      <w:tcPr>
                        <w:tcW w:w="723" w:type="dxa"/>
                        <w:tcBorders>
                          <w:top w:val="single" w:sz="5" w:color="D8D8D8"/>
                          <w:left w:val="none"/>
                          <w:bottom w:val="single" w:sz="5" w:color="D8D8D8"/>
                          <w:right w:val="none"/>
                        </w:tcBorders>
                        <w:textDirection w:val="lrTb"/>
                        <w:vAlign w:val="top"/>
                      </w:tcPr>
                      <w:p/>
                    </w:tc>
                    <w:tc>
                      <w:tcPr>
                        <w:tcW w:w="491" w:type="dxa"/>
                        <w:tcBorders>
                          <w:top w:val="none"/>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855" w:type="dxa"/>
                        <w:vMerge w:val="continue"/>
                        <w:tcBorders>
                          <w:top w:val="none"/>
                          <w:left w:val="none"/>
                          <w:bottom w:val="single" w:sz="5" w:color="D8D8D8"/>
                          <w:right w:val="none"/>
                        </w:tcBorders>
                        <w:textDirection w:val="lrTb"/>
                        <w:vAlign w:val="top"/>
                      </w:tcPr>
                      <w:p/>
                    </w:tc>
                  </w:tr>
                  <w:tr>
                    <w:trPr>
                      <w:trHeight w:val="72" w:hRule="exact"/>
                    </w:trPr>
                    <w:tc>
                      <w:tcPr>
                        <w:tcW w:w="485" w:type="dxa"/>
                        <w:vMerge w:val="continue"/>
                        <w:tcBorders>
                          <w:top w:val="none"/>
                          <w:left w:val="none"/>
                          <w:bottom w:val="none"/>
                          <w:right w:val="none"/>
                        </w:tcBorders>
                        <w:textDirection w:val="lrTb"/>
                        <w:vAlign w:val="top"/>
                      </w:tcPr>
                      <w:p/>
                    </w:tc>
                    <w:tc>
                      <w:tcPr>
                        <w:tcW w:w="2074" w:type="dxa"/>
                        <w:tcBorders>
                          <w:top w:val="single" w:sz="5" w:color="D8D8D8"/>
                          <w:left w:val="none"/>
                          <w:bottom w:val="single" w:sz="5" w:color="D8D8D8"/>
                          <w:right w:val="none"/>
                        </w:tcBorders>
                        <w:textDirection w:val="lrTb"/>
                        <w:vAlign w:val="top"/>
                      </w:tcPr>
                      <w:p/>
                    </w:tc>
                    <w:tc>
                      <w:tcPr>
                        <w:tcW w:w="728" w:type="dxa"/>
                        <w:tcBorders>
                          <w:top w:val="single" w:sz="5" w:color="D8D8D8"/>
                          <w:left w:val="none"/>
                          <w:bottom w:val="single" w:sz="5" w:color="D8D8D8"/>
                          <w:right w:val="none"/>
                        </w:tcBorders>
                        <w:textDirection w:val="lrTb"/>
                        <w:vAlign w:val="top"/>
                      </w:tcPr>
                      <w:p/>
                    </w:tc>
                    <w:tc>
                      <w:tcPr>
                        <w:tcW w:w="491" w:type="dxa"/>
                        <w:tcBorders>
                          <w:top w:val="single" w:sz="5" w:color="D8D8D8"/>
                          <w:left w:val="none"/>
                          <w:bottom w:val="single" w:sz="5" w:color="D8D8D8"/>
                          <w:right w:val="none"/>
                        </w:tcBorders>
                        <w:textDirection w:val="lrTb"/>
                        <w:vAlign w:val="top"/>
                      </w:tcPr>
                      <w:p/>
                    </w:tc>
                    <w:tc>
                      <w:tcPr>
                        <w:tcW w:w="724" w:type="dxa"/>
                        <w:tcBorders>
                          <w:top w:val="single" w:sz="5" w:color="D8D8D8"/>
                          <w:left w:val="none"/>
                          <w:bottom w:val="single" w:sz="5" w:color="D8D8D8"/>
                          <w:right w:val="none"/>
                        </w:tcBorders>
                        <w:textDirection w:val="lrTb"/>
                        <w:vAlign w:val="top"/>
                      </w:tcPr>
                      <w:p/>
                    </w:tc>
                    <w:tc>
                      <w:tcPr>
                        <w:tcW w:w="490" w:type="dxa"/>
                        <w:tcBorders>
                          <w:top w:val="single" w:sz="5" w:color="D8D8D8"/>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491" w:type="dxa"/>
                        <w:tcBorders>
                          <w:top w:val="single" w:sz="5" w:color="D8D8D8"/>
                          <w:left w:val="none"/>
                          <w:bottom w:val="single" w:sz="5" w:color="D8D8D8"/>
                          <w:right w:val="none"/>
                        </w:tcBorders>
                        <w:textDirection w:val="lrTb"/>
                        <w:vAlign w:val="top"/>
                      </w:tcPr>
                      <w:p/>
                    </w:tc>
                    <w:tc>
                      <w:tcPr>
                        <w:tcW w:w="723" w:type="dxa"/>
                        <w:tcBorders>
                          <w:top w:val="single" w:sz="5" w:color="D8D8D8"/>
                          <w:left w:val="none"/>
                          <w:bottom w:val="single" w:sz="5" w:color="D8D8D8"/>
                          <w:right w:val="none"/>
                        </w:tcBorders>
                        <w:textDirection w:val="lrTb"/>
                        <w:vAlign w:val="top"/>
                      </w:tcPr>
                      <w:p/>
                    </w:tc>
                    <w:tc>
                      <w:tcPr>
                        <w:tcW w:w="491" w:type="dxa"/>
                        <w:tcBorders>
                          <w:top w:val="single" w:sz="5" w:color="D8D8D8"/>
                          <w:left w:val="none"/>
                          <w:bottom w:val="single" w:sz="5" w:color="D8D8D8"/>
                          <w:right w:val="none"/>
                        </w:tcBorders>
                        <w:textDirection w:val="lrTb"/>
                        <w:vAlign w:val="top"/>
                      </w:tcPr>
                      <w:p/>
                    </w:tc>
                    <w:tc>
                      <w:tcPr>
                        <w:tcW w:w="729" w:type="dxa"/>
                        <w:tcBorders>
                          <w:top w:val="single" w:sz="5" w:color="D8D8D8"/>
                          <w:left w:val="none"/>
                          <w:bottom w:val="single" w:sz="5" w:color="D8D8D8"/>
                          <w:right w:val="none"/>
                        </w:tcBorders>
                        <w:textDirection w:val="lrTb"/>
                        <w:vAlign w:val="top"/>
                      </w:tcPr>
                      <w:p/>
                    </w:tc>
                    <w:tc>
                      <w:tcPr>
                        <w:tcW w:w="855" w:type="dxa"/>
                        <w:tcBorders>
                          <w:top w:val="single" w:sz="5" w:color="D8D8D8"/>
                          <w:left w:val="none"/>
                          <w:bottom w:val="single" w:sz="5" w:color="D8D8D8"/>
                          <w:right w:val="none"/>
                        </w:tcBorders>
                        <w:textDirection w:val="lrTb"/>
                        <w:vAlign w:val="top"/>
                      </w:tcPr>
                      <w:p/>
                    </w:tc>
                  </w:tr>
                </w:tbl>
              </w:txbxContent>
            </v:textbox>
          </v:shape>
        </w:pict>
      </w:r>
      <w:r>
        <w:pict>
          <v:shapetype id="_x0000_t264" coordsize="21600,21600" o:spt="202" path="m,l,21600r21600,l21600,xe">
            <v:stroke joinstyle="miter"/>
            <v:path gradientshapeok="t" o:connecttype="rect"/>
          </v:shapetype>
          <v:shape id="_x0000_s263" type="#_x0000_t264" filled="f" stroked="f" style="position:absolute;width:458.4pt;height:9.95pt;z-index:-1;margin-left:73.2pt;margin-top:589.0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088"/>
                      <w:tab w:val="left" w:leader="none" w:pos="3312"/>
                      <w:tab w:val="right" w:leader="none" w:pos="4896"/>
                      <w:tab w:val="left" w:leader="none" w:pos="5760"/>
                      <w:tab w:val="left" w:leader="none" w:pos="6984"/>
                      <w:tab w:val="left" w:leader="none" w:pos="8064"/>
                    </w:tabs>
                    <w:spacing w:before="20" w:after="0" w:line="179" w:lineRule="exact"/>
                    <w:ind w:right="0" w:left="864"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	</w:t>
                  </w:r>
                  <w:r>
                    <w:rPr>
                      <w:rFonts w:ascii="Calibri" w:hAnsi="Calibri" w:eastAsia="Calibri"/>
                      <w:color w:val="585858"/>
                      <w:spacing w:val="0"/>
                      <w:w w:val="100"/>
                      <w:sz w:val="18"/>
                      <w:vertAlign w:val="baseline"/>
                      <w:lang w:val="en-US"/>
                    </w:rPr>
                    <w:t xml:space="preserve">2019	</w:t>
                  </w:r>
                  <w:r>
                    <w:rPr>
                      <w:rFonts w:ascii="Calibri" w:hAnsi="Calibri" w:eastAsia="Calibri"/>
                      <w:color w:val="585858"/>
                      <w:spacing w:val="0"/>
                      <w:w w:val="100"/>
                      <w:sz w:val="18"/>
                      <w:vertAlign w:val="baseline"/>
                      <w:lang w:val="en-US"/>
                    </w:rPr>
                    <w:t xml:space="preserve">2020	</w:t>
                  </w:r>
                  <w:r>
                    <w:rPr>
                      <w:rFonts w:ascii="Calibri" w:hAnsi="Calibri" w:eastAsia="Calibri"/>
                      <w:color w:val="585858"/>
                      <w:spacing w:val="0"/>
                      <w:w w:val="100"/>
                      <w:sz w:val="18"/>
                      <w:vertAlign w:val="baseline"/>
                      <w:lang w:val="en-US"/>
                    </w:rPr>
                    <w:t xml:space="preserve">2021	</w:t>
                  </w:r>
                  <w:r>
                    <w:rPr>
                      <w:rFonts w:ascii="Calibri" w:hAnsi="Calibri" w:eastAsia="Calibri"/>
                      <w:color w:val="585858"/>
                      <w:spacing w:val="0"/>
                      <w:w w:val="100"/>
                      <w:sz w:val="18"/>
                      <w:vertAlign w:val="baseline"/>
                      <w:lang w:val="en-US"/>
                    </w:rPr>
                    <w:t xml:space="preserve">2022	</w:t>
                  </w:r>
                  <w:r>
                    <w:rPr>
                      <w:rFonts w:ascii="Calibri" w:hAnsi="Calibri" w:eastAsia="Calibri"/>
                      <w:color w:val="585858"/>
                      <w:spacing w:val="0"/>
                      <w:w w:val="100"/>
                      <w:sz w:val="18"/>
                      <w:vertAlign w:val="baseline"/>
                      <w:lang w:val="en-US"/>
                    </w:rPr>
                    <w:t xml:space="preserve">2023	</w:t>
                  </w:r>
                  <w:r>
                    <w:rPr>
                      <w:rFonts w:ascii="Calibri" w:hAnsi="Calibri" w:eastAsia="Calibri"/>
                      <w:color w:val="585858"/>
                      <w:spacing w:val="0"/>
                      <w:w w:val="100"/>
                      <w:sz w:val="18"/>
                      <w:vertAlign w:val="baseline"/>
                      <w:lang w:val="en-US"/>
                    </w:rPr>
                    <w:t xml:space="preserve">2024</w:t>
                  </w:r>
                </w:p>
              </w:txbxContent>
            </v:textbox>
          </v:shape>
        </w:pict>
      </w:r>
      <w:r>
        <w:pict>
          <v:shapetype id="_x0000_t265" coordsize="21600,21600" o:spt="202" path="m,l,21600r21600,l21600,xe">
            <v:stroke joinstyle="miter"/>
            <v:path gradientshapeok="t" o:connecttype="rect"/>
          </v:shapetype>
          <v:shape id="_x0000_s264" type="#_x0000_t265" filled="f" stroked="f" style="position:absolute;width:398.15pt;height:34.95pt;z-index:-1;margin-left:133.45pt;margin-top:599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027"/>
                      <w:tab w:val="left" w:leader="none" w:pos="2107"/>
                      <w:tab w:val="right" w:leader="none" w:pos="3691"/>
                      <w:tab w:val="left" w:leader="none" w:pos="3979"/>
                      <w:tab w:val="left" w:leader="none" w:pos="4843"/>
                      <w:tab w:val="left" w:leader="none" w:pos="5635"/>
                      <w:tab w:val="left" w:leader="none" w:pos="6499"/>
                    </w:tabs>
                    <w:spacing w:before="219" w:after="293"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266" coordsize="21600,21600" o:spt="202" path="m,l,21600r21600,l21600,xe">
            <v:stroke joinstyle="miter"/>
            <v:path gradientshapeok="t" o:connecttype="rect"/>
          </v:shapetype>
          <v:shape id="_x0000_s265" type="#_x0000_t266" filled="f" stroked="f" style="position:absolute;width:60.25pt;height:33.55pt;z-index:-1;margin-left:73.2pt;margin-top:599pt;mso-wrap-distance-left:0pt;mso-wrap-distance-right:0pt;mso-position-horizontal-relative:page;mso-position-vertical-relative:page">
            <w10:wrap type="square" side="both"/>
            <v:fill opacity="1" o:opacity2="1" recolor="f" rotate="f" type="solid"/>
            <v:textbox inset="0pt, 0pt, 0pt, 0pt">
              <w:txbxContent>
                <w:p>
                  <w:pPr>
                    <w:spacing w:before="260" w:after="310" w:line="101" w:lineRule="exact"/>
                    <w:ind w:right="53" w:left="1051"/>
                    <w:jc w:val="left"/>
                    <w:textAlignment w:val="baseline"/>
                  </w:pPr>
                  <w:r>
                    <w:drawing>
                      <wp:inline>
                        <wp:extent cx="64135" cy="64135"/>
                        <wp:docPr name="Picture" id="65"/>
                        <a:graphic>
                          <a:graphicData uri="http://schemas.openxmlformats.org/drawingml/2006/picture">
                            <pic:pic>
                              <pic:nvPicPr>
                                <pic:cNvPr id="65" name="Picture"/>
                                <pic:cNvPicPr preferRelativeResize="false"/>
                              </pic:nvPicPr>
                              <pic:blipFill>
                                <a:blip r:embed="prId65"/>
                                <a:stretch>
                                  <a:fillRect/>
                                </a:stretch>
                              </pic:blipFill>
                              <pic:spPr>
                                <a:xfrm>
                                  <a:off x="0" y="0"/>
                                  <a:ext cx="64135" cy="64135"/>
                                </a:xfrm>
                                <a:prstGeom prst="rect"/>
                              </pic:spPr>
                            </pic:pic>
                          </a:graphicData>
                        </a:graphic>
                      </wp:inline>
                    </w:drawing>
                  </w:r>
                </w:p>
              </w:txbxContent>
            </v:textbox>
          </v:shape>
        </w:pict>
      </w:r>
      <w:r>
        <w:pict>
          <v:shapetype id="_x0000_t267" coordsize="21600,21600" o:spt="202" path="m,l,21600r21600,l21600,xe">
            <v:stroke joinstyle="miter"/>
            <v:path gradientshapeok="t" o:connecttype="rect"/>
          </v:shapetype>
          <v:shape id="_x0000_s266" type="#_x0000_t267"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54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D8D8D8" from="95.75pt,447.1pt" to="522.05pt,447.1pt" style="position:absolute;mso-position-horizontal-relative:page;mso-position-vertical-relative:page;">
            <v:stroke dashstyle="solid"/>
          </v:line>
        </w:pict>
      </w:r>
      <w:r>
        <w:pict>
          <v:line strokeweight="0.7pt" strokecolor="#D8D8D8" from="95.75pt,463.9pt" to="522.05pt,463.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68" coordsize="21600,21600" o:spt="202" path="m,l,21600r21600,l21600,xe">
            <v:stroke joinstyle="miter"/>
            <v:path gradientshapeok="t" o:connecttype="rect"/>
          </v:shapetype>
          <v:shape id="_x0000_s267" type="#_x0000_t268"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35E83"/>
                      <w:spacing w:val="0"/>
                      <w:w w:val="100"/>
                      <w:sz w:val="28"/>
                      <w:vertAlign w:val="baseline"/>
                      <w:lang w:val="en-US"/>
                    </w:rPr>
                  </w:pPr>
                  <w:r>
                    <w:rPr>
                      <w:rFonts w:ascii="Calibri" w:hAnsi="Calibri" w:eastAsia="Calibri"/>
                      <w:b w:val="true"/>
                      <w:color w:val="135E83"/>
                      <w:spacing w:val="0"/>
                      <w:w w:val="100"/>
                      <w:sz w:val="28"/>
                      <w:vertAlign w:val="baseline"/>
                      <w:lang w:val="en-US"/>
                    </w:rPr>
                    <w:t xml:space="preserve">Comprehensive Regional Community Health Assessment</w:t>
                  </w:r>
                </w:p>
              </w:txbxContent>
            </v:textbox>
          </v:shape>
        </w:pict>
      </w:r>
      <w:r>
        <w:pict>
          <v:shapetype id="_x0000_t269" coordsize="21600,21600" o:spt="202" path="m,l,21600r21600,l21600,xe">
            <v:stroke joinstyle="miter"/>
            <v:path gradientshapeok="t" o:connecttype="rect"/>
          </v:shapetype>
          <v:shape id="_x0000_s268" type="#_x0000_t269" filled="f" stroked="f" style="position:absolute;width:540pt;height:294.85pt;z-index:1;margin-left:18pt;margin-top:70.05pt;mso-wrap-distance-left:0pt;mso-wrap-distance-right:0pt;mso-position-horizontal-relative:page;mso-position-vertical-relative:page">
            <w10:wrap anchorx="page" anchory="page"/>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5822"/>
                    <w:gridCol w:w="4978"/>
                  </w:tblGrid>
                  <w:tr>
                    <w:trPr>
                      <w:trHeight w:val="557" w:hRule="exact"/>
                    </w:trPr>
                    <w:tc>
                      <w:tcPr>
                        <w:tcW w:w="5822" w:type="dxa"/>
                        <w:tcBorders>
                          <w:top w:val="none"/>
                          <w:left w:val="none"/>
                          <w:bottom w:val="none"/>
                          <w:right w:val="none"/>
                        </w:tcBorders>
                        <w:textDirection w:val="lrTb"/>
                        <w:vAlign w:val="top"/>
                      </w:tcPr>
                      <w:p>
                        <w:pPr>
                          <w:spacing w:before="75" w:after="288" w:line="180" w:lineRule="exact"/>
                          <w:ind w:right="3571" w:left="0" w:firstLine="0"/>
                          <w:jc w:val="right"/>
                          <w:textAlignment w:val="baseline"/>
                          <w:rPr>
                            <w:rFonts w:ascii="Calibri" w:hAnsi="Calibri" w:eastAsia="Calibri"/>
                            <w:i w:val="true"/>
                            <w:color w:val="0F2840"/>
                            <w:spacing w:val="-4"/>
                            <w:w w:val="100"/>
                            <w:sz w:val="18"/>
                            <w:vertAlign w:val="baseline"/>
                            <w:lang w:val="en-US"/>
                          </w:rPr>
                        </w:pPr>
                        <w:r>
                          <w:rPr>
                            <w:rFonts w:ascii="Calibri" w:hAnsi="Calibri" w:eastAsia="Calibri"/>
                            <w:i w:val="true"/>
                            <w:color w:val="0F2840"/>
                            <w:spacing w:val="-4"/>
                            <w:w w:val="100"/>
                            <w:sz w:val="18"/>
                            <w:vertAlign w:val="baseline"/>
                            <w:lang w:val="en-US"/>
                          </w:rPr>
                          <w:t xml:space="preserve">Map 14: Premature birth Rates</w:t>
                        </w:r>
                      </w:p>
                    </w:tc>
                    <w:tc>
                      <w:tcPr>
                        <w:tcW w:w="4978" w:type="dxa"/>
                        <w:vMerge w:val="restart"/>
                        <w:tcBorders>
                          <w:top w:val="none"/>
                          <w:left w:val="none"/>
                          <w:bottom w:val="none"/>
                          <w:right w:val="none"/>
                        </w:tcBorders>
                        <w:textDirection w:val="lrTb"/>
                        <w:vAlign w:val="top"/>
                      </w:tcPr>
                      <w:p>
                        <w:pPr>
                          <w:spacing w:before="0" w:after="296" w:line="284" w:lineRule="exact"/>
                          <w:ind w:right="432" w:left="18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 baby born prematurely is immediately at risk for complications including jaundice, anemia, feeding and airway issues, and apnea. The earlier in pregnancy a baby is delivered, the more likely it is that the baby will need to spend time in the neonatal intensive care unit (NICU). Long-term health complications associated with premature birth include vision and hearing deficits, neurological delays, delays in speech and language development and deficits in social and emotional regulation. Of note, premature birth is the primary cause of low birth weight.</w:t>
                        </w:r>
                        <w:r>
                          <w:rPr>
                            <w:rFonts w:ascii="Calibri" w:hAnsi="Calibri" w:eastAsia="Calibri"/>
                            <w:color w:val="000000"/>
                            <w:spacing w:val="-1"/>
                            <w:w w:val="100"/>
                            <w:sz w:val="22"/>
                            <w:vertAlign w:val="superscript"/>
                            <w:lang w:val="en-US"/>
                          </w:rPr>
                          <w:t xml:space="preserve">25</w:t>
                        </w:r>
                        <w:r>
                          <w:rPr>
                            <w:rFonts w:ascii="Calibri" w:hAnsi="Calibri" w:eastAsia="Calibri"/>
                            <w:color w:val="000000"/>
                            <w:spacing w:val="-1"/>
                            <w:w w:val="100"/>
                            <w:sz w:val="22"/>
                            <w:vertAlign w:val="baseline"/>
                            <w:lang w:val="en-US"/>
                          </w:rPr>
                          <w:t xml:space="preserve">The percent of live births with low birth weight has remained relatively unchanged in the region from 2018 (6.4%) to 2023 (also 6.4%). A missing value is reported for counties with fewer than 10 low birthweight births in the time frame was the case in 2021.</w:t>
                        </w:r>
                        <w:r>
                          <w:rPr>
                            <w:rFonts w:ascii="Calibri" w:hAnsi="Calibri" w:eastAsia="Calibri"/>
                            <w:color w:val="000000"/>
                            <w:spacing w:val="-1"/>
                            <w:w w:val="100"/>
                            <w:sz w:val="22"/>
                            <w:vertAlign w:val="superscript"/>
                            <w:lang w:val="en-US"/>
                          </w:rPr>
                          <w:t xml:space="preserve">26</w:t>
                        </w:r>
                        <w:r>
                          <w:rPr>
                            <w:rFonts w:ascii="Calibri" w:hAnsi="Calibri" w:eastAsia="Calibri"/>
                            <w:color w:val="000000"/>
                            <w:spacing w:val="-1"/>
                            <w:w w:val="100"/>
                            <w:sz w:val="14"/>
                            <w:vertAlign w:val="baseline"/>
                            <w:lang w:val="en-US"/>
                          </w:rPr>
                          <w:t xml:space="preserve">
</w:t>
                        </w:r>
                      </w:p>
                    </w:tc>
                  </w:tr>
                  <w:tr>
                    <w:trPr>
                      <w:trHeight w:val="4872" w:hRule="exact"/>
                    </w:trPr>
                    <w:tc>
                      <w:tcPr>
                        <w:tcW w:w="5822" w:type="dxa"/>
                        <w:tcBorders>
                          <w:top w:val="none"/>
                          <w:left w:val="none"/>
                          <w:bottom w:val="none"/>
                          <w:right w:val="none"/>
                        </w:tcBorders>
                        <w:textDirection w:val="lrTb"/>
                        <w:vAlign w:val="top"/>
                      </w:tcPr>
                      <w:p>
                        <w:pPr>
                          <w:spacing w:before="0" w:after="0" w:line="240" w:lineRule="auto"/>
                          <w:ind w:right="0" w:left="0"/>
                          <w:jc w:val="right"/>
                          <w:textAlignment w:val="baseline"/>
                        </w:pPr>
                        <w:r>
                          <w:drawing>
                            <wp:inline>
                              <wp:extent cx="3486785" cy="3093720"/>
                              <wp:docPr name="Picture" id="66"/>
                              <a:graphic>
                                <a:graphicData uri="http://schemas.openxmlformats.org/drawingml/2006/picture">
                                  <pic:pic>
                                    <pic:nvPicPr>
                                      <pic:cNvPr id="66" name="Picture"/>
                                      <pic:cNvPicPr preferRelativeResize="false"/>
                                    </pic:nvPicPr>
                                    <pic:blipFill>
                                      <a:blip r:embed="prId66"/>
                                      <a:stretch>
                                        <a:fillRect/>
                                      </a:stretch>
                                    </pic:blipFill>
                                    <pic:spPr>
                                      <a:xfrm>
                                        <a:off x="0" y="0"/>
                                        <a:ext cx="3486785" cy="3093720"/>
                                      </a:xfrm>
                                      <a:prstGeom prst="rect"/>
                                    </pic:spPr>
                                  </pic:pic>
                                </a:graphicData>
                              </a:graphic>
                            </wp:inline>
                          </w:drawing>
                        </w:r>
                      </w:p>
                    </w:tc>
                    <w:tc>
                      <w:tcPr>
                        <w:tcW w:w="4978" w:type="dxa"/>
                        <w:vMerge w:val="continue"/>
                        <w:tcBorders>
                          <w:top w:val="none"/>
                          <w:left w:val="none"/>
                          <w:bottom w:val="none"/>
                          <w:right w:val="none"/>
                        </w:tcBorders>
                        <w:textDirection w:val="lrTb"/>
                        <w:vAlign w:val="top"/>
                      </w:tcPr>
                      <w:p/>
                    </w:tc>
                  </w:tr>
                </w:tbl>
                <w:p>
                  <w:pPr>
                    <w:spacing w:before="0" w:after="376" w:line="20" w:lineRule="exact"/>
                  </w:pP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540pt;height:39.75pt;z-index:1;margin-left:18pt;margin-top:364.9pt;mso-wrap-distance-left:0pt;mso-wrap-distance-right:0pt;mso-position-horizontal-relative:page;mso-position-vertical-relative:page">
            <w10:wrap anchorx="page" anchory="page"/>
            <v:fill opacity="1" o:opacity2="1" recolor="f" rotate="f" type="solid"/>
            <v:textbox inset="0pt, 0pt, 0pt, 0pt">
              <w:txbxContent>
                <w:p>
                  <w:pPr>
                    <w:tabs>
                      <w:tab w:val="left" w:leader="none" w:pos="6120"/>
                    </w:tabs>
                    <w:spacing w:before="25" w:after="0" w:line="189" w:lineRule="exact"/>
                    <w:ind w:right="0" w:left="432" w:firstLine="0"/>
                    <w:jc w:val="left"/>
                    <w:textAlignment w:val="baseline"/>
                    <w:rPr>
                      <w:rFonts w:ascii="Calibri" w:hAnsi="Calibri" w:eastAsia="Calibri"/>
                      <w:i w:val="true"/>
                      <w:color w:val="0F2840"/>
                      <w:spacing w:val="-1"/>
                      <w:w w:val="100"/>
                      <w:sz w:val="18"/>
                      <w:vertAlign w:val="baseline"/>
                      <w:lang w:val="en-US"/>
                    </w:rPr>
                  </w:pPr>
                  <w:r>
                    <w:rPr>
                      <w:rFonts w:ascii="Calibri" w:hAnsi="Calibri" w:eastAsia="Calibri"/>
                      <w:i w:val="true"/>
                      <w:color w:val="0F2840"/>
                      <w:spacing w:val="-1"/>
                      <w:w w:val="100"/>
                      <w:sz w:val="18"/>
                      <w:vertAlign w:val="baseline"/>
                      <w:lang w:val="en-US"/>
                    </w:rPr>
                    <w:t xml:space="preserve">Map 15: Percentage of Premature Births with 32 - &lt; 37 Weeks	</w:t>
                  </w:r>
                  <w:r>
                    <w:rPr>
                      <w:rFonts w:ascii="Calibri" w:hAnsi="Calibri" w:eastAsia="Calibri"/>
                      <w:i w:val="true"/>
                      <w:color w:val="0F2840"/>
                      <w:spacing w:val="-1"/>
                      <w:w w:val="100"/>
                      <w:sz w:val="18"/>
                      <w:vertAlign w:val="baseline"/>
                      <w:lang w:val="en-US"/>
                    </w:rPr>
                    <w:t xml:space="preserve">Map 16: Percentage Low Birth Weight (&lt;2.5 kg) Singleton Births</w:t>
                  </w:r>
                </w:p>
                <w:p>
                  <w:pPr>
                    <w:tabs>
                      <w:tab w:val="left" w:leader="none" w:pos="6120"/>
                    </w:tabs>
                    <w:spacing w:before="28" w:after="364" w:line="188" w:lineRule="exact"/>
                    <w:ind w:right="0" w:left="432" w:firstLine="0"/>
                    <w:jc w:val="left"/>
                    <w:textAlignment w:val="baseline"/>
                    <w:rPr>
                      <w:rFonts w:ascii="Calibri" w:hAnsi="Calibri" w:eastAsia="Calibri"/>
                      <w:i w:val="true"/>
                      <w:color w:val="0F2840"/>
                      <w:spacing w:val="0"/>
                      <w:w w:val="100"/>
                      <w:sz w:val="18"/>
                      <w:vertAlign w:val="baseline"/>
                      <w:lang w:val="en-US"/>
                    </w:rPr>
                  </w:pPr>
                  <w:r>
                    <w:rPr>
                      <w:rFonts w:ascii="Calibri" w:hAnsi="Calibri" w:eastAsia="Calibri"/>
                      <w:i w:val="true"/>
                      <w:color w:val="0F2840"/>
                      <w:spacing w:val="0"/>
                      <w:w w:val="100"/>
                      <w:sz w:val="18"/>
                      <w:vertAlign w:val="baseline"/>
                      <w:lang w:val="en-US"/>
                    </w:rPr>
                    <w:t xml:space="preserve">Gestation (2019-2021)	</w:t>
                  </w:r>
                  <w:r>
                    <w:rPr>
                      <w:rFonts w:ascii="Calibri" w:hAnsi="Calibri" w:eastAsia="Calibri"/>
                      <w:i w:val="true"/>
                      <w:color w:val="0F2840"/>
                      <w:spacing w:val="0"/>
                      <w:w w:val="100"/>
                      <w:sz w:val="18"/>
                      <w:vertAlign w:val="baseline"/>
                      <w:lang w:val="en-US"/>
                    </w:rPr>
                    <w:t xml:space="preserve">(2019-2021)</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487.45pt;height:244.05pt;z-index:1;margin-left:61.45pt;margin-top:404.65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4528"/>
                    <w:gridCol w:w="5221"/>
                  </w:tblGrid>
                  <w:tr>
                    <w:trPr>
                      <w:trHeight w:val="4373" w:hRule="exact"/>
                    </w:trPr>
                    <w:tc>
                      <w:tcPr>
                        <w:tcW w:w="4528" w:type="dxa"/>
                        <w:vMerge w:val="restart"/>
                        <w:tcBorders>
                          <w:top w:val="none"/>
                          <w:left w:val="none"/>
                          <w:bottom w:val="none"/>
                          <w:right w:val="none"/>
                        </w:tcBorders>
                        <w:textDirection w:val="lrTb"/>
                        <w:vAlign w:val="top"/>
                      </w:tcPr>
                      <w:p>
                        <w:pPr>
                          <w:spacing w:before="0" w:after="0" w:line="240" w:lineRule="auto"/>
                          <w:ind w:right="0" w:left="0"/>
                          <w:jc w:val="left"/>
                          <w:textAlignment w:val="baseline"/>
                        </w:pPr>
                        <w:r>
                          <w:drawing>
                            <wp:inline>
                              <wp:extent cx="2419985" cy="2971800"/>
                              <wp:docPr name="Picture" id="67"/>
                              <a:graphic>
                                <a:graphicData uri="http://schemas.openxmlformats.org/drawingml/2006/picture">
                                  <pic:pic>
                                    <pic:nvPicPr>
                                      <pic:cNvPr id="67" name="Picture"/>
                                      <pic:cNvPicPr preferRelativeResize="false"/>
                                    </pic:nvPicPr>
                                    <pic:blipFill>
                                      <a:blip r:embed="prId67"/>
                                      <a:stretch>
                                        <a:fillRect/>
                                      </a:stretch>
                                    </pic:blipFill>
                                    <pic:spPr>
                                      <a:xfrm>
                                        <a:off x="0" y="0"/>
                                        <a:ext cx="2419985" cy="2971800"/>
                                      </a:xfrm>
                                      <a:prstGeom prst="rect"/>
                                    </pic:spPr>
                                  </pic:pic>
                                </a:graphicData>
                              </a:graphic>
                            </wp:inline>
                          </w:drawing>
                        </w:r>
                      </w:p>
                    </w:tc>
                    <w:tc>
                      <w:tcPr>
                        <w:tcW w:w="5221" w:type="dxa"/>
                        <w:tcBorders>
                          <w:top w:val="none"/>
                          <w:left w:val="none"/>
                          <w:bottom w:val="none"/>
                          <w:right w:val="none"/>
                        </w:tcBorders>
                        <w:textDirection w:val="lrTb"/>
                        <w:vAlign w:val="top"/>
                      </w:tcPr>
                      <w:p>
                        <w:pPr>
                          <w:spacing w:before="0" w:after="0" w:line="240" w:lineRule="auto"/>
                          <w:ind w:right="0" w:left="0"/>
                          <w:jc w:val="right"/>
                          <w:textAlignment w:val="baseline"/>
                        </w:pPr>
                        <w:r>
                          <w:drawing>
                            <wp:inline>
                              <wp:extent cx="2636520" cy="2776855"/>
                              <wp:docPr name="Picture" id="68"/>
                              <a:graphic>
                                <a:graphicData uri="http://schemas.openxmlformats.org/drawingml/2006/picture">
                                  <pic:pic>
                                    <pic:nvPicPr>
                                      <pic:cNvPr id="68" name="Picture"/>
                                      <pic:cNvPicPr preferRelativeResize="false"/>
                                    </pic:nvPicPr>
                                    <pic:blipFill>
                                      <a:blip r:embed="prId68"/>
                                      <a:stretch>
                                        <a:fillRect/>
                                      </a:stretch>
                                    </pic:blipFill>
                                    <pic:spPr>
                                      <a:xfrm>
                                        <a:off x="0" y="0"/>
                                        <a:ext cx="2636520" cy="2776855"/>
                                      </a:xfrm>
                                      <a:prstGeom prst="rect"/>
                                    </pic:spPr>
                                  </pic:pic>
                                </a:graphicData>
                              </a:graphic>
                            </wp:inline>
                          </w:drawing>
                        </w:r>
                      </w:p>
                    </w:tc>
                  </w:tr>
                  <w:tr>
                    <w:trPr>
                      <w:trHeight w:val="508" w:hRule="exact"/>
                    </w:trPr>
                    <w:tc>
                      <w:tcPr>
                        <w:tcW w:w="4528" w:type="dxa"/>
                        <w:vMerge w:val="continue"/>
                        <w:tcBorders>
                          <w:top w:val="none"/>
                          <w:left w:val="none"/>
                          <w:bottom w:val="none"/>
                          <w:right w:val="none"/>
                        </w:tcBorders>
                        <w:textDirection w:val="lrTb"/>
                        <w:vAlign w:val="top"/>
                      </w:tcPr>
                      <w:p/>
                    </w:tc>
                    <w:tc>
                      <w:tcPr>
                        <w:tcW w:w="5221" w:type="dxa"/>
                        <w:tcBorders>
                          <w:top w:val="none"/>
                          <w:left w:val="none"/>
                          <w:bottom w:val="none"/>
                          <w:right w:val="none"/>
                        </w:tcBorders>
                        <w:textDirection w:val="lrTb"/>
                        <w:vAlign w:val="bottom"/>
                      </w:tcPr>
                      <w:p>
                        <w:pPr>
                          <w:spacing w:before="324" w:after="0" w:line="170" w:lineRule="exact"/>
                          <w:ind w:right="1229" w:left="0" w:firstLine="0"/>
                          <w:jc w:val="right"/>
                          <w:textAlignment w:val="baseline"/>
                          <w:rPr>
                            <w:rFonts w:ascii="Calibri" w:hAnsi="Calibri" w:eastAsia="Calibri"/>
                            <w:i w:val="true"/>
                            <w:color w:val="0F2840"/>
                            <w:spacing w:val="0"/>
                            <w:w w:val="100"/>
                            <w:sz w:val="18"/>
                            <w:vertAlign w:val="baseline"/>
                            <w:lang w:val="en-US"/>
                          </w:rPr>
                        </w:pPr>
                        <w:r>
                          <w:rPr>
                            <w:rFonts w:ascii="Calibri" w:hAnsi="Calibri" w:eastAsia="Calibri"/>
                            <w:i w:val="true"/>
                            <w:color w:val="0F2840"/>
                            <w:spacing w:val="0"/>
                            <w:w w:val="100"/>
                            <w:sz w:val="18"/>
                            <w:vertAlign w:val="baseline"/>
                            <w:lang w:val="en-US"/>
                          </w:rPr>
                          <w:t xml:space="preserve">Source: NYS Perinatal Data Profile 2029-2021</w:t>
                        </w:r>
                      </w:p>
                    </w:tc>
                  </w:tr>
                </w:tbl>
              </w:txbxContent>
            </v:textbox>
          </v:shape>
        </w:pict>
      </w:r>
      <w:r>
        <w:pict>
          <v:shapetype id="_x0000_t272" coordsize="21600,21600" o:spt="202" path="m,l,21600r21600,l21600,xe">
            <v:stroke joinstyle="miter"/>
            <v:path gradientshapeok="t" o:connecttype="rect"/>
          </v:shapetype>
          <v:shape id="_x0000_s271" type="#_x0000_t272" filled="f" stroked="f" style="position:absolute;width:216pt;height:28.6pt;z-index:1;margin-left:43.9pt;margin-top:655.55pt;mso-wrap-distance-left:0pt;mso-wrap-distance-right:0pt;mso-position-horizontal-relative:page;mso-position-vertical-relative:page">
            <w10:wrap anchorx="page" anchory="page"/>
            <v:fill opacity="1" o:opacity2="1" recolor="f" rotate="f" type="solid"/>
            <v:textbox inset="0pt, 0pt, 0pt, 0pt">
              <w:txbxContent>
                <w:p>
                  <w:pPr>
                    <w:spacing w:before="20" w:after="370" w:line="179" w:lineRule="exact"/>
                    <w:ind w:right="0" w:left="0" w:firstLine="0"/>
                    <w:jc w:val="left"/>
                    <w:textAlignment w:val="baseline"/>
                    <w:rPr>
                      <w:rFonts w:ascii="Calibri" w:hAnsi="Calibri" w:eastAsia="Calibri"/>
                      <w:i w:val="true"/>
                      <w:color w:val="0F2840"/>
                      <w:spacing w:val="0"/>
                      <w:w w:val="100"/>
                      <w:sz w:val="18"/>
                      <w:vertAlign w:val="baseline"/>
                      <w:lang w:val="en-US"/>
                    </w:rPr>
                  </w:pPr>
                  <w:r>
                    <w:rPr>
                      <w:rFonts w:ascii="Calibri" w:hAnsi="Calibri" w:eastAsia="Calibri"/>
                      <w:i w:val="true"/>
                      <w:color w:val="0F2840"/>
                      <w:spacing w:val="0"/>
                      <w:w w:val="100"/>
                      <w:sz w:val="18"/>
                      <w:vertAlign w:val="baseline"/>
                      <w:lang w:val="en-US"/>
                    </w:rPr>
                    <w:t xml:space="preserve">Source: NYS Perinatal Data Profile 2019-2021</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216pt;height:32.7pt;z-index:1;margin-left:43.9pt;margin-top:684.15pt;mso-wrap-distance-left:0pt;mso-wrap-distance-right:0pt;mso-position-horizontal-relative:page;mso-position-vertical-relative:page">
            <w10:wrap anchorx="page" anchory="page"/>
            <v:fill opacity="1" o:opacity2="1" recolor="f" rotate="f" type="solid"/>
            <v:textbox inset="0pt, 0pt, 0pt, 0pt">
              <w:txbxContent>
                <w:p>
                  <w:pPr>
                    <w:spacing w:before="141" w:after="0" w:line="202" w:lineRule="exact"/>
                    <w:ind w:right="0" w:left="504" w:firstLine="0"/>
                    <w:jc w:val="left"/>
                    <w:textAlignment w:val="baseline"/>
                    <w:rPr>
                      <w:rFonts w:ascii="Calibri" w:hAnsi="Calibri" w:eastAsia="Calibri"/>
                      <w:color w:val="000000"/>
                      <w:spacing w:val="-1"/>
                      <w:w w:val="100"/>
                      <w:sz w:val="13"/>
                      <w:vertAlign w:val="superscript"/>
                      <w:lang w:val="en-US"/>
                    </w:rPr>
                  </w:pPr>
                  <w:r>
                    <w:rPr>
                      <w:rFonts w:ascii="Calibri" w:hAnsi="Calibri" w:eastAsia="Calibri"/>
                      <w:color w:val="000000"/>
                      <w:spacing w:val="-1"/>
                      <w:w w:val="100"/>
                      <w:sz w:val="13"/>
                      <w:vertAlign w:val="superscript"/>
                      <w:lang w:val="en-US"/>
                    </w:rPr>
                    <w:t xml:space="preserve">25</w:t>
                  </w:r>
                  <w:r>
                    <w:rPr>
                      <w:rFonts w:ascii="Calibri" w:hAnsi="Calibri" w:eastAsia="Calibri"/>
                      <w:color w:val="000000"/>
                      <w:spacing w:val="-1"/>
                      <w:w w:val="100"/>
                      <w:sz w:val="20"/>
                      <w:vertAlign w:val="baseline"/>
                      <w:lang w:val="en-US"/>
                    </w:rPr>
                    <w:t xml:space="preserve"> Stanford Children’s Health, Low Birthweight</w:t>
                  </w:r>
                </w:p>
                <w:p>
                  <w:pPr>
                    <w:spacing w:before="43" w:after="58" w:line="201" w:lineRule="exact"/>
                    <w:ind w:right="0" w:left="504" w:firstLine="0"/>
                    <w:jc w:val="left"/>
                    <w:textAlignment w:val="baseline"/>
                    <w:rPr>
                      <w:rFonts w:ascii="Calibri" w:hAnsi="Calibri" w:eastAsia="Calibri"/>
                      <w:color w:val="000000"/>
                      <w:spacing w:val="-1"/>
                      <w:w w:val="100"/>
                      <w:sz w:val="13"/>
                      <w:vertAlign w:val="superscript"/>
                      <w:lang w:val="en-US"/>
                    </w:rPr>
                  </w:pPr>
                  <w:r>
                    <w:rPr>
                      <w:rFonts w:ascii="Calibri" w:hAnsi="Calibri" w:eastAsia="Calibri"/>
                      <w:color w:val="000000"/>
                      <w:spacing w:val="-1"/>
                      <w:w w:val="100"/>
                      <w:sz w:val="13"/>
                      <w:vertAlign w:val="superscript"/>
                      <w:lang w:val="en-US"/>
                    </w:rPr>
                    <w:t xml:space="preserve">26</w:t>
                  </w:r>
                  <w:r>
                    <w:rPr>
                      <w:rFonts w:ascii="Calibri" w:hAnsi="Calibri" w:eastAsia="Calibri"/>
                      <w:color w:val="000000"/>
                      <w:spacing w:val="-1"/>
                      <w:w w:val="100"/>
                      <w:sz w:val="20"/>
                      <w:vertAlign w:val="baseline"/>
                      <w:lang w:val="en-US"/>
                    </w:rPr>
                    <w:t xml:space="preserve"> Stanford Children’s Health, Low Birthweight</w:t>
                  </w:r>
                </w:p>
              </w:txbxContent>
            </v:textbox>
          </v:shape>
        </w:pict>
      </w:r>
      <w:r>
        <w:pict>
          <v:shapetype id="_x0000_t274" coordsize="21600,21600" o:spt="202" path="m,l,21600r21600,l21600,xe">
            <v:stroke joinstyle="miter"/>
            <v:path gradientshapeok="t" o:connecttype="rect"/>
          </v:shapetype>
          <v:shape id="_x0000_s273" type="#_x0000_t274"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35E83"/>
                      <w:spacing w:val="0"/>
                      <w:w w:val="100"/>
                      <w:sz w:val="24"/>
                      <w:vertAlign w:val="baseline"/>
                      <w:lang w:val="en-US"/>
                    </w:rPr>
                  </w:pPr>
                  <w:r>
                    <w:rPr>
                      <w:rFonts w:ascii="Calibri" w:hAnsi="Calibri" w:eastAsia="Calibri"/>
                      <w:b w:val="true"/>
                      <w:color w:val="135E83"/>
                      <w:spacing w:val="0"/>
                      <w:w w:val="100"/>
                      <w:sz w:val="24"/>
                      <w:vertAlign w:val="baseline"/>
                      <w:lang w:val="en-US"/>
                    </w:rPr>
                    <w:t xml:space="preserve">Page 55	</w:t>
                  </w:r>
                  <w:r>
                    <w:rPr>
                      <w:rFonts w:ascii="Calibri" w:hAnsi="Calibri" w:eastAsia="Calibri"/>
                      <w:b w:val="true"/>
                      <w:color w:val="135E83"/>
                      <w:spacing w:val="0"/>
                      <w:w w:val="100"/>
                      <w:sz w:val="24"/>
                      <w:vertAlign w:val="baseline"/>
                      <w:lang w:val="en-US"/>
                    </w:rPr>
                    <w:t xml:space="preserve">Regional Community Health Assessment</w:t>
                  </w:r>
                </w:p>
              </w:txbxContent>
            </v:textbox>
          </v:shape>
        </w:pict>
      </w:r>
      <w:r>
        <w:pict>
          <v:line strokeweight="1.7pt" strokecolor="#135E83" from="0pt,62.9pt" to="612.05pt,62.9pt" style="position:absolute;mso-position-horizontal-relative:page;mso-position-vertical-relative:page;">
            <v:stroke dashstyle="solid"/>
          </v:line>
        </w:pict>
      </w:r>
      <w:r>
        <w:pict>
          <v:line strokeweight="0.95pt" strokecolor="#000000" from="72pt,684.7pt" to="216.3pt,684.7pt" style="position:absolute;mso-position-horizontal-relative:page;mso-position-vertical-relative:page;">
            <v:stroke dashstyle="solid"/>
          </v:line>
        </w:pict>
      </w:r>
      <w:r>
        <w:pict>
          <v:line strokeweight="1.9pt" strokecolor="#135E83"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75" coordsize="21600,21600" o:spt="202" path="m,l,21600r21600,l21600,xe">
            <v:stroke joinstyle="miter"/>
            <v:path gradientshapeok="t" o:connecttype="rect"/>
          </v:shapetype>
          <v:shape id="_x0000_s274" type="#_x0000_t275" filled="f" stroked="f" style="position:absolute;width:305.25pt;height:240.3pt;z-index:-1;margin-left:272.65pt;margin-top:94.9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305.25pt;height:195.85pt;z-index:-1;margin-left:272.65pt;margin-top:117.6pt;mso-wrap-distance-bottom:10.65pt;mso-wrap-distance-left:0pt;mso-wrap-distance-right:0pt;mso-position-horizontal-relative:page;mso-position-vertical-relative:page">
            <w10:wrap type="square"/>
            <v:fill opacity="1" o:opacity2="1" recolor="f" rotate="f" type="solid"/>
            <v:textbox inset="0pt, 0pt, 0pt, 0pt">
              <w:txbxContent>
                <w:p>
                  <w:pPr>
                    <w:pBdr>
                      <w:top w:sz="5" w:space="0" w:color="D8D8D8" w:val="single"/>
                      <w:left w:sz="5" w:space="0" w:color="D8D8D8" w:val="single"/>
                      <w:bottom w:sz="5" w:space="10" w:color="D8D8D8" w:val="single"/>
                      <w:right w:sz="5" w:space="0" w:color="D8D8D8" w:val="single"/>
                    </w:pBdr>
                  </w:pPr>
                </w:p>
              </w:txbxContent>
            </v:textbox>
          </v:shape>
        </w:pict>
      </w:r>
      <w:r>
        <w:pict>
          <v:shapetype id="_x0000_t277" coordsize="21600,21600" o:spt="202" path="m,l,21600r21600,l21600,xe">
            <v:stroke joinstyle="miter"/>
            <v:path gradientshapeok="t" o:connecttype="rect"/>
          </v:shapetype>
          <v:shape id="_x0000_s276" type="#_x0000_t277" filled="f" stroked="f" style="position:absolute;width:478pt;height:250.85pt;z-index:-1;margin-left:73.45pt;margin-top:402.95pt;mso-wrap-distance-left:0pt;mso-wrap-distance-right:0pt;mso-position-horizontal-relative:page;mso-position-vertical-relative:page">
            <w10:wrap type="square"/>
            <v:fill opacity="1" o:opacity2="1" recolor="f" rotate="f" type="solid"/>
            <v:textbox inset="0pt, 0pt, 0pt, 0pt">
              <w:txbxContent>
                <w:p>
                  <w:pPr>
                    <w:pBdr>
                      <w:top w:sz="5" w:space="0" w:color="D8D8D8" w:val="single"/>
                      <w:left w:sz="5" w:space="0" w:color="D8D8D8" w:val="single"/>
                      <w:bottom w:sz="5" w:space="0" w:color="D8D8D8" w:val="single"/>
                      <w:right w:sz="5" w:space="0" w:color="D8D8D8" w:val="single"/>
                    </w:pBdr>
                  </w:pPr>
                </w:p>
              </w:txbxContent>
            </v:textbox>
          </v:shape>
        </w:pict>
      </w:r>
      <w:r>
        <w:pict>
          <v:shapetype id="_x0000_t278" coordsize="21600,21600" o:spt="202" path="m,l,21600r21600,l21600,xe">
            <v:stroke joinstyle="miter"/>
            <v:path gradientshapeok="t" o:connecttype="rect"/>
          </v:shapetype>
          <v:shape id="_x0000_s277" type="#_x0000_t278" fillcolor="#E97031" stroked="f" style="position:absolute;width:12.25pt;height:34.35pt;z-index:-1;margin-left:459.1pt;margin-top:567.1pt;mso-wrap-distance-left:0pt;mso-wrap-distance-right:0pt;mso-position-horizontal-relative:page;mso-position-vertical-relative:page">
            <w10:wrap type="square"/>
            <v:textbox inset="0pt, 0pt, 0pt, 0pt">
              <w:txbxContent/>
            </v:textbox>
          </v:shape>
        </w:pict>
      </w:r>
      <w:r>
        <w:pict>
          <v:shapetype id="_x0000_t279" coordsize="21600,21600" o:spt="202" path="m,l,21600r21600,l21600,xe">
            <v:stroke joinstyle="miter"/>
            <v:path gradientshapeok="t" o:connecttype="rect"/>
          </v:shapetype>
          <v:shape id="_x0000_s278" type="#_x0000_t279" fillcolor="#145F82" stroked="f" style="position:absolute;width:12.7pt;height:21.85pt;z-index:-1;margin-left:443.3pt;margin-top:579.6pt;mso-wrap-distance-left:0pt;mso-wrap-distance-right:0pt;mso-position-horizontal-relative:page;mso-position-vertical-relative:page">
            <w10:wrap type="square"/>
            <v:textbox inset="0pt, 0pt, 0pt, 0pt">
              <w:txbxContent/>
            </v:textbox>
          </v:shape>
        </w:pict>
      </w:r>
      <w:r>
        <w:pict>
          <v:shapetype id="_x0000_t280" coordsize="21600,21600" o:spt="202" path="m,l,21600r21600,l21600,xe">
            <v:stroke joinstyle="miter"/>
            <v:path gradientshapeok="t" o:connecttype="rect"/>
          </v:shapetype>
          <v:shape id="_x0000_s279" type="#_x0000_t280" fillcolor="#145F82" stroked="f" style="position:absolute;width:12.5pt;height:19.7pt;z-index:-1;margin-left:388.8pt;margin-top:581.75pt;mso-wrap-distance-left:0pt;mso-wrap-distance-right:0pt;mso-position-horizontal-relative:page;mso-position-vertical-relative:page">
            <w10:wrap type="square"/>
            <v:textbox inset="0pt, 0pt, 0pt, 0pt">
              <w:txbxContent/>
            </v:textbox>
          </v:shape>
        </w:pict>
      </w:r>
      <w:r>
        <w:pict>
          <v:shapetype id="_x0000_t281" coordsize="21600,21600" o:spt="202" path="m,l,21600r21600,l21600,xe">
            <v:stroke joinstyle="miter"/>
            <v:path gradientshapeok="t" o:connecttype="rect"/>
          </v:shapetype>
          <v:shape id="_x0000_s280" type="#_x0000_t281" fillcolor="#E97031" stroked="f" style="position:absolute;width:12.5pt;height:22.8pt;z-index:-1;margin-left:513.6pt;margin-top:578.65pt;mso-wrap-distance-left:0pt;mso-wrap-distance-right:0pt;mso-position-horizontal-relative:page;mso-position-vertical-relative:page">
            <w10:wrap type="square"/>
            <v:textbox inset="0pt, 0pt, 0pt, 0pt">
              <w:txbxContent/>
            </v:textbox>
          </v:shape>
        </w:pict>
      </w:r>
      <w:r>
        <w:pict>
          <v:shapetype id="_x0000_t282" coordsize="21600,21600" o:spt="202" path="m,l,21600r21600,l21600,xe">
            <v:stroke joinstyle="miter"/>
            <v:path gradientshapeok="t" o:connecttype="rect"/>
          </v:shapetype>
          <v:shape id="_x0000_s281" type="#_x0000_t282" fillcolor="#145F82" stroked="f" style="position:absolute;width:12.5pt;height:58.8pt;z-index:-1;margin-left:498pt;margin-top:542.65pt;mso-wrap-distance-left:0pt;mso-wrap-distance-right:0pt;mso-position-horizontal-relative:page;mso-position-vertical-relative:page">
            <w10:wrap type="square"/>
            <v:textbox inset="0pt, 0pt, 0pt, 0pt">
              <w:txbxContent/>
            </v:textbox>
          </v:shape>
        </w:pict>
      </w:r>
      <w:r>
        <w:pict>
          <v:shapetype id="_x0000_t283" coordsize="21600,21600" o:spt="202" path="m,l,21600r21600,l21600,xe">
            <v:stroke joinstyle="miter"/>
            <v:path gradientshapeok="t" o:connecttype="rect"/>
          </v:shapetype>
          <v:shape id="_x0000_s282" type="#_x0000_t283" fillcolor="#145F82" stroked="f" style="position:absolute;width:12.5pt;height:121.45pt;z-index:-1;margin-left:279.6pt;margin-top:480pt;mso-wrap-distance-left:0pt;mso-wrap-distance-right:0pt;mso-position-horizontal-relative:page;mso-position-vertical-relative:page">
            <w10:wrap type="square"/>
            <v:textbox inset="0pt, 0pt, 0pt, 0pt">
              <w:txbxContent/>
            </v:textbox>
          </v:shape>
        </w:pict>
      </w:r>
      <w:r>
        <w:pict>
          <v:shapetype id="_x0000_t284" coordsize="21600,21600" o:spt="202" path="m,l,21600r21600,l21600,xe">
            <v:stroke joinstyle="miter"/>
            <v:path gradientshapeok="t" o:connecttype="rect"/>
          </v:shapetype>
          <v:shape id="_x0000_s283" type="#_x0000_t284" fillcolor="#E97031" stroked="f" style="position:absolute;width:12.45pt;height:22.8pt;z-index:-1;margin-left:240.5pt;margin-top:578.65pt;mso-wrap-distance-left:0pt;mso-wrap-distance-right:0pt;mso-position-horizontal-relative:page;mso-position-vertical-relative:page">
            <w10:wrap type="square"/>
            <v:textbox inset="0pt, 0pt, 0pt, 0pt">
              <w:txbxContent/>
            </v:textbox>
          </v:shape>
        </w:pict>
      </w:r>
      <w:r>
        <w:pict>
          <v:shapetype id="_x0000_t285" coordsize="21600,21600" o:spt="202" path="m,l,21600r21600,l21600,xe">
            <v:stroke joinstyle="miter"/>
            <v:path gradientshapeok="t" o:connecttype="rect"/>
          </v:shapetype>
          <v:shape id="_x0000_s284" type="#_x0000_t285" fillcolor="#145F82" stroked="f" style="position:absolute;width:12.45pt;height:23.55pt;z-index:-1;margin-left:115.7pt;margin-top:577.9pt;mso-wrap-distance-left:0pt;mso-wrap-distance-right:0pt;mso-position-horizontal-relative:page;mso-position-vertical-relative:page">
            <w10:wrap type="square"/>
            <v:textbox inset="0pt, 0pt, 0pt, 0pt">
              <w:txbxContent/>
            </v:textbox>
          </v:shape>
        </w:pict>
      </w:r>
      <w:r>
        <w:pict>
          <v:shapetype id="_x0000_t286" coordsize="21600,21600" o:spt="202" path="m,l,21600r21600,l21600,xe">
            <v:stroke joinstyle="miter"/>
            <v:path gradientshapeok="t" o:connecttype="rect"/>
          </v:shapetype>
          <v:shape id="_x0000_s285" type="#_x0000_t286" fillcolor="#E97031" stroked="f" style="position:absolute;width:12.45pt;height:28.55pt;z-index:-1;margin-left:131.3pt;margin-top:572.9pt;mso-wrap-distance-left:0pt;mso-wrap-distance-right:0pt;mso-position-horizontal-relative:page;mso-position-vertical-relative:page">
            <w10:wrap type="square"/>
            <v:textbox inset="0pt, 0pt, 0pt, 0pt">
              <w:txbxContent/>
            </v:textbox>
          </v:shape>
        </w:pict>
      </w:r>
      <w:r>
        <w:pict>
          <v:shapetype id="_x0000_t287" coordsize="21600,21600" o:spt="202" path="m,l,21600r21600,l21600,xe">
            <v:stroke joinstyle="miter"/>
            <v:path gradientshapeok="t" o:connecttype="rect"/>
          </v:shapetype>
          <v:shape id="_x0000_s286" type="#_x0000_t287" fillcolor="#E97031" stroked="f" style="position:absolute;width:12.25pt;height:17.05pt;z-index:-1;margin-left:186pt;margin-top:584.4pt;mso-wrap-distance-left:0pt;mso-wrap-distance-right:0pt;mso-position-horizontal-relative:page;mso-position-vertical-relative:page">
            <w10:wrap type="square"/>
            <v:textbox inset="0pt, 0pt, 0pt, 0pt">
              <w:txbxContent/>
            </v:textbox>
          </v:shape>
        </w:pict>
      </w:r>
      <w:r>
        <w:pict>
          <v:shapetype id="_x0000_t288" coordsize="21600,21600" o:spt="202" path="m,l,21600r21600,l21600,xe">
            <v:stroke joinstyle="miter"/>
            <v:path gradientshapeok="t" o:connecttype="rect"/>
          </v:shapetype>
          <v:shape id="_x0000_s287" type="#_x0000_t288" fillcolor="#145F82" stroked="f" style="position:absolute;width:12.25pt;height:19.45pt;z-index:-1;margin-left:225.1pt;margin-top:582pt;mso-wrap-distance-left:0pt;mso-wrap-distance-right:0pt;mso-position-horizontal-relative:page;mso-position-vertical-relative:page">
            <w10:wrap type="square"/>
            <v:textbox inset="0pt, 0pt, 0pt, 0pt">
              <w:txbxContent/>
            </v:textbox>
          </v:shape>
        </w:pict>
      </w:r>
      <w:r>
        <w:pict>
          <v:shapetype id="_x0000_t289" coordsize="21600,21600" o:spt="202" path="m,l,21600r21600,l21600,xe">
            <v:stroke joinstyle="miter"/>
            <v:path gradientshapeok="t" o:connecttype="rect"/>
          </v:shapetype>
          <v:shape id="_x0000_s288" type="#_x0000_t289" fillcolor="#E97031" stroked="f" style="position:absolute;width:12.25pt;height:22.8pt;z-index:-1;margin-left:404.65pt;margin-top:578.65pt;mso-wrap-distance-left:0pt;mso-wrap-distance-right:0pt;mso-position-horizontal-relative:page;mso-position-vertical-relative:page">
            <w10:wrap type="square"/>
            <v:textbox inset="0pt, 0pt, 0pt, 0pt">
              <w:txbxContent/>
            </v:textbox>
          </v:shape>
        </w:pict>
      </w:r>
      <w:r>
        <w:pict>
          <v:shapetype id="_x0000_t290" coordsize="21600,21600" o:spt="202" path="m,l,21600r21600,l21600,xe">
            <v:stroke joinstyle="miter"/>
            <v:path gradientshapeok="t" o:connecttype="rect"/>
          </v:shapetype>
          <v:shape id="_x0000_s289" type="#_x0000_t290" fillcolor="#E97031" stroked="f" style="position:absolute;width:12.25pt;height:34.35pt;z-index:-1;margin-left:349.9pt;margin-top:567.1pt;mso-wrap-distance-left:0pt;mso-wrap-distance-right:0pt;mso-position-horizontal-relative:page;mso-position-vertical-relative:page">
            <w10:wrap type="square"/>
            <v:textbox inset="0pt, 0pt, 0pt, 0pt">
              <w:txbxContent/>
            </v:textbox>
          </v:shape>
        </w:pict>
      </w:r>
      <w:r>
        <w:pict>
          <v:shapetype id="_x0000_t291" coordsize="21600,21600" o:spt="202" path="m,l,21600r21600,l21600,xe">
            <v:stroke joinstyle="miter"/>
            <v:path gradientshapeok="t" o:connecttype="rect"/>
          </v:shapetype>
          <v:shape id="_x0000_s290" type="#_x0000_t291"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216pt;height:20.25pt;z-index:1;margin-left:72.25pt;margin-top:72.1pt;mso-wrap-distance-left:0pt;mso-wrap-distance-right:0pt;mso-position-horizontal-relative:page;mso-position-vertical-relative:page">
            <w10:wrap anchorx="page" anchory="page"/>
            <v:fill opacity="1" o:opacity2="1" recolor="f" rotate="f" type="solid"/>
            <v:textbox inset="0pt, 0pt, 0pt, 0pt">
              <w:txbxContent>
                <w:p>
                  <w:pPr>
                    <w:spacing w:before="26" w:after="149" w:line="226" w:lineRule="exact"/>
                    <w:ind w:right="0" w:left="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Prevention of Infant and Maternal Mortality</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192pt;height:294.15pt;z-index:1;margin-left:72pt;margin-top:92.35pt;mso-wrap-distance-left:0pt;mso-wrap-distance-right:0pt;mso-position-horizontal-relative:page;mso-position-vertical-relative:page">
            <w10:wrap anchorx="page" anchory="page"/>
            <v:fill opacity="1" o:opacity2="1" recolor="f" rotate="f" type="solid"/>
            <v:textbox inset="0pt, 0pt, 0pt, 0pt">
              <w:txbxContent>
                <w:p>
                  <w:pPr>
                    <w:spacing w:before="11" w:after="658" w:line="289" w:lineRule="exact"/>
                    <w:ind w:right="0"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Prematurity and its related conditions are the leading causes of infant mortality. Reducing rates of preterm births, therefore should decrease infant mortality. (Figure 26). Figure 27 shows maternal (per 100,000), child (per 100,000) mortality rates while Figure 26 shows infant (per 1,000) mortality rates in the Finger Lakes region. If data are expressed as 0, it may not indicate that there was no mortality. Data may not be available or the number may be too small as not to be reportable. The New York State average maternal mortality rate is 22 per 100,000. More than half of the counties exceed that rate. The New York State average for child mortality is 40. More than half of the counties are at or above that rate.</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305.25pt;height:22.7pt;z-index:-1;margin-left:272.65pt;margin-top:94.9pt;mso-wrap-distance-left:0pt;mso-wrap-distance-right:0pt;mso-position-horizontal-relative:page;mso-position-vertical-relative:page">
            <w10:wrap type="square" side="both"/>
            <v:fill opacity="1" o:opacity2="1" recolor="f" rotate="f" type="solid"/>
            <v:textbox inset="0pt, 0pt, 0pt, 0pt">
              <w:txbxContent>
                <w:p>
                  <w:pPr>
                    <w:spacing w:before="20" w:after="249"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26: Infant Mortality Rate per 1,000 (2022)</w:t>
                  </w:r>
                </w:p>
              </w:txbxContent>
            </v:textbox>
          </v:shape>
        </w:pict>
      </w:r>
      <w:r>
        <w:pict>
          <v:shapetype id="_x0000_t295" coordsize="21600,21600" o:spt="202" path="m,l,21600r21600,l21600,xe">
            <v:stroke joinstyle="miter"/>
            <v:path gradientshapeok="t" o:connecttype="rect"/>
          </v:shapetype>
          <v:shape id="_x0000_s294" type="#_x0000_t295" filled="f" stroked="f" style="position:absolute;width:301.85pt;height:32.25pt;z-index:-1;margin-left:274.35pt;margin-top:117.6pt;mso-wrap-distance-left:0pt;mso-wrap-distance-right:0pt;mso-position-horizontal-relative:page;mso-position-vertical-relative:page">
            <w10:wrap type="square" side="both"/>
            <v:fill opacity="1" o:opacity2="1" recolor="f" rotate="f" type="solid"/>
            <v:textbox inset="0pt, 0pt, 0pt, 0pt">
              <w:txbxContent>
                <w:p>
                  <w:pPr>
                    <w:spacing w:before="193" w:after="163" w:line="287"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Infant Mortality Rate per 1,000</w:t>
                  </w:r>
                </w:p>
              </w:txbxContent>
            </v:textbox>
          </v:shape>
        </w:pict>
      </w:r>
      <w:r>
        <w:pict>
          <v:shapetype id="_x0000_t296" coordsize="21600,21600" o:spt="202" path="m,l,21600r21600,l21600,xe">
            <v:stroke joinstyle="miter"/>
            <v:path gradientshapeok="t" o:connecttype="rect"/>
          </v:shapetype>
          <v:shape id="_x0000_s295" type="#_x0000_t296" filled="f" stroked="f" style="position:absolute;width:301.85pt;height:17.45pt;z-index:-1;margin-left:274.35pt;margin-top:149.8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944"/>
                      <w:tab w:val="left" w:leader="none" w:pos="2880"/>
                      <w:tab w:val="left" w:leader="none" w:pos="3816"/>
                      <w:tab w:val="left" w:leader="none" w:pos="4752"/>
                      <w:tab w:val="right" w:leader="none" w:pos="5904"/>
                    </w:tabs>
                    <w:spacing w:before="20" w:after="143" w:line="180" w:lineRule="exact"/>
                    <w:ind w:right="0" w:left="936"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	</w:t>
                  </w:r>
                  <w:r>
                    <w:rPr>
                      <w:rFonts w:ascii="Calibri" w:hAnsi="Calibri" w:eastAsia="Calibri"/>
                      <w:color w:val="585858"/>
                      <w:spacing w:val="0"/>
                      <w:w w:val="100"/>
                      <w:sz w:val="18"/>
                      <w:vertAlign w:val="baseline"/>
                      <w:lang w:val="en-US"/>
                    </w:rPr>
                    <w:t xml:space="preserve">2	</w:t>
                  </w:r>
                  <w:r>
                    <w:rPr>
                      <w:rFonts w:ascii="Calibri" w:hAnsi="Calibri" w:eastAsia="Calibri"/>
                      <w:color w:val="585858"/>
                      <w:spacing w:val="0"/>
                      <w:w w:val="100"/>
                      <w:sz w:val="18"/>
                      <w:vertAlign w:val="baseline"/>
                      <w:lang w:val="en-US"/>
                    </w:rPr>
                    <w:t xml:space="preserve">4	</w:t>
                  </w:r>
                  <w:r>
                    <w:rPr>
                      <w:rFonts w:ascii="Calibri" w:hAnsi="Calibri" w:eastAsia="Calibri"/>
                      <w:color w:val="585858"/>
                      <w:spacing w:val="0"/>
                      <w:w w:val="100"/>
                      <w:sz w:val="18"/>
                      <w:vertAlign w:val="baseline"/>
                      <w:lang w:val="en-US"/>
                    </w:rPr>
                    <w:t xml:space="preserve">6	</w:t>
                  </w:r>
                  <w:r>
                    <w:rPr>
                      <w:rFonts w:ascii="Calibri" w:hAnsi="Calibri" w:eastAsia="Calibri"/>
                      <w:color w:val="585858"/>
                      <w:spacing w:val="0"/>
                      <w:w w:val="100"/>
                      <w:sz w:val="18"/>
                      <w:vertAlign w:val="baseline"/>
                      <w:lang w:val="en-US"/>
                    </w:rPr>
                    <w:t xml:space="preserve">8	</w:t>
                  </w:r>
                  <w:r>
                    <w:rPr>
                      <w:rFonts w:ascii="Calibri" w:hAnsi="Calibri" w:eastAsia="Calibri"/>
                      <w:color w:val="585858"/>
                      <w:spacing w:val="0"/>
                      <w:w w:val="100"/>
                      <w:sz w:val="18"/>
                      <w:vertAlign w:val="baseline"/>
                      <w:lang w:val="en-US"/>
                    </w:rPr>
                    <w:t xml:space="preserve">10</w:t>
                  </w:r>
                </w:p>
              </w:txbxContent>
            </v:textbox>
          </v:shape>
        </w:pict>
      </w:r>
      <w:r>
        <w:pict>
          <v:shapetype id="_x0000_t297" coordsize="21600,21600" o:spt="202" path="m,l,21600r21600,l21600,xe">
            <v:stroke joinstyle="miter"/>
            <v:path gradientshapeok="t" o:connecttype="rect"/>
          </v:shapetype>
          <v:shape id="_x0000_s296" type="#_x0000_t297" filled="f" stroked="f" style="position:absolute;width:287.65pt;height:134.85pt;z-index:-1;margin-left:274.35pt;margin-top:167.3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124"/>
                    <w:jc w:val="left"/>
                    <w:textAlignment w:val="baseline"/>
                  </w:pPr>
                  <w:r>
                    <w:drawing>
                      <wp:inline>
                        <wp:extent cx="3574415" cy="1712595"/>
                        <wp:docPr name="Picture" id="69"/>
                        <a:graphic>
                          <a:graphicData uri="http://schemas.openxmlformats.org/drawingml/2006/picture">
                            <pic:pic>
                              <pic:nvPicPr>
                                <pic:cNvPr id="69" name="Picture"/>
                                <pic:cNvPicPr preferRelativeResize="false"/>
                              </pic:nvPicPr>
                              <pic:blipFill>
                                <a:blip r:embed="prId69"/>
                                <a:stretch>
                                  <a:fillRect/>
                                </a:stretch>
                              </pic:blipFill>
                              <pic:spPr>
                                <a:xfrm>
                                  <a:off x="0" y="0"/>
                                  <a:ext cx="3574415" cy="1712595"/>
                                </a:xfrm>
                                <a:prstGeom prst="rect"/>
                              </pic:spPr>
                            </pic:pic>
                          </a:graphicData>
                        </a:graphic>
                      </wp:inline>
                    </w:drawing>
                  </w:r>
                </w:p>
              </w:txbxContent>
            </v:textbox>
          </v:shape>
        </w:pict>
      </w:r>
      <w:r>
        <w:pict>
          <v:shapetype id="_x0000_t298" coordsize="21600,21600" o:spt="202" path="m,l,21600r21600,l21600,xe">
            <v:stroke joinstyle="miter"/>
            <v:path gradientshapeok="t" o:connecttype="rect"/>
          </v:shapetype>
          <v:shape id="_x0000_s297" type="#_x0000_t298" filled="f" stroked="f" style="position:absolute;width:42.95pt;height:127.85pt;z-index:-1;margin-left:274.35pt;margin-top:170pt;mso-wrap-distance-left:0pt;mso-wrap-distance-right:0pt;mso-position-horizontal-relative:page;mso-position-vertical-relative:page">
            <w10:wrap type="square" side="both"/>
            <v:fill opacity="1" o:opacity2="1" recolor="f" rotate="f" type="solid"/>
            <v:textbox inset="0pt, 0pt, 0pt, 0pt">
              <w:txbxContent>
                <w:p>
                  <w:pPr>
                    <w:spacing w:before="0" w:after="0" w:line="318" w:lineRule="exact"/>
                    <w:ind w:right="0" w:left="72"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Livingston Ontario Schuyler Seneca Steuben Wayne Yates</w:t>
                  </w:r>
                </w:p>
              </w:txbxContent>
            </v:textbox>
          </v:shape>
        </w:pict>
      </w:r>
      <w:r>
        <w:pict>
          <v:shapetype id="_x0000_t299" coordsize="21600,21600" o:spt="202" path="m,l,21600r21600,l21600,xe">
            <v:stroke joinstyle="miter"/>
            <v:path gradientshapeok="t" o:connecttype="rect"/>
          </v:shapetype>
          <v:shape id="_x0000_s298" type="#_x0000_t299" filled="f" stroked="f" style="position:absolute;width:9.85pt;height:10pt;z-index:-1;margin-left:471.25pt;margin-top:170.5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6</w:t>
                  </w:r>
                </w:p>
              </w:txbxContent>
            </v:textbox>
          </v:shape>
        </w:pict>
      </w:r>
      <w:r>
        <w:pict>
          <v:shapetype id="_x0000_t300" coordsize="21600,21600" o:spt="202" path="m,l,21600r21600,l21600,xe">
            <v:stroke joinstyle="miter"/>
            <v:path gradientshapeok="t" o:connecttype="rect"/>
          </v:shapetype>
          <v:shape id="_x0000_s299" type="#_x0000_t300" filled="f" stroked="f" style="position:absolute;width:10.35pt;height:10pt;z-index:-1;margin-left:328.55pt;margin-top:187.3pt;mso-wrap-distance-left:0pt;mso-wrap-distance-right:0pt;mso-position-horizontal-relative:page;mso-position-vertical-relative:page">
            <w10:wrap type="square" side="both"/>
            <v:fill opacity="1" o:opacity2="1" recolor="f" rotate="f" type="solid"/>
            <v:textbox inset="0pt, 0pt, 0pt, 0pt">
              <w:txbxContent>
                <w:p>
                  <w:pPr>
                    <w:spacing w:before="20" w:after="0" w:line="17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0</w:t>
                  </w:r>
                </w:p>
              </w:txbxContent>
            </v:textbox>
          </v:shape>
        </w:pict>
      </w:r>
      <w:r>
        <w:pict>
          <v:shapetype id="_x0000_t301" coordsize="21600,21600" o:spt="202" path="m,l,21600r21600,l21600,xe">
            <v:stroke joinstyle="miter"/>
            <v:path gradientshapeok="t" o:connecttype="rect"/>
          </v:shapetype>
          <v:shape id="_x0000_s300" type="#_x0000_t301" filled="f" stroked="f" style="position:absolute;width:9.3pt;height:10pt;z-index:-1;margin-left:447.4pt;margin-top:204.1pt;mso-wrap-distance-left:0pt;mso-wrap-distance-right:0pt;mso-position-horizontal-relative:page;mso-position-vertical-relative:page">
            <w10:wrap type="square" side="both"/>
            <v:fill opacity="1" o:opacity2="1" recolor="f" rotate="f" type="solid"/>
            <v:textbox inset="0pt, 0pt, 0pt, 0pt">
              <w:txbxContent>
                <w:p>
                  <w:pPr>
                    <w:spacing w:before="20" w:after="0" w:line="174"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5</w:t>
                  </w:r>
                </w:p>
              </w:txbxContent>
            </v:textbox>
          </v:shape>
        </w:pict>
      </w:r>
      <w:r>
        <w:pict>
          <v:shapetype id="_x0000_t302" coordsize="21600,21600" o:spt="202" path="m,l,21600r21600,l21600,xe">
            <v:stroke joinstyle="miter"/>
            <v:path gradientshapeok="t" o:connecttype="rect"/>
          </v:shapetype>
          <v:shape id="_x0000_s301" type="#_x0000_t302" filled="f" stroked="f" style="position:absolute;width:10.35pt;height:10pt;z-index:-1;margin-left:328.55pt;margin-top:220.9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0</w:t>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10.35pt;height:10pt;z-index:-1;margin-left:328.55pt;margin-top:237.7pt;mso-wrap-distance-left:0pt;mso-wrap-distance-right:0pt;mso-position-horizontal-relative:page;mso-position-vertical-relative:page">
            <w10:wrap type="square" side="both"/>
            <v:fill opacity="1" o:opacity2="1" recolor="f" rotate="f" type="solid"/>
            <v:textbox inset="0pt, 0pt, 0pt, 0pt">
              <w:txbxContent>
                <w:p>
                  <w:pPr>
                    <w:spacing w:before="20" w:after="0" w:line="17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0</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9.85pt;height:10pt;z-index:-1;margin-left:471.25pt;margin-top:254.75pt;mso-wrap-distance-left:0pt;mso-wrap-distance-right:0pt;mso-position-horizontal-relative:page;mso-position-vertical-relative:page">
            <w10:wrap type="square" side="both"/>
            <v:fill opacity="1" o:opacity2="1" recolor="f" rotate="f" type="solid"/>
            <v:textbox inset="0pt, 0pt, 0pt, 0pt">
              <w:txbxContent>
                <w:p>
                  <w:pPr>
                    <w:spacing w:before="20" w:after="0" w:line="16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6</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9.85pt;height:10pt;z-index:-1;margin-left:518.5pt;margin-top:271.55pt;mso-wrap-distance-left:0pt;mso-wrap-distance-right:0pt;mso-position-horizontal-relative:page;mso-position-vertical-relative:page">
            <w10:wrap type="square" side="both"/>
            <v:fill opacity="1" o:opacity2="1" recolor="f" rotate="f" type="solid"/>
            <v:textbox inset="0pt, 0pt, 0pt, 0pt">
              <w:txbxContent>
                <w:p>
                  <w:pPr>
                    <w:spacing w:before="20" w:after="0" w:line="179"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8</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0.35pt;height:10pt;z-index:-1;margin-left:328.55pt;margin-top:288.35pt;mso-wrap-distance-left:0pt;mso-wrap-distance-right:0pt;mso-position-horizontal-relative:page;mso-position-vertical-relative:page">
            <w10:wrap type="square" side="both"/>
            <v:fill opacity="1" o:opacity2="1" recolor="f" rotate="f" type="solid"/>
            <v:textbox inset="0pt, 0pt, 0pt, 0pt">
              <w:txbxContent>
                <w:p>
                  <w:pPr>
                    <w:spacing w:before="20" w:after="0" w:line="174"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0</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305.25pt;height:10.2pt;z-index:-1;margin-left:272.65pt;margin-top:324.1pt;mso-wrap-distance-left:0pt;mso-wrap-distance-right:0pt;mso-position-horizontal-relative:page;mso-position-vertical-relative:page">
            <w10:wrap type="square" side="both"/>
            <v:fill opacity="1" o:opacity2="1" recolor="f" rotate="f" type="solid"/>
            <v:textbox inset="0pt, 0pt, 0pt, 0pt">
              <w:txbxContent>
                <w:p>
                  <w:pPr>
                    <w:spacing w:before="20" w:after="0" w:line="179" w:lineRule="exact"/>
                    <w:ind w:right="0" w:left="7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National Center for Health Statistics</w:t>
                  </w:r>
                </w:p>
              </w:txbxContent>
            </v:textbox>
          </v:shape>
        </w:pict>
      </w:r>
      <w:r>
        <w:pict>
          <v:shapetype id="_x0000_t308" coordsize="21600,21600" o:spt="202" path="m,l,21600r21600,l21600,xe">
            <v:stroke joinstyle="miter"/>
            <v:path gradientshapeok="t" o:connecttype="rect"/>
          </v:shapetype>
          <v:shape id="_x0000_s307" type="#_x0000_t308" filled="f" stroked="f" style="position:absolute;width:478pt;height:16.45pt;z-index:1;margin-left:73.45pt;margin-top:386.5pt;mso-wrap-distance-left:0pt;mso-wrap-distance-right:0pt;mso-position-horizontal-relative:page;mso-position-vertical-relative:page">
            <w10:wrap anchorx="page" anchory="page"/>
            <v:fill opacity="1" o:opacity2="1" recolor="f" rotate="f" type="solid"/>
            <v:textbox inset="0pt, 0pt, 0pt, 0pt">
              <w:txbxContent>
                <w:p>
                  <w:pPr>
                    <w:spacing w:before="20" w:after="119" w:line="180" w:lineRule="exact"/>
                    <w:ind w:right="0" w:left="7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27: Maternal and Child Mortality Rates per 100,000 (2022)</w:t>
                  </w:r>
                </w:p>
              </w:txbxContent>
            </v:textbox>
          </v:shape>
        </w:pict>
      </w:r>
      <w:r>
        <w:pict>
          <v:shapetype id="_x0000_t309" coordsize="21600,21600" o:spt="202" path="m,l,21600r21600,l21600,xe">
            <v:stroke joinstyle="miter"/>
            <v:path gradientshapeok="t" o:connecttype="rect"/>
          </v:shapetype>
          <v:shape id="_x0000_s308" type="#_x0000_t309" filled="f" stroked="f" style="position:absolute;width:478pt;height:63.95pt;z-index:1;margin-left:73.45pt;margin-top:652.9pt;mso-wrap-distance-left:0pt;mso-wrap-distance-right:0pt;mso-position-horizontal-relative:page;mso-position-vertical-relative:page">
            <w10:wrap anchorx="page" anchory="page"/>
            <v:fill opacity="1" o:opacity2="1" recolor="f" rotate="f" type="solid"/>
            <v:textbox inset="0pt, 0pt, 0pt, 0pt">
              <w:txbxContent>
                <w:p>
                  <w:pPr>
                    <w:spacing w:before="20" w:after="1070"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National Center for Health Statistics</w:t>
                  </w:r>
                </w:p>
              </w:txbxContent>
            </v:textbox>
          </v:shape>
        </w:pict>
      </w:r>
      <w:r>
        <w:pict>
          <v:shapetype id="_x0000_t310" coordsize="21600,21600" o:spt="202" path="m,l,21600r21600,l21600,xe">
            <v:stroke joinstyle="miter"/>
            <v:path gradientshapeok="t" o:connecttype="rect"/>
          </v:shapetype>
          <v:shape id="_x0000_s309" type="#_x0000_t310" filled="f" stroked="f" style="position:absolute;width:474.6pt;height:49.05pt;z-index:-1;margin-left:75.15pt;margin-top:402.95pt;mso-wrap-distance-left:0pt;mso-wrap-distance-right:0pt;mso-position-horizontal-relative:page;mso-position-vertical-relative:page">
            <w10:wrap type="square" side="both"/>
            <v:fill opacity="1" o:opacity2="1" recolor="f" rotate="f" type="solid"/>
            <v:textbox inset="0pt, 0pt, 0pt, 0pt">
              <w:txbxContent>
                <w:p>
                  <w:pPr>
                    <w:spacing w:before="139" w:after="138" w:line="346" w:lineRule="exact"/>
                    <w:ind w:right="0" w:left="0" w:firstLine="0"/>
                    <w:jc w:val="center"/>
                    <w:textAlignment w:val="baseline"/>
                    <w:rPr>
                      <w:rFonts w:ascii="Calibri" w:hAnsi="Calibri" w:eastAsia="Calibri"/>
                      <w:color w:val="585858"/>
                      <w:spacing w:val="0"/>
                      <w:w w:val="100"/>
                      <w:sz w:val="28"/>
                      <w:vertAlign w:val="baseline"/>
                      <w:lang w:val="en-US"/>
                    </w:rPr>
                  </w:pPr>
                  <w:r>
                    <w:rPr>
                      <w:rFonts w:ascii="Calibri" w:hAnsi="Calibri" w:eastAsia="Calibri"/>
                      <w:color w:val="585858"/>
                      <w:spacing w:val="0"/>
                      <w:w w:val="100"/>
                      <w:sz w:val="28"/>
                      <w:vertAlign w:val="baseline"/>
                      <w:lang w:val="en-US"/>
                    </w:rPr>
                    <w:t xml:space="preserve">Maternal and Child Mortality Rates</w:t>
                    <w:br/>
                  </w:r>
                  <w:r>
                    <w:rPr>
                      <w:rFonts w:ascii="Calibri" w:hAnsi="Calibri" w:eastAsia="Calibri"/>
                      <w:color w:val="585858"/>
                      <w:spacing w:val="0"/>
                      <w:w w:val="100"/>
                      <w:sz w:val="28"/>
                      <w:vertAlign w:val="baseline"/>
                      <w:lang w:val="en-US"/>
                    </w:rPr>
                    <w:t xml:space="preserve">(per 100,000)</w:t>
                  </w:r>
                </w:p>
              </w:txbxContent>
            </v:textbox>
          </v:shape>
        </w:pict>
      </w:r>
      <w:r>
        <w:pict>
          <v:shapetype id="_x0000_t311" coordsize="21600,21600" o:spt="202" path="m,l,21600r21600,l21600,xe">
            <v:stroke joinstyle="miter"/>
            <v:path gradientshapeok="t" o:connecttype="rect"/>
          </v:shapetype>
          <v:shape id="_x0000_s310" type="#_x0000_t311" filled="f" stroked="f" style="position:absolute;width:23.3pt;height:10pt;z-index:-1;margin-left:75.15pt;margin-top:452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250</w:t>
                  </w: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23.3pt;height:28.8pt;z-index:-1;margin-left:75.15pt;margin-top:462pt;mso-wrap-distance-left:0pt;mso-wrap-distance-right:0pt;mso-position-horizontal-relative:page;mso-position-vertical-relative:page">
            <w10:wrap type="square" side="both"/>
            <v:fill opacity="1" o:opacity2="1" recolor="f" rotate="f" type="solid"/>
            <v:textbox inset="0pt, 0pt, 0pt, 0pt">
              <w:txbxContent>
                <w:p>
                  <w:pPr>
                    <w:spacing w:before="396"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200</w:t>
                  </w:r>
                </w:p>
              </w:txbxContent>
            </v:textbox>
          </v:shape>
        </w:pict>
      </w:r>
      <w:r>
        <w:pict>
          <v:shapetype id="_x0000_t313" coordsize="21600,21600" o:spt="202" path="m,l,21600r21600,l21600,xe">
            <v:stroke joinstyle="miter"/>
            <v:path gradientshapeok="t" o:connecttype="rect"/>
          </v:shapetype>
          <v:shape id="_x0000_s312" type="#_x0000_t313" filled="f" stroked="f" style="position:absolute;width:23.3pt;height:28.8pt;z-index:-1;margin-left:75.15pt;margin-top:490.8pt;mso-wrap-distance-left:0pt;mso-wrap-distance-right:0pt;mso-position-horizontal-relative:page;mso-position-vertical-relative:page">
            <w10:wrap type="square" side="both"/>
            <v:fill opacity="1" o:opacity2="1" recolor="f" rotate="f" type="solid"/>
            <v:textbox inset="0pt, 0pt, 0pt, 0pt">
              <w:txbxContent>
                <w:p>
                  <w:pPr>
                    <w:spacing w:before="396"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150</w:t>
                  </w:r>
                </w:p>
              </w:txbxContent>
            </v:textbox>
          </v:shape>
        </w:pict>
      </w:r>
      <w:r>
        <w:pict>
          <v:shapetype id="_x0000_t314" coordsize="21600,21600" o:spt="202" path="m,l,21600r21600,l21600,xe">
            <v:stroke joinstyle="miter"/>
            <v:path gradientshapeok="t" o:connecttype="rect"/>
          </v:shapetype>
          <v:shape id="_x0000_s313" type="#_x0000_t314" filled="f" stroked="f" style="position:absolute;width:23.3pt;height:28.8pt;z-index:-1;margin-left:75.15pt;margin-top:519.6pt;mso-wrap-distance-left:0pt;mso-wrap-distance-right:0pt;mso-position-horizontal-relative:page;mso-position-vertical-relative:page">
            <w10:wrap type="square" side="both"/>
            <v:fill opacity="1" o:opacity2="1" recolor="f" rotate="f" type="solid"/>
            <v:textbox inset="0pt, 0pt, 0pt, 0pt">
              <w:txbxContent>
                <w:p>
                  <w:pPr>
                    <w:spacing w:before="396"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100</w:t>
                  </w:r>
                </w:p>
              </w:txbxContent>
            </v:textbox>
          </v:shape>
        </w:pict>
      </w:r>
      <w:r>
        <w:pict>
          <v:shapetype id="_x0000_t315" coordsize="21600,21600" o:spt="202" path="m,l,21600r21600,l21600,xe">
            <v:stroke joinstyle="miter"/>
            <v:path gradientshapeok="t" o:connecttype="rect"/>
          </v:shapetype>
          <v:shape id="_x0000_s314" type="#_x0000_t315" filled="f" stroked="f" style="position:absolute;width:23.3pt;height:29.05pt;z-index:-1;margin-left:75.15pt;margin-top:548.4pt;mso-wrap-distance-left:0pt;mso-wrap-distance-right:0pt;mso-position-horizontal-relative:page;mso-position-vertical-relative:page">
            <w10:wrap type="square" side="both"/>
            <v:fill opacity="1" o:opacity2="1" recolor="f" rotate="f" type="solid"/>
            <v:textbox inset="0pt, 0pt, 0pt, 0pt">
              <w:txbxContent>
                <w:p>
                  <w:pPr>
                    <w:spacing w:before="401" w:after="0"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23.3pt;height:30.55pt;z-index:-1;margin-left:75.15pt;margin-top:577.45pt;mso-wrap-distance-left:0pt;mso-wrap-distance-right:0pt;mso-position-horizontal-relative:page;mso-position-vertical-relative:page">
            <w10:wrap type="square" side="both"/>
            <v:fill opacity="1" o:opacity2="1" recolor="f" rotate="f" type="solid"/>
            <v:textbox inset="0pt, 0pt, 0pt, 0pt">
              <w:txbxContent>
                <w:p>
                  <w:pPr>
                    <w:spacing w:before="391" w:after="33"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474.6pt;height:10.25pt;z-index:-1;margin-left:75.15pt;margin-top:60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00"/>
                      <w:tab w:val="left" w:leader="none" w:pos="3024"/>
                      <w:tab w:val="left" w:leader="none" w:pos="4104"/>
                      <w:tab w:val="left" w:leader="none" w:pos="5184"/>
                      <w:tab w:val="left" w:leader="none" w:pos="6264"/>
                      <w:tab w:val="left" w:leader="none" w:pos="7416"/>
                      <w:tab w:val="left" w:leader="none" w:pos="8424"/>
                    </w:tabs>
                    <w:spacing w:before="20" w:after="0" w:line="180" w:lineRule="exact"/>
                    <w:ind w:right="0" w:left="72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303.25pt;height:34.65pt;z-index:-1;margin-left:246.5pt;margin-top:618.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685"/>
                    </w:tabs>
                    <w:spacing w:before="219" w:after="287"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Maternal Mortality 	</w:t>
                  </w:r>
                  <w:r>
                    <w:rPr>
                      <w:rFonts w:ascii="Calibri" w:hAnsi="Calibri" w:eastAsia="Calibri"/>
                      <w:color w:val="585858"/>
                      <w:spacing w:val="0"/>
                      <w:w w:val="100"/>
                      <w:sz w:val="18"/>
                      <w:vertAlign w:val="baseline"/>
                      <w:lang w:val="en-US"/>
                    </w:rPr>
                    <w:t xml:space="preserve">Child Mortality</w:t>
                  </w:r>
                </w:p>
              </w:txbxContent>
            </v:textbox>
          </v:shape>
        </w:pict>
      </w:r>
      <w:r>
        <w:pict>
          <v:shapetype id="_x0000_t319" coordsize="21600,21600" o:spt="202" path="m,l,21600r21600,l21600,xe">
            <v:stroke joinstyle="miter"/>
            <v:path gradientshapeok="t" o:connecttype="rect"/>
          </v:shapetype>
          <v:shape id="_x0000_s318" type="#_x0000_t319" filled="f" stroked="f" style="position:absolute;width:171.35pt;height:33.25pt;z-index:-1;margin-left:75.15pt;margin-top:618.25pt;mso-wrap-distance-left:0pt;mso-wrap-distance-right:0pt;mso-position-horizontal-relative:page;mso-position-vertical-relative:page">
            <w10:wrap type="square" side="both"/>
            <v:fill opacity="1" o:opacity2="1" recolor="f" rotate="f" type="solid"/>
            <v:textbox inset="0pt, 0pt, 0pt, 0pt">
              <w:txbxContent>
                <w:p>
                  <w:pPr>
                    <w:spacing w:before="249" w:after="315" w:line="101" w:lineRule="exact"/>
                    <w:ind w:right="58" w:left="3263"/>
                    <w:jc w:val="left"/>
                    <w:textAlignment w:val="baseline"/>
                  </w:pPr>
                  <w:r>
                    <w:drawing>
                      <wp:inline>
                        <wp:extent cx="67310" cy="64135"/>
                        <wp:docPr name="Picture" id="70"/>
                        <a:graphic>
                          <a:graphicData uri="http://schemas.openxmlformats.org/drawingml/2006/picture">
                            <pic:pic>
                              <pic:nvPicPr>
                                <pic:cNvPr id="70" name="Picture"/>
                                <pic:cNvPicPr preferRelativeResize="false"/>
                              </pic:nvPicPr>
                              <pic:blipFill>
                                <a:blip r:embed="prId70"/>
                                <a:stretch>
                                  <a:fillRect/>
                                </a:stretch>
                              </pic:blipFill>
                              <pic:spPr>
                                <a:xfrm>
                                  <a:off x="0" y="0"/>
                                  <a:ext cx="67310" cy="64135"/>
                                </a:xfrm>
                                <a:prstGeom prst="rect"/>
                              </pic:spPr>
                            </pic:pic>
                          </a:graphicData>
                        </a:graphic>
                      </wp:inline>
                    </w:drawing>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56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D8D8D8" from="102.5pt,457.45pt" to="539.55pt,457.45pt" style="position:absolute;mso-position-horizontal-relative:page;mso-position-vertical-relative:page;">
            <v:stroke dashstyle="solid"/>
          </v:line>
        </w:pict>
      </w:r>
      <w:r>
        <w:pict>
          <v:line strokeweight="0.7pt" strokecolor="#D8D8D8" from="102.5pt,486.25pt" to="279.65pt,486.25pt" style="position:absolute;mso-position-horizontal-relative:page;mso-position-vertical-relative:page;">
            <v:stroke dashstyle="solid"/>
          </v:line>
        </w:pict>
      </w:r>
      <w:r>
        <w:pict>
          <v:line strokeweight="0.7pt" strokecolor="#D8D8D8" from="292.1pt,486.25pt" to="539.55pt,486.25pt" style="position:absolute;mso-position-horizontal-relative:page;mso-position-vertical-relative:page;">
            <v:stroke dashstyle="solid"/>
          </v:line>
        </w:pict>
      </w:r>
      <w:r>
        <w:pict>
          <v:line strokeweight="0.7pt" strokecolor="#D8D8D8" from="102.5pt,515.3pt" to="279.65pt,515.3pt" style="position:absolute;mso-position-horizontal-relative:page;mso-position-vertical-relative:page;">
            <v:stroke dashstyle="solid"/>
          </v:line>
        </w:pict>
      </w:r>
      <w:r>
        <w:pict>
          <v:line strokeweight="0.7pt" strokecolor="#D8D8D8" from="292.1pt,515.3pt" to="539.55pt,515.3pt" style="position:absolute;mso-position-horizontal-relative:page;mso-position-vertical-relative:page;">
            <v:stroke dashstyle="solid"/>
          </v:line>
        </w:pict>
      </w:r>
      <w:r>
        <w:pict>
          <v:line strokeweight="0.5pt" strokecolor="#D8D8D8" from="510.5pt,544.1pt" to="539.55pt,544.1pt" style="position:absolute;mso-position-horizontal-relative:page;mso-position-vertical-relative:page;">
            <v:stroke dashstyle="solid"/>
          </v:line>
        </w:pict>
      </w:r>
      <w:r>
        <w:pict>
          <v:line strokeweight="0.5pt" strokecolor="#D8D8D8" from="292.1pt,544.1pt" to="498.05pt,544.1pt" style="position:absolute;mso-position-horizontal-relative:page;mso-position-vertical-relative:page;">
            <v:stroke dashstyle="solid"/>
          </v:line>
        </w:pict>
      </w:r>
      <w:r>
        <w:pict>
          <v:line strokeweight="0.5pt" strokecolor="#D8D8D8" from="102.5pt,544.1pt" to="279.65pt,544.1pt" style="position:absolute;mso-position-horizontal-relative:page;mso-position-vertical-relative:page;">
            <v:stroke dashstyle="solid"/>
          </v:line>
        </w:pict>
      </w:r>
      <w:r>
        <w:pict>
          <v:line strokeweight="0.5pt" strokecolor="#D8D8D8" from="143.75pt,572.9pt" to="279.65pt,572.9pt" style="position:absolute;mso-position-horizontal-relative:page;mso-position-vertical-relative:page;">
            <v:stroke dashstyle="solid"/>
          </v:line>
        </w:pict>
      </w:r>
      <w:r>
        <w:pict>
          <v:line strokeweight="0.5pt" strokecolor="#D8D8D8" from="362.15pt,572.9pt" to="459.15pt,572.9pt" style="position:absolute;mso-position-horizontal-relative:page;mso-position-vertical-relative:page;">
            <v:stroke dashstyle="solid"/>
          </v:line>
        </w:pict>
      </w:r>
      <w:r>
        <w:pict>
          <v:line strokeweight="0.5pt" strokecolor="#D8D8D8" from="292.1pt,572.9pt" to="349.95pt,572.9pt" style="position:absolute;mso-position-horizontal-relative:page;mso-position-vertical-relative:page;">
            <v:stroke dashstyle="solid"/>
          </v:line>
        </w:pict>
      </w:r>
      <w:r>
        <w:pict>
          <v:line strokeweight="0.5pt" strokecolor="#D8D8D8" from="510.5pt,572.9pt" to="539.55pt,572.9pt" style="position:absolute;mso-position-horizontal-relative:page;mso-position-vertical-relative:page;">
            <v:stroke dashstyle="solid"/>
          </v:line>
        </w:pict>
      </w:r>
      <w:r>
        <w:pict>
          <v:line strokeweight="0.5pt" strokecolor="#D8D8D8" from="102.5pt,572.9pt" to="131.35pt,572.9pt" style="position:absolute;mso-position-horizontal-relative:page;mso-position-vertical-relative:page;">
            <v:stroke dashstyle="solid"/>
          </v:line>
        </w:pict>
      </w:r>
      <w:r>
        <w:pict>
          <v:line strokeweight="0.5pt" strokecolor="#D8D8D8" from="471.35pt,572.9pt" to="498.05pt,572.9pt" style="position:absolute;mso-position-horizontal-relative:page;mso-position-vertical-relative:page;">
            <v:stroke dashstyle="solid"/>
          </v:line>
        </w:pict>
      </w:r>
      <w:r>
        <w:pict>
          <v:line strokeweight="0.5pt" strokecolor="#D8D8D8" from="416.9pt,601.7pt" to="443.35pt,601.7pt" style="position:absolute;mso-position-horizontal-relative:page;mso-position-vertical-relative:page;">
            <v:stroke dashstyle="solid"/>
          </v:line>
        </w:pict>
      </w:r>
      <w:r>
        <w:pict>
          <v:line strokeweight="0.5pt" strokecolor="#D8D8D8" from="292.1pt,601.7pt" to="349.95pt,601.7pt" style="position:absolute;mso-position-horizontal-relative:page;mso-position-vertical-relative:page;">
            <v:stroke dashstyle="solid"/>
          </v:line>
        </w:pict>
      </w:r>
      <w:r>
        <w:pict>
          <v:line strokeweight="0.5pt" strokecolor="#D8D8D8" from="143.75pt,601.7pt" to="186.05pt,601.7pt" style="position:absolute;mso-position-horizontal-relative:page;mso-position-vertical-relative:page;">
            <v:stroke dashstyle="solid"/>
          </v:line>
        </w:pict>
      </w:r>
      <w:r>
        <w:pict>
          <v:line strokeweight="0.5pt" strokecolor="#D8D8D8" from="198.25pt,601.7pt" to="225.15pt,601.7pt" style="position:absolute;mso-position-horizontal-relative:page;mso-position-vertical-relative:page;">
            <v:stroke dashstyle="solid"/>
          </v:line>
        </w:pict>
      </w:r>
      <w:r>
        <w:pict>
          <v:line strokeweight="0.5pt" strokecolor="#D8D8D8" from="471.35pt,601.7pt" to="498.05pt,601.7pt" style="position:absolute;mso-position-horizontal-relative:page;mso-position-vertical-relative:page;">
            <v:stroke dashstyle="solid"/>
          </v:line>
        </w:pict>
      </w:r>
      <w:r>
        <w:pict>
          <v:line strokeweight="0.5pt" strokecolor="#D8D8D8" from="362.15pt,601.7pt" to="388.85pt,601.7pt" style="position:absolute;mso-position-horizontal-relative:page;mso-position-vertical-relative:page;">
            <v:stroke dashstyle="solid"/>
          </v:line>
        </w:pict>
      </w:r>
      <w:r>
        <w:pict>
          <v:line strokeweight="0.5pt" strokecolor="#D8D8D8" from="252.95pt,601.7pt" to="279.65pt,601.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r>
        <w:pict>
          <v:line strokeweight="0.5pt" strokecolor="#D8D8D8" from="459.1pt,601.45pt" to="471.35pt,601.45pt" style="position:absolute;mso-position-horizontal-relative:page;mso-position-vertical-relative:page;">
            <v:stroke dashstyle="solid"/>
          </v:line>
        </w:pict>
      </w:r>
      <w:r>
        <w:pict>
          <v:line strokeweight="0.5pt" strokecolor="#D8D8D8" from="443.3pt,601.45pt" to="456pt,601.45pt" style="position:absolute;mso-position-horizontal-relative:page;mso-position-vertical-relative:page;">
            <v:stroke dashstyle="solid"/>
          </v:line>
        </w:pict>
      </w:r>
      <w:r>
        <w:pict>
          <v:line strokeweight="0.5pt" strokecolor="#D8D8D8" from="388.8pt,601.45pt" to="401.3pt,601.45pt" style="position:absolute;mso-position-horizontal-relative:page;mso-position-vertical-relative:page;">
            <v:stroke dashstyle="solid"/>
          </v:line>
        </w:pict>
      </w:r>
      <w:r>
        <w:pict>
          <v:line strokeweight="0.5pt" strokecolor="#D8D8D8" from="513.6pt,601.45pt" to="526.1pt,601.45pt" style="position:absolute;mso-position-horizontal-relative:page;mso-position-vertical-relative:page;">
            <v:stroke dashstyle="solid"/>
          </v:line>
        </w:pict>
      </w:r>
      <w:r>
        <w:pict>
          <v:line strokeweight="0.5pt" strokecolor="#D8D8D8" from="498pt,601.45pt" to="510.5pt,601.45pt" style="position:absolute;mso-position-horizontal-relative:page;mso-position-vertical-relative:page;">
            <v:stroke dashstyle="solid"/>
          </v:line>
        </w:pict>
      </w:r>
      <w:r>
        <w:pict>
          <v:line strokeweight="0.5pt" strokecolor="#D8D8D8" from="279.6pt,601.45pt" to="292.1pt,601.45pt" style="position:absolute;mso-position-horizontal-relative:page;mso-position-vertical-relative:page;">
            <v:stroke dashstyle="solid"/>
          </v:line>
        </w:pict>
      </w:r>
      <w:r>
        <w:pict>
          <v:line strokeweight="0.5pt" strokecolor="#D8D8D8" from="240.5pt,601.45pt" to="252.95pt,601.45pt" style="position:absolute;mso-position-horizontal-relative:page;mso-position-vertical-relative:page;">
            <v:stroke dashstyle="solid"/>
          </v:line>
        </w:pict>
      </w:r>
      <w:r>
        <w:pict>
          <v:line strokeweight="0.5pt" strokecolor="#D8D8D8" from="115.7pt,601.45pt" to="128.15pt,601.45pt" style="position:absolute;mso-position-horizontal-relative:page;mso-position-vertical-relative:page;">
            <v:stroke dashstyle="solid"/>
          </v:line>
        </w:pict>
      </w:r>
      <w:r>
        <w:pict>
          <v:line strokeweight="0.5pt" strokecolor="#D8D8D8" from="131.3pt,572.9pt" to="143.75pt,572.9pt" style="position:absolute;mso-position-horizontal-relative:page;mso-position-vertical-relative:page;">
            <v:stroke dashstyle="solid"/>
          </v:line>
        </w:pict>
      </w:r>
      <w:r>
        <w:pict>
          <v:line strokeweight="0.5pt" strokecolor="#D8D8D8" from="131.3pt,601.45pt" to="143.75pt,601.45pt" style="position:absolute;mso-position-horizontal-relative:page;mso-position-vertical-relative:page;">
            <v:stroke dashstyle="solid"/>
          </v:line>
        </w:pict>
      </w:r>
      <w:r>
        <w:pict>
          <v:line strokeweight="0.5pt" strokecolor="#D8D8D8" from="186pt,601.45pt" to="198.25pt,601.45pt" style="position:absolute;mso-position-horizontal-relative:page;mso-position-vertical-relative:page;">
            <v:stroke dashstyle="solid"/>
          </v:line>
        </w:pict>
      </w:r>
      <w:r>
        <w:pict>
          <v:line strokeweight="0.5pt" strokecolor="#D8D8D8" from="225.1pt,601.45pt" to="237.35pt,601.45pt" style="position:absolute;mso-position-horizontal-relative:page;mso-position-vertical-relative:page;">
            <v:stroke dashstyle="solid"/>
          </v:line>
        </w:pict>
      </w:r>
      <w:r>
        <w:pict>
          <v:line strokeweight="0.5pt" strokecolor="#D8D8D8" from="404.65pt,601.45pt" to="416.9pt,601.45pt" style="position:absolute;mso-position-horizontal-relative:page;mso-position-vertical-relative:page;">
            <v:stroke dashstyle="solid"/>
          </v:line>
        </w:pict>
      </w:r>
      <w:r>
        <w:pict>
          <v:line strokeweight="0.5pt" strokecolor="#D8D8D8" from="349.9pt,601.45pt" to="362.15pt,601.4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21" coordsize="21600,21600" o:spt="202" path="m,l,21600r21600,l21600,xe">
            <v:stroke joinstyle="miter"/>
            <v:path gradientshapeok="t" o:connecttype="rect"/>
          </v:shapetype>
          <v:shape id="_x0000_s320" type="#_x0000_t321" filled="f" stroked="f" style="position:absolute;width:504pt;height:195.95pt;z-index:-1;margin-left:72pt;margin-top:157.2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22" coordsize="21600,21600" o:spt="202" path="m,l,21600r21600,l21600,xe">
            <v:stroke joinstyle="miter"/>
            <v:path gradientshapeok="t" o:connecttype="rect"/>
          </v:shapetype>
          <v:shape id="_x0000_s321" type="#_x0000_t322" filled="f" stroked="f" style="position:absolute;width:485.05pt;height:221.6pt;z-index:-999;margin-left:80.4pt;margin-top:132.95pt;mso-wrap-distance-left:8.4pt;mso-wrap-distance-right:10.55pt;mso-position-horizontal-relative:page;mso-position-vertical-relative:page">
            <v:fill opacity="1" o:opacity2="1" recolor="f" rotate="f" type="solid"/>
            <v:textbox inset="0pt, 0pt, 0pt, 0pt">
              <w:txbxContent>
                <w:p>
                  <w:pPr>
                    <w:pBdr>
                      <w:top w:sz="5" w:space="0" w:color="D8D8D8" w:val="single"/>
                      <w:left w:sz="5" w:space="8" w:color="D8D8D8" w:val="single"/>
                      <w:bottom w:sz="5" w:space="0" w:color="D8D8D8" w:val="single"/>
                      <w:right w:sz="5" w:space="10" w:color="D8D8D8" w:val="single"/>
                    </w:pBdr>
                  </w:pPr>
                </w:p>
              </w:txbxContent>
            </v:textbox>
          </v:shape>
        </w:pict>
      </w:r>
      <w:r>
        <w:pict>
          <v:shapetype id="_x0000_t323" coordsize="21600,21600" o:spt="202" path="m,l,21600r21600,l21600,xe">
            <v:stroke joinstyle="miter"/>
            <v:path gradientshapeok="t" o:connecttype="rect"/>
          </v:shapetype>
          <v:shape id="_x0000_s322" type="#_x0000_t323"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324" coordsize="21600,21600" o:spt="202" path="m,l,21600r21600,l21600,xe">
            <v:stroke joinstyle="miter"/>
            <v:path gradientshapeok="t" o:connecttype="rect"/>
          </v:shapetype>
          <v:shape id="_x0000_s323" type="#_x0000_t324" filled="f" stroked="f" style="position:absolute;width:504pt;height:62.9pt;z-index:1;margin-left:72pt;margin-top:70.0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8" w:lineRule="exact"/>
                    <w:ind w:right="115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Total births in the Finger Lakes region have been on a steady decline until a precipitous drop in 2024 (Figure 28).</w:t>
                  </w:r>
                </w:p>
                <w:p>
                  <w:pPr>
                    <w:spacing w:before="305" w:after="187" w:line="179" w:lineRule="exact"/>
                    <w:ind w:right="0" w:left="1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28: Number of Births in the Finger Lakes Region</w:t>
                  </w:r>
                </w:p>
              </w:txbxContent>
            </v:textbox>
          </v:shape>
        </w:pict>
      </w:r>
      <w:r>
        <w:pict>
          <v:shapetype id="_x0000_t325" coordsize="21600,21600" o:spt="202" path="m,l,21600r21600,l21600,xe">
            <v:stroke joinstyle="miter"/>
            <v:path gradientshapeok="t" o:connecttype="rect"/>
          </v:shapetype>
          <v:shape id="_x0000_s324" type="#_x0000_t325" filled="f" stroked="f" style="position:absolute;width:504pt;height:24.25pt;z-index:-1;margin-left:72pt;margin-top:132.95pt;mso-wrap-distance-left:0pt;mso-wrap-distance-right:0pt;mso-position-horizontal-relative:page;mso-position-vertical-relative:page">
            <w10:wrap type="square" side="both"/>
            <v:fill opacity="1" o:opacity2="1" recolor="f" rotate="f" type="solid"/>
            <v:textbox inset="0pt, 0pt, 0pt, 0pt">
              <w:txbxContent>
                <w:p>
                  <w:pPr>
                    <w:spacing w:before="193" w:after="0" w:line="287" w:lineRule="exact"/>
                    <w:ind w:right="245" w:left="202"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Number of Births in the Finger Lakes Region</w:t>
                  </w: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504pt;height:329.6pt;z-index:1;margin-left:72pt;margin-top:354.5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Statewide Planning and Delivery System (SPDS)</w:t>
                  </w:r>
                </w:p>
                <w:p>
                  <w:pPr>
                    <w:spacing w:before="288" w:after="0" w:line="226" w:lineRule="exact"/>
                    <w:ind w:right="0" w:left="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Preventive Services for Chronic Disease Prevention and Control</w:t>
                  </w:r>
                </w:p>
                <w:p>
                  <w:pPr>
                    <w:spacing w:before="157" w:after="0" w:line="289" w:lineRule="exact"/>
                    <w:ind w:right="864"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Most chronic diseases are preventable and are closely tied to modifiable behaviors, including poor diet, limited physical activity, tobacco use, and heavy alcohol consumption. These conditions significantly drive up health care costs and place substantial pressure on the health care system. In New York State, chronic illnesses - such as heart disease, stroke, cancer, COPD, diabetes, and obesity - are the primary causes of disability and death. They create a considerable health burden and greatly diminish overall quality of life, contributing to six in ten deaths.</w:t>
                  </w:r>
                  <w:r>
                    <w:rPr>
                      <w:rFonts w:ascii="Calibri" w:hAnsi="Calibri" w:eastAsia="Calibri"/>
                      <w:color w:val="000000"/>
                      <w:spacing w:val="0"/>
                      <w:w w:val="100"/>
                      <w:sz w:val="22"/>
                      <w:vertAlign w:val="superscript"/>
                      <w:lang w:val="en-US"/>
                    </w:rPr>
                    <w:t xml:space="preserve">27</w:t>
                  </w:r>
                  <w:r>
                    <w:rPr>
                      <w:rFonts w:ascii="Calibri" w:hAnsi="Calibri" w:eastAsia="Calibri"/>
                      <w:color w:val="000000"/>
                      <w:spacing w:val="0"/>
                      <w:w w:val="100"/>
                      <w:sz w:val="14"/>
                      <w:vertAlign w:val="baseline"/>
                      <w:lang w:val="en-US"/>
                    </w:rPr>
                    <w:t xml:space="preserve">
</w:t>
                  </w:r>
                </w:p>
                <w:p>
                  <w:pPr>
                    <w:spacing w:before="155" w:after="0" w:line="289" w:lineRule="exact"/>
                    <w:ind w:right="115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Many New Yorkers also experience multiple chronic conditions at the same time. Expanding early screening and detection, strengthening self-management skills, and improving access to health care providers and referral services can play a major role in reducing both the occurrence and severity of chronic diseases.</w:t>
                  </w:r>
                  <w:r>
                    <w:rPr>
                      <w:rFonts w:ascii="Calibri" w:hAnsi="Calibri" w:eastAsia="Calibri"/>
                      <w:color w:val="000000"/>
                      <w:spacing w:val="0"/>
                      <w:w w:val="100"/>
                      <w:sz w:val="22"/>
                      <w:vertAlign w:val="superscript"/>
                      <w:lang w:val="en-US"/>
                    </w:rPr>
                    <w:t xml:space="preserve">28</w:t>
                  </w:r>
                  <w:r>
                    <w:rPr>
                      <w:rFonts w:ascii="Calibri" w:hAnsi="Calibri" w:eastAsia="Calibri"/>
                      <w:color w:val="000000"/>
                      <w:spacing w:val="0"/>
                      <w:w w:val="100"/>
                      <w:sz w:val="14"/>
                      <w:vertAlign w:val="baseline"/>
                      <w:lang w:val="en-US"/>
                    </w:rPr>
                    <w:t xml:space="preserve">
</w:t>
                  </w:r>
                </w:p>
                <w:p>
                  <w:pPr>
                    <w:spacing w:before="172" w:after="1056" w:line="289" w:lineRule="exact"/>
                    <w:ind w:right="864"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Access to care is a widespread barrier, especially for those on Medicaid or living in poverty. Even when primary care, dental care, and mental health care are available, access may be inequitable across. populations and places. Cost, insurance limitations, scheduling practices, and a lack of transportation continue to be barriers to access. These barriers may prevent people from seeking acute care, as well as preventive measures such as dental exams, yearly physicals, and cancer screenings.</w:t>
                  </w:r>
                </w:p>
              </w:txbxContent>
            </v:textbox>
          </v:shape>
        </w:pict>
      </w:r>
      <w:r>
        <w:pict>
          <v:shapetype id="_x0000_t327" coordsize="21600,21600" o:spt="202" path="m,l,21600r21600,l21600,xe">
            <v:stroke joinstyle="miter"/>
            <v:path gradientshapeok="t" o:connecttype="rect"/>
          </v:shapetype>
          <v:shape id="_x0000_s326" type="#_x0000_t327" filled="f" stroked="f" style="position:absolute;width:504pt;height:32.7pt;z-index:1;margin-left:72pt;margin-top:684.15pt;mso-wrap-distance-left:0pt;mso-wrap-distance-right:0pt;mso-position-horizontal-relative:page;mso-position-vertical-relative:page">
            <w10:wrap anchorx="page" anchory="page"/>
            <v:fill opacity="1" o:opacity2="1" recolor="f" rotate="f" type="solid"/>
            <v:textbox inset="0pt, 0pt, 0pt, 0pt">
              <w:txbxContent>
                <w:p>
                  <w:pPr>
                    <w:spacing w:before="141" w:after="0" w:line="202" w:lineRule="exact"/>
                    <w:ind w:right="0" w:left="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27</w:t>
                  </w:r>
                  <w:r>
                    <w:rPr>
                      <w:rFonts w:ascii="Calibri" w:hAnsi="Calibri" w:eastAsia="Calibri"/>
                      <w:color w:val="000000"/>
                      <w:spacing w:val="0"/>
                      <w:w w:val="100"/>
                      <w:sz w:val="19"/>
                      <w:vertAlign w:val="baseline"/>
                      <w:lang w:val="en-US"/>
                    </w:rPr>
                    <w:t xml:space="preserve"> Source: NYS Prevention Agenda</w:t>
                  </w:r>
                </w:p>
                <w:p>
                  <w:pPr>
                    <w:spacing w:before="43" w:after="58" w:line="201" w:lineRule="exact"/>
                    <w:ind w:right="0" w:left="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28</w:t>
                  </w:r>
                  <w:r>
                    <w:rPr>
                      <w:rFonts w:ascii="Calibri" w:hAnsi="Calibri" w:eastAsia="Calibri"/>
                      <w:color w:val="000000"/>
                      <w:spacing w:val="0"/>
                      <w:w w:val="100"/>
                      <w:sz w:val="19"/>
                      <w:vertAlign w:val="baseline"/>
                      <w:lang w:val="en-US"/>
                    </w:rPr>
                    <w:t xml:space="preserve"> Source: NYS Prevention Agenda</w:t>
                  </w:r>
                </w:p>
              </w:txbxContent>
            </v:textbox>
          </v:shape>
        </w:pict>
      </w:r>
      <w:r>
        <w:pict>
          <v:shapetype id="_x0000_t328" coordsize="21600,21600" o:spt="202" path="m,l,21600r21600,l21600,xe">
            <v:stroke joinstyle="miter"/>
            <v:path gradientshapeok="t" o:connecttype="rect"/>
          </v:shapetype>
          <v:shape id="_x0000_s327" type="#_x0000_t328" filled="f" stroked="f" style="position:absolute;width:472.05pt;height:173.8pt;z-index:-999;margin-left:82.1pt;margin-top:167.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115"/>
                    <w:jc w:val="left"/>
                    <w:textAlignment w:val="baseline"/>
                  </w:pPr>
                  <w:r>
                    <w:drawing>
                      <wp:inline>
                        <wp:extent cx="5922010" cy="2207260"/>
                        <wp:docPr name="Picture" id="71"/>
                        <a:graphic>
                          <a:graphicData uri="http://schemas.openxmlformats.org/drawingml/2006/picture">
                            <pic:pic>
                              <pic:nvPicPr>
                                <pic:cNvPr id="71" name="Picture"/>
                                <pic:cNvPicPr preferRelativeResize="false"/>
                              </pic:nvPicPr>
                              <pic:blipFill>
                                <a:blip r:embed="prId71"/>
                                <a:stretch>
                                  <a:fillRect/>
                                </a:stretch>
                              </pic:blipFill>
                              <pic:spPr>
                                <a:xfrm>
                                  <a:off x="0" y="0"/>
                                  <a:ext cx="5922010" cy="2207260"/>
                                </a:xfrm>
                                <a:prstGeom prst="rect"/>
                              </pic:spPr>
                            </pic:pic>
                          </a:graphicData>
                        </a:graphic>
                      </wp:inline>
                    </w:drawing>
                  </w:r>
                </w:p>
              </w:txbxContent>
            </v:textbox>
          </v:shape>
        </w:pict>
      </w:r>
      <w:r>
        <w:pict>
          <v:shapetype id="_x0000_t329" coordsize="21600,21600" o:spt="202" path="m,l,21600r21600,l21600,xe">
            <v:stroke joinstyle="miter"/>
            <v:path gradientshapeok="t" o:connecttype="rect"/>
          </v:shapetype>
          <v:shape id="_x0000_s328" type="#_x0000_t329" filled="f" stroked="f" style="position:absolute;width:27.65pt;height:10.95pt;z-index:-1;margin-left:503.85pt;margin-top:251.35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0"/>
                      <w:spacing w:val="0"/>
                      <w:w w:val="100"/>
                      <w:sz w:val="18"/>
                      <w:u w:val="single"/>
                      <w:vertAlign w:val="baseline"/>
                      <w:lang w:val="en-US"/>
                    </w:rPr>
                  </w:pPr>
                  <w:r>
                    <w:rPr>
                      <w:rFonts w:ascii="Calibri" w:hAnsi="Calibri" w:eastAsia="Calibri"/>
                      <w:color w:val="404040"/>
                      <w:spacing w:val="0"/>
                      <w:w w:val="100"/>
                      <w:sz w:val="18"/>
                      <w:u w:val="single"/>
                      <w:vertAlign w:val="baseline"/>
                      <w:lang w:val="en-US"/>
                    </w:rPr>
                    <w:t xml:space="preserve">4314</w:t>
                  </w:r>
                  <w:r>
                    <w:rPr>
                      <w:rFonts w:ascii="Calibri" w:hAnsi="Calibri" w:eastAsia="Calibri"/>
                      <w:color w:val="404040"/>
                      <w:spacing w:val="0"/>
                      <w:w w:val="100"/>
                      <w:sz w:val="18"/>
                      <w:vertAlign w:val="baseline"/>
                      <w:lang w:val="en-US"/>
                    </w:rPr>
                    <w:t xml:space="preserve">
</w:t>
                  </w:r>
                </w:p>
              </w:txbxContent>
            </v:textbox>
          </v:shape>
        </w:pict>
      </w:r>
      <w:r>
        <w:pict>
          <v:shapetype id="_x0000_t330" coordsize="21600,21600" o:spt="202" path="m,l,21600r21600,l21600,xe">
            <v:stroke joinstyle="miter"/>
            <v:path gradientshapeok="t" o:connecttype="rect"/>
          </v:shapetype>
          <v:shape id="_x0000_s329" type="#_x0000_t330" filled="f" stroked="f" style="position:absolute;width:27.4pt;height:10.95pt;z-index:-1;margin-left:137.15pt;margin-top:172.9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5019</w:t>
                  </w:r>
                </w:p>
              </w:txbxContent>
            </v:textbox>
          </v:shape>
        </w:pict>
      </w:r>
      <w:r>
        <w:pict>
          <v:shapetype id="_x0000_t331" coordsize="21600,21600" o:spt="202" path="m,l,21600r21600,l21600,xe">
            <v:stroke joinstyle="miter"/>
            <v:path gradientshapeok="t" o:connecttype="rect"/>
          </v:shapetype>
          <v:shape id="_x0000_s330" type="#_x0000_t331" filled="f" stroked="f" style="position:absolute;width:27.4pt;height:10.95pt;z-index:-1;margin-left:83.15pt;margin-top:187.05pt;mso-wrap-distance-left:0pt;mso-wrap-distance-right:0pt;mso-position-horizontal-relative:page;mso-position-vertical-relative:page">
            <w10:wrap type="square" side="both"/>
            <v:fill opacity="1" o:opacity2="1" recolor="f" rotate="f" type="solid"/>
            <v:textbox inset="0pt, 0pt, 0pt, 0pt">
              <w:txbxContent>
                <w:p>
                  <w:pPr>
                    <w:spacing w:before="20" w:after="0" w:line="19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5000</w:t>
                  </w:r>
                </w:p>
              </w:txbxContent>
            </v:textbox>
          </v:shape>
        </w:pict>
      </w:r>
      <w:r>
        <w:pict>
          <v:shapetype id="_x0000_t332" coordsize="21600,21600" o:spt="202" path="m,l,21600r21600,l21600,xe">
            <v:stroke joinstyle="miter"/>
            <v:path gradientshapeok="t" o:connecttype="rect"/>
          </v:shapetype>
          <v:shape id="_x0000_s331" type="#_x0000_t332" filled="f" stroked="f" style="position:absolute;width:27.65pt;height:10.95pt;z-index:-1;margin-left:357.2pt;margin-top:193.55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4834</w:t>
                  </w:r>
                </w:p>
              </w:txbxContent>
            </v:textbox>
          </v:shape>
        </w:pict>
      </w:r>
      <w:r>
        <w:pict>
          <v:shapetype id="_x0000_t333" coordsize="21600,21600" o:spt="202" path="m,l,21600r21600,l21600,xe">
            <v:stroke joinstyle="miter"/>
            <v:path gradientshapeok="t" o:connecttype="rect"/>
          </v:shapetype>
          <v:shape id="_x0000_s332" type="#_x0000_t333" filled="f" stroked="f" style="position:absolute;width:28.45pt;height:10.95pt;z-index:-1;margin-left:82.1pt;margin-top:209.35pt;mso-wrap-distance-left:0pt;mso-wrap-distance-right:0pt;mso-position-horizontal-relative:page;mso-position-vertical-relative:page">
            <w10:wrap type="square" side="both"/>
            <v:fill opacity="1" o:opacity2="1" recolor="f" rotate="f" type="solid"/>
            <v:textbox inset="0pt, 0pt, 0pt, 0pt">
              <w:txbxContent>
                <w:p>
                  <w:pPr>
                    <w:spacing w:before="20" w:after="0" w:line="18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4800</w:t>
                  </w:r>
                </w:p>
              </w:txbxContent>
            </v:textbox>
          </v:shape>
        </w:pict>
      </w:r>
      <w:r>
        <w:pict>
          <v:shapetype id="_x0000_t334" coordsize="21600,21600" o:spt="202" path="m,l,21600r21600,l21600,xe">
            <v:stroke joinstyle="miter"/>
            <v:path gradientshapeok="t" o:connecttype="rect"/>
          </v:shapetype>
          <v:shape id="_x0000_s333" type="#_x0000_t334" filled="f" stroked="f" style="position:absolute;width:27.45pt;height:10.95pt;z-index:-1;margin-left:283.75pt;margin-top:208.15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center"/>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4702</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27.4pt;height:10.95pt;z-index:-1;margin-left:430.65pt;margin-top:221.85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4581</w:t>
                  </w:r>
                </w:p>
              </w:txbxContent>
            </v:textbox>
          </v:shape>
        </w:pict>
      </w:r>
      <w:r>
        <w:pict>
          <v:shapetype id="_x0000_t336" coordsize="21600,21600" o:spt="202" path="m,l,21600r21600,l21600,xe">
            <v:stroke joinstyle="miter"/>
            <v:path gradientshapeok="t" o:connecttype="rect"/>
          </v:shapetype>
          <v:shape id="_x0000_s335" type="#_x0000_t336" filled="f" stroked="f" style="position:absolute;width:28.45pt;height:10.95pt;z-index:-1;margin-left:82.1pt;margin-top:231.7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4600</w:t>
                  </w:r>
                </w:p>
              </w:txbxContent>
            </v:textbox>
          </v:shape>
        </w:pict>
      </w:r>
      <w:r>
        <w:pict>
          <v:shapetype id="_x0000_t337" coordsize="21600,21600" o:spt="202" path="m,l,21600r21600,l21600,xe">
            <v:stroke joinstyle="miter"/>
            <v:path gradientshapeok="t" o:connecttype="rect"/>
          </v:shapetype>
          <v:shape id="_x0000_s336" type="#_x0000_t337" filled="f" stroked="f" style="position:absolute;width:28.45pt;height:10.95pt;z-index:-1;margin-left:82.1pt;margin-top:254pt;mso-wrap-distance-left:0pt;mso-wrap-distance-right:0pt;mso-position-horizontal-relative:page;mso-position-vertical-relative:page">
            <w10:wrap type="square" side="both"/>
            <v:fill opacity="1" o:opacity2="1" recolor="f" rotate="f" type="solid"/>
            <v:textbox inset="0pt, 0pt, 0pt, 0pt">
              <w:txbxContent>
                <w:p>
                  <w:pPr>
                    <w:spacing w:before="20" w:after="0" w:line="18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4400</w:t>
                  </w:r>
                </w:p>
              </w:txbxContent>
            </v:textbox>
          </v:shape>
        </w:pict>
      </w:r>
      <w:r>
        <w:pict>
          <v:shapetype id="_x0000_t338" coordsize="21600,21600" o:spt="202" path="m,l,21600r21600,l21600,xe">
            <v:stroke joinstyle="miter"/>
            <v:path gradientshapeok="t" o:connecttype="rect"/>
          </v:shapetype>
          <v:shape id="_x0000_s337" type="#_x0000_t338" filled="f" stroked="f" style="position:absolute;width:28.45pt;height:10.95pt;z-index:-1;margin-left:82.1pt;margin-top:276.35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4200</w:t>
                  </w:r>
                </w:p>
              </w:txbxContent>
            </v:textbox>
          </v:shape>
        </w:pict>
      </w:r>
      <w:r>
        <w:pict>
          <v:shapetype id="_x0000_t339" coordsize="21600,21600" o:spt="202" path="m,l,21600r21600,l21600,xe">
            <v:stroke joinstyle="miter"/>
            <v:path gradientshapeok="t" o:connecttype="rect"/>
          </v:shapetype>
          <v:shape id="_x0000_s338" type="#_x0000_t339" filled="f" stroked="f" style="position:absolute;width:28.45pt;height:10.95pt;z-index:-1;margin-left:82.1pt;margin-top:298.4pt;mso-wrap-distance-left:0pt;mso-wrap-distance-right:0pt;mso-position-horizontal-relative:page;mso-position-vertical-relative:page">
            <w10:wrap type="square" side="both"/>
            <v:fill opacity="1" o:opacity2="1" recolor="f" rotate="f" type="solid"/>
            <v:textbox inset="0pt, 0pt, 0pt, 0pt">
              <w:txbxContent>
                <w:p>
                  <w:pPr>
                    <w:spacing w:before="20" w:after="0" w:line="18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4000</w:t>
                  </w:r>
                </w:p>
              </w:txbxContent>
            </v:textbox>
          </v:shape>
        </w:pict>
      </w:r>
      <w:r>
        <w:pict>
          <v:shapetype id="_x0000_t340" coordsize="21600,21600" o:spt="202" path="m,l,21600r21600,l21600,xe">
            <v:stroke joinstyle="miter"/>
            <v:path gradientshapeok="t" o:connecttype="rect"/>
          </v:shapetype>
          <v:shape id="_x0000_s339" type="#_x0000_t340" filled="f" stroked="f" style="position:absolute;width:27.4pt;height:10.95pt;z-index:-1;margin-left:83.15pt;margin-top:320.75pt;mso-wrap-distance-left:0pt;mso-wrap-distance-right:0pt;mso-position-horizontal-relative:page;mso-position-vertical-relative:page">
            <w10:wrap type="square" side="both"/>
            <v:fill opacity="1" o:opacity2="1" recolor="f" rotate="f" type="solid"/>
            <v:textbox inset="0pt, 0pt, 0pt, 0pt">
              <w:txbxContent>
                <w:p>
                  <w:pPr>
                    <w:spacing w:before="20" w:after="0" w:line="18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3800</w:t>
                  </w:r>
                </w:p>
              </w:txbxContent>
            </v:textbox>
          </v:shape>
        </w:pict>
      </w:r>
      <w:r>
        <w:pict>
          <v:shapetype id="_x0000_t341" coordsize="21600,21600" o:spt="202" path="m,l,21600r21600,l21600,xe">
            <v:stroke joinstyle="miter"/>
            <v:path gradientshapeok="t" o:connecttype="rect"/>
          </v:shapetype>
          <v:shape id="_x0000_s340" type="#_x0000_t341" filled="f" stroked="f" style="position:absolute;width:384.45pt;height:10.95pt;z-index:-1;margin-left:142.1pt;margin-top:332.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440"/>
                      <w:tab w:val="left" w:leader="none" w:pos="2952"/>
                      <w:tab w:val="left" w:leader="none" w:pos="4392"/>
                      <w:tab w:val="left" w:leader="none" w:pos="5904"/>
                      <w:tab w:val="right" w:leader="none" w:pos="7704"/>
                    </w:tabs>
                    <w:spacing w:before="20" w:after="0" w:line="198"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2018	</w:t>
                  </w:r>
                  <w:r>
                    <w:rPr>
                      <w:rFonts w:ascii="Calibri" w:hAnsi="Calibri" w:eastAsia="Calibri"/>
                      <w:color w:val="585858"/>
                      <w:spacing w:val="0"/>
                      <w:w w:val="100"/>
                      <w:sz w:val="18"/>
                      <w:vertAlign w:val="baseline"/>
                      <w:lang w:val="en-US"/>
                    </w:rPr>
                    <w:t xml:space="preserve">2019	</w:t>
                  </w:r>
                  <w:r>
                    <w:rPr>
                      <w:rFonts w:ascii="Calibri" w:hAnsi="Calibri" w:eastAsia="Calibri"/>
                      <w:color w:val="585858"/>
                      <w:spacing w:val="0"/>
                      <w:w w:val="100"/>
                      <w:sz w:val="18"/>
                      <w:vertAlign w:val="baseline"/>
                      <w:lang w:val="en-US"/>
                    </w:rPr>
                    <w:t xml:space="preserve">2020	</w:t>
                  </w:r>
                  <w:r>
                    <w:rPr>
                      <w:rFonts w:ascii="Calibri" w:hAnsi="Calibri" w:eastAsia="Calibri"/>
                      <w:color w:val="585858"/>
                      <w:spacing w:val="0"/>
                      <w:w w:val="100"/>
                      <w:sz w:val="18"/>
                      <w:vertAlign w:val="baseline"/>
                      <w:lang w:val="en-US"/>
                    </w:rPr>
                    <w:t xml:space="preserve">2021	</w:t>
                  </w:r>
                  <w:r>
                    <w:rPr>
                      <w:rFonts w:ascii="Calibri" w:hAnsi="Calibri" w:eastAsia="Calibri"/>
                      <w:color w:val="585858"/>
                      <w:spacing w:val="0"/>
                      <w:w w:val="100"/>
                      <w:sz w:val="18"/>
                      <w:vertAlign w:val="baseline"/>
                      <w:lang w:val="en-US"/>
                    </w:rPr>
                    <w:t xml:space="preserve">2022	</w:t>
                  </w:r>
                  <w:r>
                    <w:rPr>
                      <w:rFonts w:ascii="Calibri" w:hAnsi="Calibri" w:eastAsia="Calibri"/>
                      <w:color w:val="585858"/>
                      <w:spacing w:val="0"/>
                      <w:w w:val="100"/>
                      <w:sz w:val="18"/>
                      <w:vertAlign w:val="baseline"/>
                      <w:lang w:val="en-US"/>
                    </w:rPr>
                    <w:t xml:space="preserve">2023</w:t>
                  </w:r>
                </w:p>
              </w:txbxContent>
            </v:textbox>
          </v:shape>
        </w:pict>
      </w:r>
      <w:r>
        <w:pict>
          <v:shapetype id="_x0000_t342" coordsize="21600,21600" o:spt="202" path="m,l,21600r21600,l21600,xe">
            <v:stroke joinstyle="miter"/>
            <v:path gradientshapeok="t" o:connecttype="rect"/>
          </v:shapetype>
          <v:shape id="_x0000_s341" type="#_x0000_t342" filled="f" stroked="f" style="position:absolute;width:27.4pt;height:10.95pt;z-index:-1;margin-left:83.15pt;margin-top:164.75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5200</w:t>
                  </w:r>
                </w:p>
              </w:txbxContent>
            </v:textbox>
          </v:shape>
        </w:pict>
      </w:r>
      <w:r>
        <w:pict>
          <v:shapetype id="_x0000_t343" coordsize="21600,21600" o:spt="202" path="m,l,21600r21600,l21600,xe">
            <v:stroke joinstyle="miter"/>
            <v:path gradientshapeok="t" o:connecttype="rect"/>
          </v:shapetype>
          <v:shape id="_x0000_s342" type="#_x0000_t343" filled="f" stroked="f" style="position:absolute;width:27.2pt;height:10.95pt;z-index:-1;margin-left:210.55pt;margin-top:182.25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0"/>
                      <w:spacing w:val="0"/>
                      <w:w w:val="100"/>
                      <w:sz w:val="18"/>
                      <w:vertAlign w:val="baseline"/>
                      <w:lang w:val="en-US"/>
                    </w:rPr>
                  </w:pPr>
                  <w:r>
                    <w:rPr>
                      <w:rFonts w:ascii="Calibri" w:hAnsi="Calibri" w:eastAsia="Calibri"/>
                      <w:color w:val="404040"/>
                      <w:spacing w:val="0"/>
                      <w:w w:val="100"/>
                      <w:sz w:val="18"/>
                      <w:vertAlign w:val="baseline"/>
                      <w:lang w:val="en-US"/>
                    </w:rPr>
                    <w:t xml:space="preserve">4935</w:t>
                  </w:r>
                </w:p>
              </w:txbxContent>
            </v:textbox>
          </v:shape>
        </w:pict>
      </w:r>
      <w:r>
        <w:pict>
          <v:shapetype id="_x0000_t344" coordsize="21600,21600" o:spt="202" path="m,l,21600r21600,l21600,xe">
            <v:stroke joinstyle="miter"/>
            <v:path gradientshapeok="t" o:connecttype="rect"/>
          </v:shapetype>
          <v:shape id="_x0000_s343" type="#_x0000_t344"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57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84.7pt" to="216.3pt,684.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228" w:after="0" w:line="222" w:lineRule="exact"/>
        <w:ind w:right="0"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A look at practitioner access in Table 16 provides insight into the problem of obtaining both acute and</w:t>
      </w:r>
    </w:p>
    <w:p>
      <w:pPr>
        <w:spacing w:before="66"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health care in the region as well as insights into the problem of chronic disease management.</w:t>
      </w:r>
    </w:p>
    <w:p>
      <w:pPr>
        <w:spacing w:before="674" w:after="192"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16 Provider Access in the Finger Lakes Region</w:t>
      </w:r>
    </w:p>
    <w:tbl>
      <w:tblPr>
        <w:jc w:val="left"/>
        <w:tblInd w:w="1440" w:type="dxa"/>
        <w:tblLayout w:type="fixed"/>
        <w:tblCellMar>
          <w:left w:w="0" w:type="dxa"/>
          <w:right w:w="0" w:type="dxa"/>
        </w:tblCellMar>
      </w:tblPr>
      <w:tblGrid>
        <w:gridCol w:w="1176"/>
        <w:gridCol w:w="2016"/>
        <w:gridCol w:w="2016"/>
        <w:gridCol w:w="2016"/>
        <w:gridCol w:w="2026"/>
      </w:tblGrid>
      <w:tr>
        <w:trPr>
          <w:trHeight w:val="2165" w:hRule="exact"/>
        </w:trPr>
        <w:tc>
          <w:tcPr>
            <w:tcW w:w="117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8" w:after="1900" w:line="226" w:lineRule="exact"/>
              <w:ind w:right="17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201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90"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Primary Care</w:t>
              <w:br/>
            </w:r>
            <w:r>
              <w:rPr>
                <w:rFonts w:ascii="Calibri" w:hAnsi="Calibri" w:eastAsia="Calibri"/>
                <w:b w:val="true"/>
                <w:color w:val="FFFFFF"/>
                <w:spacing w:val="0"/>
                <w:w w:val="100"/>
                <w:sz w:val="22"/>
                <w:vertAlign w:val="baseline"/>
                <w:lang w:val="en-US"/>
              </w:rPr>
              <w:t xml:space="preserve">Physicians –</w:t>
              <w:br/>
            </w:r>
            <w:r>
              <w:rPr>
                <w:rFonts w:ascii="Calibri" w:hAnsi="Calibri" w:eastAsia="Calibri"/>
                <w:b w:val="true"/>
                <w:color w:val="FFFFFF"/>
                <w:spacing w:val="0"/>
                <w:w w:val="100"/>
                <w:sz w:val="22"/>
                <w:vertAlign w:val="baseline"/>
                <w:lang w:val="en-US"/>
              </w:rPr>
              <w:t xml:space="preserve">Number of</w:t>
              <w:br/>
            </w:r>
            <w:r>
              <w:rPr>
                <w:rFonts w:ascii="Calibri" w:hAnsi="Calibri" w:eastAsia="Calibri"/>
                <w:b w:val="true"/>
                <w:color w:val="FFFFFF"/>
                <w:spacing w:val="0"/>
                <w:w w:val="100"/>
                <w:sz w:val="22"/>
                <w:vertAlign w:val="baseline"/>
                <w:lang w:val="en-US"/>
              </w:rPr>
              <w:t xml:space="preserve">residents to one</w:t>
              <w:br/>
            </w:r>
            <w:r>
              <w:rPr>
                <w:rFonts w:ascii="Calibri" w:hAnsi="Calibri" w:eastAsia="Calibri"/>
                <w:b w:val="true"/>
                <w:color w:val="FFFFFF"/>
                <w:spacing w:val="0"/>
                <w:w w:val="100"/>
                <w:sz w:val="22"/>
                <w:vertAlign w:val="baseline"/>
                <w:lang w:val="en-US"/>
              </w:rPr>
              <w:t xml:space="preserve">physician</w:t>
              <w:br/>
            </w:r>
            <w:r>
              <w:rPr>
                <w:rFonts w:ascii="Calibri" w:hAnsi="Calibri" w:eastAsia="Calibri"/>
                <w:b w:val="true"/>
                <w:color w:val="FFFFFF"/>
                <w:spacing w:val="0"/>
                <w:w w:val="100"/>
                <w:sz w:val="22"/>
                <w:vertAlign w:val="baseline"/>
                <w:lang w:val="en-US"/>
              </w:rPr>
              <w:t xml:space="preserve">(2021)</w:t>
              <w:br/>
            </w:r>
            <w:r>
              <w:rPr>
                <w:rFonts w:ascii="Calibri" w:hAnsi="Calibri" w:eastAsia="Calibri"/>
                <w:b w:val="true"/>
                <w:color w:val="FFFFFF"/>
                <w:spacing w:val="0"/>
                <w:w w:val="100"/>
                <w:sz w:val="22"/>
                <w:vertAlign w:val="baseline"/>
                <w:lang w:val="en-US"/>
              </w:rPr>
              <w:t xml:space="preserve">(NYS: 1,240)</w:t>
            </w:r>
          </w:p>
        </w:tc>
        <w:tc>
          <w:tcPr>
            <w:tcW w:w="201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559"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Mental Health</w:t>
              <w:br/>
            </w:r>
            <w:r>
              <w:rPr>
                <w:rFonts w:ascii="Calibri" w:hAnsi="Calibri" w:eastAsia="Calibri"/>
                <w:b w:val="true"/>
                <w:color w:val="FFFFFF"/>
                <w:spacing w:val="0"/>
                <w:w w:val="100"/>
                <w:sz w:val="22"/>
                <w:vertAlign w:val="baseline"/>
                <w:lang w:val="en-US"/>
              </w:rPr>
              <w:t xml:space="preserve">Providers Number</w:t>
              <w:br/>
            </w:r>
            <w:r>
              <w:rPr>
                <w:rFonts w:ascii="Calibri" w:hAnsi="Calibri" w:eastAsia="Calibri"/>
                <w:b w:val="true"/>
                <w:color w:val="FFFFFF"/>
                <w:spacing w:val="0"/>
                <w:w w:val="100"/>
                <w:sz w:val="22"/>
                <w:vertAlign w:val="baseline"/>
                <w:lang w:val="en-US"/>
              </w:rPr>
              <w:t xml:space="preserve">of residents to one</w:t>
              <w:br/>
            </w:r>
            <w:r>
              <w:rPr>
                <w:rFonts w:ascii="Calibri" w:hAnsi="Calibri" w:eastAsia="Calibri"/>
                <w:b w:val="true"/>
                <w:color w:val="FFFFFF"/>
                <w:spacing w:val="0"/>
                <w:w w:val="100"/>
                <w:sz w:val="22"/>
                <w:vertAlign w:val="baseline"/>
                <w:lang w:val="en-US"/>
              </w:rPr>
              <w:t xml:space="preserve">provider</w:t>
              <w:br/>
            </w:r>
            <w:r>
              <w:rPr>
                <w:rFonts w:ascii="Calibri" w:hAnsi="Calibri" w:eastAsia="Calibri"/>
                <w:b w:val="true"/>
                <w:color w:val="FFFFFF"/>
                <w:spacing w:val="0"/>
                <w:w w:val="100"/>
                <w:sz w:val="22"/>
                <w:vertAlign w:val="baseline"/>
                <w:lang w:val="en-US"/>
              </w:rPr>
              <w:t xml:space="preserve">(2024)</w:t>
              <w:br/>
            </w:r>
            <w:r>
              <w:rPr>
                <w:rFonts w:ascii="Calibri" w:hAnsi="Calibri" w:eastAsia="Calibri"/>
                <w:b w:val="true"/>
                <w:color w:val="FFFFFF"/>
                <w:spacing w:val="0"/>
                <w:w w:val="100"/>
                <w:sz w:val="22"/>
                <w:vertAlign w:val="baseline"/>
                <w:lang w:val="en-US"/>
              </w:rPr>
              <w:t xml:space="preserve">(NYS: 260)</w:t>
            </w:r>
          </w:p>
        </w:tc>
        <w:tc>
          <w:tcPr>
            <w:tcW w:w="201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265" w:after="559" w:line="268"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Dentists Number of</w:t>
              <w:br/>
            </w:r>
            <w:r>
              <w:rPr>
                <w:rFonts w:ascii="Calibri" w:hAnsi="Calibri" w:eastAsia="Calibri"/>
                <w:b w:val="true"/>
                <w:color w:val="FFFFFF"/>
                <w:spacing w:val="0"/>
                <w:w w:val="100"/>
                <w:sz w:val="22"/>
                <w:vertAlign w:val="baseline"/>
                <w:lang w:val="en-US"/>
              </w:rPr>
              <w:t xml:space="preserve">residents to one</w:t>
              <w:br/>
            </w:r>
            <w:r>
              <w:rPr>
                <w:rFonts w:ascii="Calibri" w:hAnsi="Calibri" w:eastAsia="Calibri"/>
                <w:b w:val="true"/>
                <w:color w:val="FFFFFF"/>
                <w:spacing w:val="0"/>
                <w:w w:val="100"/>
                <w:sz w:val="22"/>
                <w:vertAlign w:val="baseline"/>
                <w:lang w:val="en-US"/>
              </w:rPr>
              <w:t xml:space="preserve">dentist</w:t>
              <w:br/>
            </w: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 1,200)</w:t>
            </w:r>
          </w:p>
        </w:tc>
        <w:tc>
          <w:tcPr>
            <w:tcW w:w="202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8" w:lineRule="exact"/>
              <w:ind w:right="468" w:left="144" w:firstLine="0"/>
              <w:jc w:val="left"/>
              <w:textAlignment w:val="baseline"/>
              <w:rPr>
                <w:rFonts w:ascii="Calibri" w:hAnsi="Calibri" w:eastAsia="Calibri"/>
                <w:b w:val="true"/>
                <w:color w:val="FFFFFF"/>
                <w:spacing w:val="-4"/>
                <w:w w:val="100"/>
                <w:sz w:val="22"/>
                <w:vertAlign w:val="baseline"/>
                <w:lang w:val="en-US"/>
              </w:rPr>
            </w:pPr>
            <w:r>
              <w:rPr>
                <w:rFonts w:ascii="Calibri" w:hAnsi="Calibri" w:eastAsia="Calibri"/>
                <w:b w:val="true"/>
                <w:color w:val="FFFFFF"/>
                <w:spacing w:val="-4"/>
                <w:w w:val="100"/>
                <w:sz w:val="22"/>
                <w:vertAlign w:val="baseline"/>
                <w:lang w:val="en-US"/>
              </w:rPr>
              <w:t xml:space="preserve">Primary Care Providers Other than Physicians Number of residents to one provider</w:t>
            </w:r>
          </w:p>
          <w:p>
            <w:pPr>
              <w:spacing w:before="43" w:after="0" w:line="223" w:lineRule="exact"/>
              <w:ind w:right="0" w:left="144"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(2024)</w:t>
            </w:r>
          </w:p>
          <w:p>
            <w:pPr>
              <w:spacing w:before="45" w:after="22" w:line="223"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(NYS: 610)</w:t>
            </w:r>
          </w:p>
        </w:tc>
      </w:tr>
      <w:tr>
        <w:trPr>
          <w:trHeight w:val="278"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33" w:after="19" w:line="221"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Chemung</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1,280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1,540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33" w:after="23"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560</w:t>
            </w:r>
          </w:p>
        </w:tc>
      </w:tr>
      <w:tr>
        <w:trPr>
          <w:trHeight w:val="279"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0" w:after="19"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Livingston</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4"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2,200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4"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4"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1,980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0" w:after="24"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1,130</w:t>
            </w:r>
          </w:p>
        </w:tc>
      </w:tr>
      <w:tr>
        <w:trPr>
          <w:trHeight w:val="278"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33" w:after="28" w:line="217"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Ontario</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1,210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1,660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33" w:after="28"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680</w:t>
            </w:r>
          </w:p>
        </w:tc>
      </w:tr>
      <w:tr>
        <w:trPr>
          <w:trHeight w:val="278"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0" w:after="23"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Schuyler</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1,610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3,530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1,590</w:t>
            </w:r>
          </w:p>
        </w:tc>
      </w:tr>
      <w:tr>
        <w:trPr>
          <w:trHeight w:val="279"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33" w:after="19" w:line="217"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Seneca</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9"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3,740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9"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9"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3,290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33" w:after="19"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1,120</w:t>
            </w:r>
          </w:p>
        </w:tc>
      </w:tr>
      <w:tr>
        <w:trPr>
          <w:trHeight w:val="278"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33" w:after="13" w:line="217"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Steuben</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1,790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13"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2,810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33" w:after="13"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930</w:t>
            </w:r>
          </w:p>
        </w:tc>
      </w:tr>
      <w:tr>
        <w:trPr>
          <w:trHeight w:val="279"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0" w:after="23" w:line="222"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Wayne</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4,300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2030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0" w:after="28"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1,420</w:t>
            </w:r>
          </w:p>
        </w:tc>
      </w:tr>
      <w:tr>
        <w:trPr>
          <w:trHeight w:val="288" w:hRule="exact"/>
        </w:trPr>
        <w:tc>
          <w:tcPr>
            <w:tcW w:w="1176" w:type="dxa"/>
            <w:tcBorders>
              <w:top w:val="single" w:sz="5" w:color="000000"/>
              <w:left w:val="single" w:sz="5" w:color="000000"/>
              <w:bottom w:val="single" w:sz="5" w:color="000000"/>
              <w:right w:val="single" w:sz="5" w:color="000000"/>
            </w:tcBorders>
            <w:shd w:val="clear" w:color="DCE9F7" w:fill="DCE9F7"/>
            <w:textDirection w:val="lrTb"/>
            <w:vAlign w:val="center"/>
          </w:tcPr>
          <w:p>
            <w:pPr>
              <w:spacing w:before="33" w:after="32" w:line="217" w:lineRule="exact"/>
              <w:ind w:right="0" w:left="1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32"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2,050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32"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840</w:t>
            </w:r>
          </w:p>
        </w:tc>
        <w:tc>
          <w:tcPr>
            <w:tcW w:w="2016" w:type="dxa"/>
            <w:tcBorders>
              <w:top w:val="single" w:sz="5" w:color="000000"/>
              <w:left w:val="single" w:sz="5" w:color="000000"/>
              <w:bottom w:val="single" w:sz="5" w:color="000000"/>
              <w:right w:val="single" w:sz="5" w:color="000000"/>
            </w:tcBorders>
            <w:textDirection w:val="lrTb"/>
            <w:vAlign w:val="center"/>
          </w:tcPr>
          <w:p>
            <w:pPr>
              <w:spacing w:before="33" w:after="32" w:line="217" w:lineRule="exact"/>
              <w:ind w:right="11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2,220</w:t>
            </w:r>
          </w:p>
        </w:tc>
        <w:tc>
          <w:tcPr>
            <w:tcW w:w="2026" w:type="dxa"/>
            <w:tcBorders>
              <w:top w:val="single" w:sz="5" w:color="000000"/>
              <w:left w:val="single" w:sz="5" w:color="000000"/>
              <w:bottom w:val="single" w:sz="5" w:color="000000"/>
              <w:right w:val="single" w:sz="5" w:color="000000"/>
            </w:tcBorders>
            <w:textDirection w:val="lrTb"/>
            <w:vAlign w:val="center"/>
          </w:tcPr>
          <w:p>
            <w:pPr>
              <w:spacing w:before="33" w:after="32" w:line="217" w:lineRule="exact"/>
              <w:ind w:right="125"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1,220</w:t>
            </w:r>
          </w:p>
        </w:tc>
      </w:tr>
    </w:tbl>
    <w:p>
      <w:pPr>
        <w:spacing w:before="0" w:after="196" w:line="209" w:lineRule="exact"/>
        <w:ind w:right="1584"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Sources: County Health Rankings &amp; Roadmaps, using data from the Area Health Resources Files (primary care physicians), CMS National Provider Identifier and NPPES files (mental health providers, dentists, and other primary care providers).</w:t>
      </w:r>
    </w:p>
    <w:p>
      <w:pPr>
        <w:spacing w:before="0" w:after="79" w:line="240" w:lineRule="auto"/>
        <w:ind w:right="0" w:left="0"/>
        <w:jc w:val="left"/>
        <w:textAlignment w:val="baseline"/>
      </w:pPr>
      <w:r>
        <w:drawing>
          <wp:inline>
            <wp:extent cx="7772400" cy="3441065"/>
            <wp:docPr name="Picture" id="72"/>
            <a:graphic>
              <a:graphicData uri="http://schemas.openxmlformats.org/drawingml/2006/picture">
                <pic:pic>
                  <pic:nvPicPr>
                    <pic:cNvPr id="72" name="Picture"/>
                    <pic:cNvPicPr preferRelativeResize="false"/>
                  </pic:nvPicPr>
                  <pic:blipFill>
                    <a:blip r:embed="prId72"/>
                    <a:stretch>
                      <a:fillRect/>
                    </a:stretch>
                  </pic:blipFill>
                  <pic:spPr>
                    <a:xfrm>
                      <a:off x="0" y="0"/>
                      <a:ext cx="7772400" cy="3441065"/>
                    </a:xfrm>
                    <a:prstGeom prst="rect"/>
                  </pic:spPr>
                </pic:pic>
              </a:graphicData>
            </a:graphic>
          </wp:inline>
        </w:drawing>
      </w:r>
    </w:p>
    <w:p>
      <w:pPr>
        <w:spacing w:before="20" w:after="547" w:line="180" w:lineRule="exact"/>
        <w:ind w:right="0" w:left="21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Courtesy Ontario County</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58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9" w:lineRule="exact"/>
        <w:ind w:right="151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Access to and use of preventive services may also be measured by the percentage of residents who have undergone diagnostic testing such as mammograms and colorectal screenings. Additionally, those who have been tested for and diagnosed with high blood pressure or diabetes as detailed in Table 17. A large percentage of residents receive mammography services, and those on Medicare doing so exceed the New York State average.</w:t>
      </w:r>
    </w:p>
    <w:p>
      <w:pPr>
        <w:spacing w:before="224" w:after="19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17: Preventive Services</w:t>
      </w:r>
    </w:p>
    <w:tbl>
      <w:tblPr>
        <w:jc w:val="left"/>
        <w:tblInd w:w="1440" w:type="dxa"/>
        <w:tblLayout w:type="fixed"/>
        <w:tblCellMar>
          <w:left w:w="0" w:type="dxa"/>
          <w:right w:w="0" w:type="dxa"/>
        </w:tblCellMar>
      </w:tblPr>
      <w:tblGrid>
        <w:gridCol w:w="1234"/>
        <w:gridCol w:w="1694"/>
        <w:gridCol w:w="1699"/>
        <w:gridCol w:w="1267"/>
        <w:gridCol w:w="1138"/>
        <w:gridCol w:w="1186"/>
        <w:gridCol w:w="1142"/>
      </w:tblGrid>
      <w:tr>
        <w:trPr>
          <w:trHeight w:val="3437" w:hRule="exact"/>
        </w:trPr>
        <w:tc>
          <w:tcPr>
            <w:tcW w:w="123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43" w:after="3191" w:line="197" w:lineRule="exact"/>
              <w:ind w:right="0" w:left="110" w:firstLine="0"/>
              <w:jc w:val="left"/>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County</w:t>
            </w:r>
          </w:p>
        </w:tc>
        <w:tc>
          <w:tcPr>
            <w:tcW w:w="1694"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217" w:line="242"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of</w:t>
              <w:br/>
            </w:r>
            <w:r>
              <w:rPr>
                <w:rFonts w:ascii="Calibri" w:hAnsi="Calibri" w:eastAsia="Calibri"/>
                <w:b w:val="true"/>
                <w:color w:val="FFFFFF"/>
                <w:spacing w:val="0"/>
                <w:w w:val="100"/>
                <w:sz w:val="19"/>
                <w:vertAlign w:val="baseline"/>
                <w:lang w:val="en-US"/>
              </w:rPr>
              <w:t xml:space="preserve">those 50-74 years</w:t>
              <w:br/>
            </w:r>
            <w:r>
              <w:rPr>
                <w:rFonts w:ascii="Calibri" w:hAnsi="Calibri" w:eastAsia="Calibri"/>
                <w:b w:val="true"/>
                <w:color w:val="FFFFFF"/>
                <w:spacing w:val="0"/>
                <w:w w:val="100"/>
                <w:sz w:val="19"/>
                <w:vertAlign w:val="baseline"/>
                <w:lang w:val="en-US"/>
              </w:rPr>
              <w:t xml:space="preserve">who have gotten</w:t>
              <w:br/>
            </w:r>
            <w:r>
              <w:rPr>
                <w:rFonts w:ascii="Calibri" w:hAnsi="Calibri" w:eastAsia="Calibri"/>
                <w:b w:val="true"/>
                <w:color w:val="FFFFFF"/>
                <w:spacing w:val="0"/>
                <w:w w:val="100"/>
                <w:sz w:val="19"/>
                <w:vertAlign w:val="baseline"/>
                <w:lang w:val="en-US"/>
              </w:rPr>
              <w:t xml:space="preserve">a Mammogram</w:t>
              <w:br/>
            </w:r>
            <w:r>
              <w:rPr>
                <w:rFonts w:ascii="Calibri" w:hAnsi="Calibri" w:eastAsia="Calibri"/>
                <w:b w:val="true"/>
                <w:color w:val="FFFFFF"/>
                <w:spacing w:val="0"/>
                <w:w w:val="100"/>
                <w:sz w:val="19"/>
                <w:vertAlign w:val="baseline"/>
                <w:lang w:val="en-US"/>
              </w:rPr>
              <w:t xml:space="preserve">(2022)</w:t>
            </w:r>
          </w:p>
        </w:tc>
        <w:tc>
          <w:tcPr>
            <w:tcW w:w="1699"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727" w:line="243"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of</w:t>
              <w:br/>
            </w:r>
            <w:r>
              <w:rPr>
                <w:rFonts w:ascii="Calibri" w:hAnsi="Calibri" w:eastAsia="Calibri"/>
                <w:b w:val="true"/>
                <w:color w:val="FFFFFF"/>
                <w:spacing w:val="0"/>
                <w:w w:val="100"/>
                <w:sz w:val="19"/>
                <w:vertAlign w:val="baseline"/>
                <w:lang w:val="en-US"/>
              </w:rPr>
              <w:t xml:space="preserve">those on</w:t>
              <w:br/>
            </w:r>
            <w:r>
              <w:rPr>
                <w:rFonts w:ascii="Calibri" w:hAnsi="Calibri" w:eastAsia="Calibri"/>
                <w:b w:val="true"/>
                <w:color w:val="FFFFFF"/>
                <w:spacing w:val="0"/>
                <w:w w:val="100"/>
                <w:sz w:val="19"/>
                <w:vertAlign w:val="baseline"/>
                <w:lang w:val="en-US"/>
              </w:rPr>
              <w:t xml:space="preserve">Medicare who</w:t>
              <w:br/>
            </w:r>
            <w:r>
              <w:rPr>
                <w:rFonts w:ascii="Calibri" w:hAnsi="Calibri" w:eastAsia="Calibri"/>
                <w:b w:val="true"/>
                <w:color w:val="FFFFFF"/>
                <w:spacing w:val="0"/>
                <w:w w:val="100"/>
                <w:sz w:val="19"/>
                <w:vertAlign w:val="baseline"/>
                <w:lang w:val="en-US"/>
              </w:rPr>
              <w:t xml:space="preserve">have gotten a</w:t>
              <w:br/>
            </w:r>
            <w:r>
              <w:rPr>
                <w:rFonts w:ascii="Calibri" w:hAnsi="Calibri" w:eastAsia="Calibri"/>
                <w:b w:val="true"/>
                <w:color w:val="FFFFFF"/>
                <w:spacing w:val="0"/>
                <w:w w:val="100"/>
                <w:sz w:val="19"/>
                <w:vertAlign w:val="baseline"/>
                <w:lang w:val="en-US"/>
              </w:rPr>
              <w:t xml:space="preserve">Mammogram</w:t>
              <w:br/>
            </w:r>
            <w:r>
              <w:rPr>
                <w:rFonts w:ascii="Calibri" w:hAnsi="Calibri" w:eastAsia="Calibri"/>
                <w:b w:val="true"/>
                <w:color w:val="FFFFFF"/>
                <w:spacing w:val="0"/>
                <w:w w:val="100"/>
                <w:sz w:val="19"/>
                <w:vertAlign w:val="baseline"/>
                <w:lang w:val="en-US"/>
              </w:rPr>
              <w:t xml:space="preserve">(NYS = 44%)</w:t>
              <w:br/>
            </w:r>
            <w:r>
              <w:rPr>
                <w:rFonts w:ascii="Calibri" w:hAnsi="Calibri" w:eastAsia="Calibri"/>
                <w:b w:val="true"/>
                <w:color w:val="FFFFFF"/>
                <w:spacing w:val="0"/>
                <w:w w:val="100"/>
                <w:sz w:val="19"/>
                <w:vertAlign w:val="baseline"/>
                <w:lang w:val="en-US"/>
              </w:rPr>
              <w:t xml:space="preserve">(2022)</w:t>
            </w:r>
          </w:p>
        </w:tc>
        <w:tc>
          <w:tcPr>
            <w:tcW w:w="126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42" w:lineRule="exact"/>
              <w:ind w:right="216" w:left="288" w:hanging="72"/>
              <w:jc w:val="left"/>
              <w:textAlignment w:val="baseline"/>
              <w:rPr>
                <w:rFonts w:ascii="Calibri" w:hAnsi="Calibri" w:eastAsia="Calibri"/>
                <w:b w:val="true"/>
                <w:color w:val="FFFFFF"/>
                <w:spacing w:val="-6"/>
                <w:w w:val="100"/>
                <w:sz w:val="19"/>
                <w:vertAlign w:val="baseline"/>
                <w:lang w:val="en-US"/>
              </w:rPr>
            </w:pPr>
            <w:r>
              <w:rPr>
                <w:rFonts w:ascii="Calibri" w:hAnsi="Calibri" w:eastAsia="Calibri"/>
                <w:b w:val="true"/>
                <w:color w:val="FFFFFF"/>
                <w:spacing w:val="-6"/>
                <w:w w:val="100"/>
                <w:sz w:val="19"/>
                <w:vertAlign w:val="baseline"/>
                <w:lang w:val="en-US"/>
              </w:rPr>
              <w:t xml:space="preserve">Percentage of Those Receiving Colorectal Screening</w:t>
            </w:r>
          </w:p>
          <w:p>
            <w:pPr>
              <w:spacing w:before="48" w:after="1972" w:line="197" w:lineRule="exact"/>
              <w:ind w:right="380" w:left="0" w:firstLine="0"/>
              <w:jc w:val="right"/>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(2022)</w:t>
            </w:r>
          </w:p>
        </w:tc>
        <w:tc>
          <w:tcPr>
            <w:tcW w:w="11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998" w:line="243"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Those</w:t>
              <w:br/>
            </w:r>
            <w:r>
              <w:rPr>
                <w:rFonts w:ascii="Calibri" w:hAnsi="Calibri" w:eastAsia="Calibri"/>
                <w:b w:val="true"/>
                <w:color w:val="FFFFFF"/>
                <w:spacing w:val="0"/>
                <w:w w:val="100"/>
                <w:sz w:val="19"/>
                <w:vertAlign w:val="baseline"/>
                <w:lang w:val="en-US"/>
              </w:rPr>
              <w:t xml:space="preserve">who have</w:t>
              <w:br/>
            </w:r>
            <w:r>
              <w:rPr>
                <w:rFonts w:ascii="Calibri" w:hAnsi="Calibri" w:eastAsia="Calibri"/>
                <w:b w:val="true"/>
                <w:color w:val="FFFFFF"/>
                <w:spacing w:val="0"/>
                <w:w w:val="100"/>
                <w:sz w:val="19"/>
                <w:vertAlign w:val="baseline"/>
                <w:lang w:val="en-US"/>
              </w:rPr>
              <w:t xml:space="preserve">had a test</w:t>
              <w:br/>
            </w:r>
            <w:r>
              <w:rPr>
                <w:rFonts w:ascii="Calibri" w:hAnsi="Calibri" w:eastAsia="Calibri"/>
                <w:b w:val="true"/>
                <w:color w:val="FFFFFF"/>
                <w:spacing w:val="0"/>
                <w:w w:val="100"/>
                <w:sz w:val="19"/>
                <w:vertAlign w:val="baseline"/>
                <w:lang w:val="en-US"/>
              </w:rPr>
              <w:t xml:space="preserve">for High</w:t>
              <w:br/>
            </w:r>
            <w:r>
              <w:rPr>
                <w:rFonts w:ascii="Calibri" w:hAnsi="Calibri" w:eastAsia="Calibri"/>
                <w:b w:val="true"/>
                <w:color w:val="FFFFFF"/>
                <w:spacing w:val="0"/>
                <w:w w:val="100"/>
                <w:sz w:val="19"/>
                <w:vertAlign w:val="baseline"/>
                <w:lang w:val="en-US"/>
              </w:rPr>
              <w:t xml:space="preserve">Blood</w:t>
              <w:br/>
            </w:r>
            <w:r>
              <w:rPr>
                <w:rFonts w:ascii="Calibri" w:hAnsi="Calibri" w:eastAsia="Calibri"/>
                <w:b w:val="true"/>
                <w:color w:val="FFFFFF"/>
                <w:spacing w:val="0"/>
                <w:w w:val="100"/>
                <w:sz w:val="19"/>
                <w:vertAlign w:val="baseline"/>
                <w:lang w:val="en-US"/>
              </w:rPr>
              <w:t xml:space="preserve">Sugar/</w:t>
              <w:br/>
            </w:r>
            <w:r>
              <w:rPr>
                <w:rFonts w:ascii="Calibri" w:hAnsi="Calibri" w:eastAsia="Calibri"/>
                <w:b w:val="true"/>
                <w:color w:val="FFFFFF"/>
                <w:spacing w:val="0"/>
                <w:w w:val="100"/>
                <w:sz w:val="19"/>
                <w:vertAlign w:val="baseline"/>
                <w:lang w:val="en-US"/>
              </w:rPr>
              <w:t xml:space="preserve">Diabetes</w:t>
              <w:br/>
            </w:r>
            <w:r>
              <w:rPr>
                <w:rFonts w:ascii="Calibri" w:hAnsi="Calibri" w:eastAsia="Calibri"/>
                <w:b w:val="true"/>
                <w:color w:val="FFFFFF"/>
                <w:spacing w:val="0"/>
                <w:w w:val="100"/>
                <w:sz w:val="19"/>
                <w:vertAlign w:val="baseline"/>
                <w:lang w:val="en-US"/>
              </w:rPr>
              <w:t xml:space="preserve">Test</w:t>
              <w:br/>
            </w:r>
            <w:r>
              <w:rPr>
                <w:rFonts w:ascii="Calibri" w:hAnsi="Calibri" w:eastAsia="Calibri"/>
                <w:b w:val="true"/>
                <w:color w:val="FFFFFF"/>
                <w:spacing w:val="0"/>
                <w:w w:val="100"/>
                <w:sz w:val="19"/>
                <w:vertAlign w:val="baseline"/>
                <w:lang w:val="en-US"/>
              </w:rPr>
              <w:t xml:space="preserve">(2021)</w:t>
            </w:r>
          </w:p>
        </w:tc>
        <w:tc>
          <w:tcPr>
            <w:tcW w:w="1186"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9" w:line="243"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those</w:t>
              <w:br/>
            </w:r>
            <w:r>
              <w:rPr>
                <w:rFonts w:ascii="Calibri" w:hAnsi="Calibri" w:eastAsia="Calibri"/>
                <w:b w:val="true"/>
                <w:color w:val="FFFFFF"/>
                <w:spacing w:val="0"/>
                <w:w w:val="100"/>
                <w:sz w:val="19"/>
                <w:vertAlign w:val="baseline"/>
                <w:lang w:val="en-US"/>
              </w:rPr>
              <w:t xml:space="preserve">with an</w:t>
              <w:br/>
            </w:r>
            <w:r>
              <w:rPr>
                <w:rFonts w:ascii="Calibri" w:hAnsi="Calibri" w:eastAsia="Calibri"/>
                <w:b w:val="true"/>
                <w:color w:val="FFFFFF"/>
                <w:spacing w:val="0"/>
                <w:w w:val="100"/>
                <w:sz w:val="19"/>
                <w:vertAlign w:val="baseline"/>
                <w:lang w:val="en-US"/>
              </w:rPr>
              <w:t xml:space="preserve">income &lt;</w:t>
              <w:br/>
            </w:r>
            <w:r>
              <w:rPr>
                <w:rFonts w:ascii="Calibri" w:hAnsi="Calibri" w:eastAsia="Calibri"/>
                <w:b w:val="true"/>
                <w:color w:val="FFFFFF"/>
                <w:spacing w:val="0"/>
                <w:w w:val="100"/>
                <w:sz w:val="19"/>
                <w:vertAlign w:val="baseline"/>
                <w:lang w:val="en-US"/>
              </w:rPr>
              <w:t xml:space="preserve">$25,000</w:t>
              <w:br/>
            </w:r>
            <w:r>
              <w:rPr>
                <w:rFonts w:ascii="Calibri" w:hAnsi="Calibri" w:eastAsia="Calibri"/>
                <w:b w:val="true"/>
                <w:color w:val="FFFFFF"/>
                <w:spacing w:val="0"/>
                <w:w w:val="100"/>
                <w:sz w:val="19"/>
                <w:vertAlign w:val="baseline"/>
                <w:lang w:val="en-US"/>
              </w:rPr>
              <w:t xml:space="preserve">who have</w:t>
              <w:br/>
            </w:r>
            <w:r>
              <w:rPr>
                <w:rFonts w:ascii="Calibri" w:hAnsi="Calibri" w:eastAsia="Calibri"/>
                <w:b w:val="true"/>
                <w:color w:val="FFFFFF"/>
                <w:spacing w:val="0"/>
                <w:w w:val="100"/>
                <w:sz w:val="19"/>
                <w:vertAlign w:val="baseline"/>
                <w:lang w:val="en-US"/>
              </w:rPr>
              <w:t xml:space="preserve">had a test</w:t>
              <w:br/>
            </w:r>
            <w:r>
              <w:rPr>
                <w:rFonts w:ascii="Calibri" w:hAnsi="Calibri" w:eastAsia="Calibri"/>
                <w:b w:val="true"/>
                <w:color w:val="FFFFFF"/>
                <w:spacing w:val="0"/>
                <w:w w:val="100"/>
                <w:sz w:val="19"/>
                <w:vertAlign w:val="baseline"/>
                <w:lang w:val="en-US"/>
              </w:rPr>
              <w:t xml:space="preserve">for High</w:t>
              <w:br/>
            </w:r>
            <w:r>
              <w:rPr>
                <w:rFonts w:ascii="Calibri" w:hAnsi="Calibri" w:eastAsia="Calibri"/>
                <w:b w:val="true"/>
                <w:color w:val="FFFFFF"/>
                <w:spacing w:val="0"/>
                <w:w w:val="100"/>
                <w:sz w:val="19"/>
                <w:vertAlign w:val="baseline"/>
                <w:lang w:val="en-US"/>
              </w:rPr>
              <w:t xml:space="preserve">Blood</w:t>
              <w:br/>
            </w:r>
            <w:r>
              <w:rPr>
                <w:rFonts w:ascii="Calibri" w:hAnsi="Calibri" w:eastAsia="Calibri"/>
                <w:b w:val="true"/>
                <w:color w:val="FFFFFF"/>
                <w:spacing w:val="0"/>
                <w:w w:val="100"/>
                <w:sz w:val="19"/>
                <w:vertAlign w:val="baseline"/>
                <w:lang w:val="en-US"/>
              </w:rPr>
              <w:t xml:space="preserve">Sugar/</w:t>
              <w:br/>
            </w:r>
            <w:r>
              <w:rPr>
                <w:rFonts w:ascii="Calibri" w:hAnsi="Calibri" w:eastAsia="Calibri"/>
                <w:b w:val="true"/>
                <w:color w:val="FFFFFF"/>
                <w:spacing w:val="0"/>
                <w:w w:val="100"/>
                <w:sz w:val="19"/>
                <w:vertAlign w:val="baseline"/>
                <w:lang w:val="en-US"/>
              </w:rPr>
              <w:t xml:space="preserve">Diabetes</w:t>
              <w:br/>
            </w:r>
            <w:r>
              <w:rPr>
                <w:rFonts w:ascii="Calibri" w:hAnsi="Calibri" w:eastAsia="Calibri"/>
                <w:b w:val="true"/>
                <w:color w:val="FFFFFF"/>
                <w:spacing w:val="0"/>
                <w:w w:val="100"/>
                <w:sz w:val="19"/>
                <w:vertAlign w:val="baseline"/>
                <w:lang w:val="en-US"/>
              </w:rPr>
              <w:t xml:space="preserve">(2018)</w:t>
              <w:br/>
            </w:r>
            <w:r>
              <w:rPr>
                <w:rFonts w:ascii="Calibri" w:hAnsi="Calibri" w:eastAsia="Calibri"/>
                <w:b w:val="true"/>
                <w:color w:val="FFFFFF"/>
                <w:spacing w:val="0"/>
                <w:w w:val="100"/>
                <w:sz w:val="19"/>
                <w:vertAlign w:val="baseline"/>
                <w:lang w:val="en-US"/>
              </w:rPr>
              <w:t xml:space="preserve">(NYS =</w:t>
              <w:br/>
            </w:r>
            <w:r>
              <w:rPr>
                <w:rFonts w:ascii="Calibri" w:hAnsi="Calibri" w:eastAsia="Calibri"/>
                <w:b w:val="true"/>
                <w:color w:val="FFFFFF"/>
                <w:spacing w:val="0"/>
                <w:w w:val="100"/>
                <w:sz w:val="19"/>
                <w:vertAlign w:val="baseline"/>
                <w:lang w:val="en-US"/>
              </w:rPr>
              <w:t xml:space="preserve">62.2%)</w:t>
            </w:r>
          </w:p>
        </w:tc>
        <w:tc>
          <w:tcPr>
            <w:tcW w:w="11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483" w:line="243" w:lineRule="exact"/>
              <w:ind w:right="0" w:left="0" w:firstLine="0"/>
              <w:jc w:val="center"/>
              <w:textAlignment w:val="baseline"/>
              <w:rPr>
                <w:rFonts w:ascii="Calibri" w:hAnsi="Calibri" w:eastAsia="Calibri"/>
                <w:b w:val="true"/>
                <w:color w:val="FFFFFF"/>
                <w:spacing w:val="0"/>
                <w:w w:val="100"/>
                <w:sz w:val="19"/>
                <w:vertAlign w:val="baseline"/>
                <w:lang w:val="en-US"/>
              </w:rPr>
            </w:pPr>
            <w:r>
              <w:rPr>
                <w:rFonts w:ascii="Calibri" w:hAnsi="Calibri" w:eastAsia="Calibri"/>
                <w:b w:val="true"/>
                <w:color w:val="FFFFFF"/>
                <w:spacing w:val="0"/>
                <w:w w:val="100"/>
                <w:sz w:val="19"/>
                <w:vertAlign w:val="baseline"/>
                <w:lang w:val="en-US"/>
              </w:rPr>
              <w:t xml:space="preserve">Percentage</w:t>
              <w:br/>
            </w:r>
            <w:r>
              <w:rPr>
                <w:rFonts w:ascii="Calibri" w:hAnsi="Calibri" w:eastAsia="Calibri"/>
                <w:b w:val="true"/>
                <w:color w:val="FFFFFF"/>
                <w:spacing w:val="0"/>
                <w:w w:val="100"/>
                <w:sz w:val="19"/>
                <w:vertAlign w:val="baseline"/>
                <w:lang w:val="en-US"/>
              </w:rPr>
              <w:t xml:space="preserve">of those</w:t>
              <w:br/>
            </w:r>
            <w:r>
              <w:rPr>
                <w:rFonts w:ascii="Calibri" w:hAnsi="Calibri" w:eastAsia="Calibri"/>
                <w:b w:val="true"/>
                <w:color w:val="FFFFFF"/>
                <w:spacing w:val="0"/>
                <w:w w:val="100"/>
                <w:sz w:val="19"/>
                <w:vertAlign w:val="baseline"/>
                <w:lang w:val="en-US"/>
              </w:rPr>
              <w:t xml:space="preserve">Diagnosed</w:t>
              <w:br/>
            </w:r>
            <w:r>
              <w:rPr>
                <w:rFonts w:ascii="Calibri" w:hAnsi="Calibri" w:eastAsia="Calibri"/>
                <w:b w:val="true"/>
                <w:color w:val="FFFFFF"/>
                <w:spacing w:val="0"/>
                <w:w w:val="100"/>
                <w:sz w:val="19"/>
                <w:vertAlign w:val="baseline"/>
                <w:lang w:val="en-US"/>
              </w:rPr>
              <w:t xml:space="preserve">with High</w:t>
              <w:br/>
            </w:r>
            <w:r>
              <w:rPr>
                <w:rFonts w:ascii="Calibri" w:hAnsi="Calibri" w:eastAsia="Calibri"/>
                <w:b w:val="true"/>
                <w:color w:val="FFFFFF"/>
                <w:spacing w:val="0"/>
                <w:w w:val="100"/>
                <w:sz w:val="19"/>
                <w:vertAlign w:val="baseline"/>
                <w:lang w:val="en-US"/>
              </w:rPr>
              <w:t xml:space="preserve">Blood</w:t>
              <w:br/>
            </w:r>
            <w:r>
              <w:rPr>
                <w:rFonts w:ascii="Calibri" w:hAnsi="Calibri" w:eastAsia="Calibri"/>
                <w:b w:val="true"/>
                <w:color w:val="FFFFFF"/>
                <w:spacing w:val="0"/>
                <w:w w:val="100"/>
                <w:sz w:val="19"/>
                <w:vertAlign w:val="baseline"/>
                <w:lang w:val="en-US"/>
              </w:rPr>
              <w:t xml:space="preserve">Pressure</w:t>
              <w:br/>
            </w:r>
            <w:r>
              <w:rPr>
                <w:rFonts w:ascii="Calibri" w:hAnsi="Calibri" w:eastAsia="Calibri"/>
                <w:b w:val="true"/>
                <w:color w:val="FFFFFF"/>
                <w:spacing w:val="0"/>
                <w:w w:val="100"/>
                <w:sz w:val="19"/>
                <w:vertAlign w:val="baseline"/>
                <w:lang w:val="en-US"/>
              </w:rPr>
              <w:t xml:space="preserve">(18+)</w:t>
              <w:br/>
            </w:r>
            <w:r>
              <w:rPr>
                <w:rFonts w:ascii="Calibri" w:hAnsi="Calibri" w:eastAsia="Calibri"/>
                <w:b w:val="true"/>
                <w:color w:val="FFFFFF"/>
                <w:spacing w:val="0"/>
                <w:w w:val="100"/>
                <w:sz w:val="19"/>
                <w:vertAlign w:val="baseline"/>
                <w:lang w:val="en-US"/>
              </w:rPr>
              <w:t xml:space="preserve">(2021)</w:t>
            </w:r>
          </w:p>
        </w:tc>
      </w:tr>
      <w:tr>
        <w:trPr>
          <w:trHeight w:val="278"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9" w:line="227"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74.4</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32" w:after="16"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61.3</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66.9</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52.8</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29.7</w:t>
            </w:r>
          </w:p>
        </w:tc>
      </w:tr>
      <w:tr>
        <w:trPr>
          <w:trHeight w:val="279"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1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694"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w:t>
            </w:r>
          </w:p>
        </w:tc>
        <w:tc>
          <w:tcPr>
            <w:tcW w:w="1267"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61.6</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75.4</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28.8</w:t>
            </w:r>
          </w:p>
        </w:tc>
      </w:tr>
      <w:tr>
        <w:trPr>
          <w:trHeight w:val="278"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14"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75.9</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32" w:after="2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65.3</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63.2</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56.6</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2"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28.9</w:t>
            </w:r>
          </w:p>
        </w:tc>
      </w:tr>
      <w:tr>
        <w:trPr>
          <w:trHeight w:val="278"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73.7</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0" w:after="2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61.4</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62.9</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63.4</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28.8</w:t>
            </w:r>
          </w:p>
        </w:tc>
      </w:tr>
      <w:tr>
        <w:trPr>
          <w:trHeight w:val="279"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1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694"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73</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33" w:after="2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47</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61.3</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63.3</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64.3</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31.9</w:t>
            </w:r>
          </w:p>
        </w:tc>
      </w:tr>
      <w:tr>
        <w:trPr>
          <w:trHeight w:val="278"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76.9</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0" w:after="2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59.9</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59.4</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49.5</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29.8</w:t>
            </w:r>
          </w:p>
        </w:tc>
      </w:tr>
      <w:tr>
        <w:trPr>
          <w:trHeight w:val="279"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9"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79.6</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62.3</w:t>
            </w:r>
          </w:p>
        </w:tc>
        <w:tc>
          <w:tcPr>
            <w:tcW w:w="1138"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51.4</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29.1</w:t>
            </w:r>
          </w:p>
        </w:tc>
      </w:tr>
      <w:tr>
        <w:trPr>
          <w:trHeight w:val="282" w:hRule="exact"/>
        </w:trPr>
        <w:tc>
          <w:tcPr>
            <w:tcW w:w="1234"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4" w:line="226" w:lineRule="exact"/>
              <w:ind w:right="0" w:left="11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694" w:type="dxa"/>
            <w:tcBorders>
              <w:top w:val="single" w:sz="5" w:color="000000"/>
              <w:left w:val="single" w:sz="5" w:color="000000"/>
              <w:bottom w:val="single" w:sz="5" w:color="000000"/>
              <w:right w:val="single" w:sz="5" w:color="000000"/>
            </w:tcBorders>
            <w:textDirection w:val="lrTb"/>
            <w:vAlign w:val="center"/>
          </w:tcPr>
          <w:p>
            <w:pPr>
              <w:tabs>
                <w:tab w:val="decimal" w:leader="none" w:pos="1440"/>
              </w:tabs>
              <w:spacing w:before="0"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75.5</w:t>
            </w:r>
          </w:p>
        </w:tc>
        <w:tc>
          <w:tcPr>
            <w:tcW w:w="1699" w:type="dxa"/>
            <w:tcBorders>
              <w:top w:val="single" w:sz="5" w:color="000000"/>
              <w:left w:val="single" w:sz="5" w:color="000000"/>
              <w:bottom w:val="single" w:sz="5" w:color="000000"/>
              <w:right w:val="single" w:sz="5" w:color="000000"/>
            </w:tcBorders>
            <w:textDirection w:val="lrTb"/>
            <w:vAlign w:val="center"/>
          </w:tcPr>
          <w:p>
            <w:pPr>
              <w:spacing w:before="0" w:after="30"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55</w:t>
            </w:r>
          </w:p>
        </w:tc>
        <w:tc>
          <w:tcPr>
            <w:tcW w:w="1267" w:type="dxa"/>
            <w:tcBorders>
              <w:top w:val="single" w:sz="5" w:color="000000"/>
              <w:left w:val="single" w:sz="5" w:color="000000"/>
              <w:bottom w:val="single" w:sz="5" w:color="000000"/>
              <w:right w:val="single" w:sz="5" w:color="000000"/>
            </w:tcBorders>
            <w:textDirection w:val="lrTb"/>
            <w:vAlign w:val="center"/>
          </w:tcPr>
          <w:p>
            <w:pPr>
              <w:tabs>
                <w:tab w:val="decimal" w:leader="none" w:pos="1008"/>
              </w:tabs>
              <w:spacing w:before="0"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63.2</w:t>
            </w:r>
          </w:p>
        </w:tc>
        <w:tc>
          <w:tcPr>
            <w:tcW w:w="1138"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69.6</w:t>
            </w:r>
          </w:p>
        </w:tc>
        <w:tc>
          <w:tcPr>
            <w:tcW w:w="1186" w:type="dxa"/>
            <w:tcBorders>
              <w:top w:val="single" w:sz="5" w:color="000000"/>
              <w:left w:val="single" w:sz="5" w:color="000000"/>
              <w:bottom w:val="single" w:sz="5" w:color="000000"/>
              <w:right w:val="single" w:sz="5" w:color="000000"/>
            </w:tcBorders>
            <w:textDirection w:val="lrTb"/>
            <w:vAlign w:val="center"/>
          </w:tcPr>
          <w:p>
            <w:pPr>
              <w:tabs>
                <w:tab w:val="decimal" w:leader="none" w:pos="936"/>
              </w:tabs>
              <w:spacing w:before="0"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48.7</w:t>
            </w:r>
          </w:p>
        </w:tc>
        <w:tc>
          <w:tcPr>
            <w:tcW w:w="1142" w:type="dxa"/>
            <w:tcBorders>
              <w:top w:val="single" w:sz="5" w:color="000000"/>
              <w:left w:val="single" w:sz="5" w:color="000000"/>
              <w:bottom w:val="single" w:sz="5" w:color="000000"/>
              <w:right w:val="single" w:sz="5" w:color="000000"/>
            </w:tcBorders>
            <w:textDirection w:val="lrTb"/>
            <w:vAlign w:val="center"/>
          </w:tcPr>
          <w:p>
            <w:pPr>
              <w:tabs>
                <w:tab w:val="decimal" w:leader="none" w:pos="864"/>
              </w:tabs>
              <w:spacing w:before="0" w:after="3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30.1</w:t>
            </w:r>
          </w:p>
        </w:tc>
      </w:tr>
    </w:tbl>
    <w:p>
      <w:pPr>
        <w:spacing w:before="0" w:after="0" w:line="210" w:lineRule="exact"/>
        <w:ind w:right="1656"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Sources: County Health Rankings, American Medical Association, National Provider Identifier, Healthy People 2020, NYS Prevention Agenda, Statewide Perinatal Data System, National Center for Health Statistics, CDC, Vital Records, Behavioral Risk Factor Surveillance System, NYS Medicaid Program, IAP Baseline Report, NYSIIS Performance Report, Child Health Plus.</w:t>
      </w:r>
    </w:p>
    <w:p>
      <w:pPr>
        <w:spacing w:before="244" w:after="0" w:line="242" w:lineRule="exact"/>
        <w:ind w:right="0" w:left="1440" w:firstLine="0"/>
        <w:jc w:val="left"/>
        <w:textAlignment w:val="baseline"/>
        <w:rPr>
          <w:rFonts w:ascii="Calibri" w:hAnsi="Calibri" w:eastAsia="Calibri"/>
          <w:b w:val="true"/>
          <w:i w:val="true"/>
          <w:color w:val="000000"/>
          <w:spacing w:val="-1"/>
          <w:w w:val="100"/>
          <w:sz w:val="22"/>
          <w:vertAlign w:val="baseline"/>
          <w:lang w:val="en-US"/>
        </w:rPr>
      </w:pPr>
      <w:r>
        <w:rPr>
          <w:rFonts w:ascii="Calibri" w:hAnsi="Calibri" w:eastAsia="Calibri"/>
          <w:b w:val="true"/>
          <w:i w:val="true"/>
          <w:color w:val="000000"/>
          <w:spacing w:val="-1"/>
          <w:w w:val="100"/>
          <w:sz w:val="22"/>
          <w:vertAlign w:val="baseline"/>
          <w:lang w:val="en-US"/>
        </w:rPr>
        <w:t xml:space="preserve">Oral Care</w:t>
      </w:r>
    </w:p>
    <w:p>
      <w:pPr>
        <w:spacing w:before="142" w:after="2477"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Oral care is important to overall health. Lack of dental insurance, insufficient provider numbers, and lack of dentists willing to see Medicaid clients contribute to residents’ inability to access preventive and acute dental care. Table 17 describes the state of dental care in the region. All data points demonstrate room for improvement, particularly Medicaid preventive visits for those ages 2-20 as early preventive care prevents future chronic conditions. (Table 18)</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59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7pt" strokecolor="#145F82" from="0pt,0.9pt" to="612.05pt,0.9pt" style="position:absolute;mso-position-horizontal-relative:text;mso-position-vertical-relative:text;">
            <v:stroke dashstyle="solid"/>
          </v:line>
        </w:pict>
      </w:r>
    </w:p>
    <w:p>
      <w:pPr>
        <w:sectPr>
          <w:type w:val="nextPage"/>
          <w:pgSz w:w="12240" w:h="15840" w:orient="portrait"/>
          <w:pgMar w:bottom="604" w:top="720" w:right="0" w:left="0" w:header="720" w:footer="720"/>
          <w:titlePg w:val="false"/>
          <w:textDirection w:val="lrTb"/>
        </w:sectPr>
      </w:pPr>
    </w:p>
    <w:p>
      <w:pPr>
        <w:spacing w:before="20" w:after="202" w:line="179" w:lineRule="exact"/>
        <w:ind w:right="0" w:left="0" w:firstLine="0"/>
        <w:jc w:val="left"/>
        <w:textAlignment w:val="baseline"/>
        <w:rPr>
          <w:rFonts w:ascii="Calibri" w:hAnsi="Calibri" w:eastAsia="Calibri"/>
          <w:i w:val="true"/>
          <w:color w:val="0E2841"/>
          <w:spacing w:val="-1"/>
          <w:w w:val="100"/>
          <w:sz w:val="18"/>
          <w:vertAlign w:val="baseline"/>
          <w:lang w:val="en-US"/>
        </w:rPr>
      </w:pPr>
      <w:r>
        <w:rPr>
          <w:rFonts w:ascii="Calibri" w:hAnsi="Calibri" w:eastAsia="Calibri"/>
          <w:i w:val="true"/>
          <w:color w:val="0E2841"/>
          <w:spacing w:val="-1"/>
          <w:w w:val="100"/>
          <w:sz w:val="18"/>
          <w:vertAlign w:val="baseline"/>
          <w:lang w:val="en-US"/>
        </w:rPr>
        <w:t xml:space="preserve">Table 18: Oral Care</w:t>
      </w:r>
    </w:p>
    <w:tbl>
      <w:tblPr>
        <w:jc w:val="left"/>
        <w:tblInd w:w="14" w:type="dxa"/>
        <w:tblLayout w:type="fixed"/>
        <w:tblCellMar>
          <w:left w:w="0" w:type="dxa"/>
          <w:right w:w="0" w:type="dxa"/>
        </w:tblCellMar>
      </w:tblPr>
      <w:tblGrid>
        <w:gridCol w:w="1488"/>
        <w:gridCol w:w="1733"/>
        <w:gridCol w:w="1723"/>
        <w:gridCol w:w="1733"/>
        <w:gridCol w:w="1728"/>
        <w:gridCol w:w="1733"/>
      </w:tblGrid>
      <w:tr>
        <w:trPr>
          <w:trHeight w:val="1090" w:hRule="exact"/>
        </w:trPr>
        <w:tc>
          <w:tcPr>
            <w:tcW w:w="148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4" w:after="815" w:line="230" w:lineRule="exact"/>
              <w:ind w:right="418"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County</w:t>
            </w:r>
          </w:p>
        </w:tc>
        <w:tc>
          <w:tcPr>
            <w:tcW w:w="173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4"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Adult Dental</w:t>
              <w:br/>
            </w:r>
            <w:r>
              <w:rPr>
                <w:rFonts w:ascii="Calibri" w:hAnsi="Calibri" w:eastAsia="Calibri"/>
                <w:b w:val="true"/>
                <w:color w:val="FFFFFF"/>
                <w:spacing w:val="0"/>
                <w:w w:val="100"/>
                <w:sz w:val="23"/>
                <w:vertAlign w:val="baseline"/>
                <w:lang w:val="en-US"/>
              </w:rPr>
              <w:t xml:space="preserve">Visits (%)</w:t>
            </w:r>
          </w:p>
          <w:p>
            <w:pPr>
              <w:spacing w:before="44" w:after="282" w:line="225" w:lineRule="exact"/>
              <w:ind w:right="561"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(2019)</w:t>
            </w:r>
          </w:p>
        </w:tc>
        <w:tc>
          <w:tcPr>
            <w:tcW w:w="172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66"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Medicaid Visits</w:t>
              <w:br/>
            </w:r>
            <w:r>
              <w:rPr>
                <w:rFonts w:ascii="Calibri" w:hAnsi="Calibri" w:eastAsia="Calibri"/>
                <w:b w:val="true"/>
                <w:color w:val="FFFFFF"/>
                <w:spacing w:val="0"/>
                <w:w w:val="100"/>
                <w:sz w:val="23"/>
                <w:vertAlign w:val="baseline"/>
                <w:lang w:val="en-US"/>
              </w:rPr>
              <w:t xml:space="preserve">(age 2-20) (%)</w:t>
            </w:r>
          </w:p>
          <w:p>
            <w:pPr>
              <w:spacing w:before="40" w:after="282" w:line="225" w:lineRule="exact"/>
              <w:ind w:right="56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(2023)</w:t>
            </w:r>
          </w:p>
        </w:tc>
        <w:tc>
          <w:tcPr>
            <w:tcW w:w="173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34" w:after="0" w:line="225" w:lineRule="exact"/>
              <w:ind w:right="12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Medicaid Visits</w:t>
            </w:r>
          </w:p>
          <w:p>
            <w:pPr>
              <w:spacing w:before="44" w:after="0" w:line="225" w:lineRule="exact"/>
              <w:ind w:right="66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w:t>
            </w:r>
          </w:p>
          <w:p>
            <w:pPr>
              <w:spacing w:before="44" w:after="282" w:line="225" w:lineRule="exact"/>
              <w:ind w:right="570"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(2023)</w:t>
            </w:r>
          </w:p>
        </w:tc>
        <w:tc>
          <w:tcPr>
            <w:tcW w:w="172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3" w:line="266"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Medicaid</w:t>
              <w:br/>
            </w:r>
            <w:r>
              <w:rPr>
                <w:rFonts w:ascii="Calibri" w:hAnsi="Calibri" w:eastAsia="Calibri"/>
                <w:b w:val="true"/>
                <w:color w:val="FFFFFF"/>
                <w:spacing w:val="0"/>
                <w:w w:val="100"/>
                <w:sz w:val="23"/>
                <w:vertAlign w:val="baseline"/>
                <w:lang w:val="en-US"/>
              </w:rPr>
              <w:t xml:space="preserve">Preventive Visit</w:t>
              <w:br/>
            </w:r>
            <w:r>
              <w:rPr>
                <w:rFonts w:ascii="Calibri" w:hAnsi="Calibri" w:eastAsia="Calibri"/>
                <w:b w:val="true"/>
                <w:color w:val="FFFFFF"/>
                <w:spacing w:val="0"/>
                <w:w w:val="100"/>
                <w:sz w:val="23"/>
                <w:vertAlign w:val="baseline"/>
                <w:lang w:val="en-US"/>
              </w:rPr>
              <w:t xml:space="preserve">(%)</w:t>
              <w:br/>
            </w:r>
            <w:r>
              <w:rPr>
                <w:rFonts w:ascii="Calibri" w:hAnsi="Calibri" w:eastAsia="Calibri"/>
                <w:b w:val="true"/>
                <w:color w:val="FFFFFF"/>
                <w:spacing w:val="0"/>
                <w:w w:val="100"/>
                <w:sz w:val="23"/>
                <w:vertAlign w:val="baseline"/>
                <w:lang w:val="en-US"/>
              </w:rPr>
              <w:t xml:space="preserve">(2023)</w:t>
            </w:r>
          </w:p>
        </w:tc>
        <w:tc>
          <w:tcPr>
            <w:tcW w:w="173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3" w:line="266"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Medicaid</w:t>
              <w:br/>
            </w:r>
            <w:r>
              <w:rPr>
                <w:rFonts w:ascii="Calibri" w:hAnsi="Calibri" w:eastAsia="Calibri"/>
                <w:b w:val="true"/>
                <w:color w:val="FFFFFF"/>
                <w:spacing w:val="0"/>
                <w:w w:val="100"/>
                <w:sz w:val="23"/>
                <w:vertAlign w:val="baseline"/>
                <w:lang w:val="en-US"/>
              </w:rPr>
              <w:t xml:space="preserve">Preventive Visit</w:t>
              <w:br/>
            </w:r>
            <w:r>
              <w:rPr>
                <w:rFonts w:ascii="Calibri" w:hAnsi="Calibri" w:eastAsia="Calibri"/>
                <w:b w:val="true"/>
                <w:color w:val="FFFFFF"/>
                <w:spacing w:val="0"/>
                <w:w w:val="100"/>
                <w:sz w:val="23"/>
                <w:vertAlign w:val="baseline"/>
                <w:lang w:val="en-US"/>
              </w:rPr>
              <w:t xml:space="preserve">(age 2-20) (%)</w:t>
              <w:br/>
            </w:r>
            <w:r>
              <w:rPr>
                <w:rFonts w:ascii="Calibri" w:hAnsi="Calibri" w:eastAsia="Calibri"/>
                <w:b w:val="true"/>
                <w:color w:val="FFFFFF"/>
                <w:spacing w:val="0"/>
                <w:w w:val="100"/>
                <w:sz w:val="23"/>
                <w:vertAlign w:val="baseline"/>
                <w:lang w:val="en-US"/>
              </w:rPr>
              <w:t xml:space="preserve">(2023)</w:t>
            </w:r>
          </w:p>
        </w:tc>
      </w:tr>
      <w:tr>
        <w:trPr>
          <w:trHeight w:val="27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9"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Chemung</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65.4</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43.3</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25.2</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21.4</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40.8</w:t>
            </w:r>
          </w:p>
        </w:tc>
      </w:tr>
      <w:tr>
        <w:trPr>
          <w:trHeight w:val="27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Livingston</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69.9</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41.3</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26.7</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22.7</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38.7</w:t>
            </w:r>
          </w:p>
        </w:tc>
      </w:tr>
      <w:tr>
        <w:trPr>
          <w:trHeight w:val="279"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3" w:line="225"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Ontario</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74.5</w:t>
            </w:r>
          </w:p>
        </w:tc>
        <w:tc>
          <w:tcPr>
            <w:tcW w:w="1723"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11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w:t>
            </w:r>
          </w:p>
        </w:tc>
        <w:tc>
          <w:tcPr>
            <w:tcW w:w="1733" w:type="dxa"/>
            <w:tcBorders>
              <w:top w:val="single" w:sz="5" w:color="000000"/>
              <w:left w:val="single" w:sz="5" w:color="000000"/>
              <w:bottom w:val="single" w:sz="5" w:color="000000"/>
              <w:right w:val="single" w:sz="5" w:color="000000"/>
            </w:tcBorders>
            <w:textDirection w:val="lrTb"/>
            <w:vAlign w:val="center"/>
          </w:tcPr>
          <w:p>
            <w:pPr>
              <w:spacing w:before="33" w:after="15" w:line="220" w:lineRule="exact"/>
              <w:ind w:right="12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21.1</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1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37.1</w:t>
            </w:r>
          </w:p>
        </w:tc>
      </w:tr>
      <w:tr>
        <w:trPr>
          <w:trHeight w:val="27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8" w:line="230"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Schuyler</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58.4</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43.6</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24.3</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20.6</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40.5</w:t>
            </w:r>
          </w:p>
        </w:tc>
      </w:tr>
      <w:tr>
        <w:trPr>
          <w:trHeight w:val="279"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8" w:line="225"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Seneca</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69.1</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34.8</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21.6</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17.4</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0"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30.9</w:t>
            </w:r>
          </w:p>
        </w:tc>
      </w:tr>
      <w:tr>
        <w:trPr>
          <w:trHeight w:val="27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4" w:line="225"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Steuben</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59.5</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41.1</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23.9</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20.2</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2" w:after="16"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38.5</w:t>
            </w:r>
          </w:p>
        </w:tc>
      </w:tr>
      <w:tr>
        <w:trPr>
          <w:trHeight w:val="27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19"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Wayne</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66.6</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39.4</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25.1</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20.6</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2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36.2</w:t>
            </w:r>
          </w:p>
        </w:tc>
      </w:tr>
      <w:tr>
        <w:trPr>
          <w:trHeight w:val="288" w:hRule="exact"/>
        </w:trPr>
        <w:tc>
          <w:tcPr>
            <w:tcW w:w="148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33" w:line="225"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Yates</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62.6</w:t>
            </w:r>
          </w:p>
        </w:tc>
        <w:tc>
          <w:tcPr>
            <w:tcW w:w="172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41.2</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25.1</w:t>
            </w:r>
          </w:p>
        </w:tc>
        <w:tc>
          <w:tcPr>
            <w:tcW w:w="1728"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21.1</w:t>
            </w:r>
          </w:p>
        </w:tc>
        <w:tc>
          <w:tcPr>
            <w:tcW w:w="1733" w:type="dxa"/>
            <w:tcBorders>
              <w:top w:val="single" w:sz="5" w:color="000000"/>
              <w:left w:val="single" w:sz="5" w:color="000000"/>
              <w:bottom w:val="single" w:sz="5" w:color="000000"/>
              <w:right w:val="single" w:sz="5" w:color="000000"/>
            </w:tcBorders>
            <w:textDirection w:val="lrTb"/>
            <w:vAlign w:val="center"/>
          </w:tcPr>
          <w:p>
            <w:pPr>
              <w:tabs>
                <w:tab w:val="decimal" w:leader="none" w:pos="1512"/>
              </w:tabs>
              <w:spacing w:before="33" w:after="35"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37.2</w:t>
            </w:r>
          </w:p>
        </w:tc>
      </w:tr>
    </w:tbl>
    <w:p>
      <w:pPr>
        <w:spacing w:before="0" w:after="0" w:line="208" w:lineRule="exact"/>
        <w:ind w:right="1008"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Sources: County Health Rankings, American Medical Association, National Provider Identifier, Healthy People 2020, NYS Prevention Agenda, Statewide Perinatal Data System, National Center for Health Statistics, CDC, Vital Records, Behavioral Risk Factor Surveillance System, NYS Medicaid Program, IAP Baseline Report, NYSIIS Performance Report, Child Health Plus.</w:t>
      </w:r>
    </w:p>
    <w:p>
      <w:pPr>
        <w:spacing w:before="175" w:after="0" w:line="290" w:lineRule="exact"/>
        <w:ind w:right="1368"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Lack of access to dental care, the use of non-fluorinated well water by many rural residents, and an emerging trend of municipalities removing fluoride from public water systems leave Finger Lakes residents at risk for oral diseases and disorders.</w:t>
      </w:r>
    </w:p>
    <w:p>
      <w:pPr>
        <w:spacing w:before="232" w:after="0" w:line="226" w:lineRule="exact"/>
        <w:ind w:right="0" w:left="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Emergency Department Visits and Preventable Hospitalizations</w:t>
      </w:r>
    </w:p>
    <w:p>
      <w:pPr>
        <w:spacing w:before="151" w:after="0" w:line="290" w:lineRule="exact"/>
        <w:ind w:right="864"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Emergency Departments may serve as the source of primary care for those who are underinsured or lack health insurance. In addition, lack of provider access may contribute to increased reliance on emergency rooms and may cause preventable hospitalizations. Migrant populations fearing deportation may defer medical care until an emergency room visit and subsequent hospitalization is necessary. Mennonite community members often self-treat common maladies and wait until they are experiencing advanced illnesses which require the use of an emergency room.</w:t>
      </w:r>
    </w:p>
    <w:p>
      <w:pPr>
        <w:spacing w:before="161" w:after="3211" w:line="290" w:lineRule="exact"/>
        <w:ind w:right="1008"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Many Finger Lakes counties exceed New York State averages for emergency department visits and preventable hospitalizations. Four counties exceed the state rate for behavioral health ED visits; four exceed the state rate for all preventable hospitalizations; and all but one county exceeds the state rate for all emergency department visits. The number of emergency department visits related to behavioral (suicidal thoughts, substance use, psychiatric disorders), and mental health (depressive disorders) are areas that may be improved. (Table 19)</w:t>
      </w:r>
    </w:p>
    <w:p>
      <w:pPr>
        <w:spacing w:before="161" w:after="3211" w:line="290" w:lineRule="exact"/>
        <w:sectPr>
          <w:type w:val="continuous"/>
          <w:pgSz w:w="12240" w:h="15840" w:orient="portrait"/>
          <w:pgMar w:bottom="604" w:top="720" w:right="634" w:left="1426" w:header="720" w:footer="720"/>
          <w:titlePg w:val="false"/>
          <w:textDirection w:val="lrTb"/>
        </w:sectPr>
      </w:pP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9pt" strokecolor="#145F82" from="0pt,1pt" to="612.05pt,1pt" style="position:absolute;mso-position-horizontal-relative:text;mso-position-vertical-relative:text;">
            <v:stroke dashstyle="solid"/>
          </v:line>
        </w:pict>
      </w:r>
    </w:p>
    <w:p>
      <w:pPr>
        <w:sectPr>
          <w:type w:val="continuous"/>
          <w:pgSz w:w="12240" w:h="15840" w:orient="portrait"/>
          <w:pgMar w:bottom="604" w:top="720" w:right="0" w:left="0" w:header="720" w:footer="720"/>
          <w:titlePg w:val="false"/>
          <w:textDirection w:val="lrTb"/>
        </w:sectPr>
      </w:pP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60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7pt" strokecolor="#145F82" from="0pt,0.9pt" to="612.05pt,0.9pt" style="position:absolute;mso-position-horizontal-relative:text;mso-position-vertical-relative:text;">
            <v:stroke dashstyle="solid"/>
          </v:line>
        </w:pict>
      </w:r>
    </w:p>
    <w:p>
      <w:pPr>
        <w:sectPr>
          <w:type w:val="nextPage"/>
          <w:pgSz w:w="12240" w:h="15840" w:orient="portrait"/>
          <w:pgMar w:bottom="604" w:top="720" w:right="0" w:left="0" w:header="720" w:footer="720"/>
          <w:titlePg w:val="false"/>
          <w:textDirection w:val="lrTb"/>
        </w:sectPr>
      </w:pPr>
    </w:p>
    <w:p>
      <w:pPr>
        <w:spacing w:before="20" w:after="201" w:line="180" w:lineRule="exact"/>
        <w:ind w:right="0" w:left="115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19: Emergency Department Visits and Preventable Hospitalizations</w:t>
      </w:r>
    </w:p>
    <w:tbl>
      <w:tblPr>
        <w:jc w:val="left"/>
        <w:tblInd w:w="1186" w:type="dxa"/>
        <w:tblLayout w:type="fixed"/>
        <w:tblCellMar>
          <w:left w:w="0" w:type="dxa"/>
          <w:right w:w="0" w:type="dxa"/>
        </w:tblCellMar>
      </w:tblPr>
      <w:tblGrid>
        <w:gridCol w:w="1618"/>
        <w:gridCol w:w="1982"/>
        <w:gridCol w:w="2150"/>
        <w:gridCol w:w="1748"/>
        <w:gridCol w:w="1862"/>
      </w:tblGrid>
      <w:tr>
        <w:trPr>
          <w:trHeight w:val="1090" w:hRule="exact"/>
        </w:trPr>
        <w:tc>
          <w:tcPr>
            <w:tcW w:w="1618"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41" w:after="412"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198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2" w:line="26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Emergency</w:t>
              <w:br/>
            </w:r>
            <w:r>
              <w:rPr>
                <w:rFonts w:ascii="Calibri" w:hAnsi="Calibri" w:eastAsia="Calibri"/>
                <w:b w:val="true"/>
                <w:color w:val="FFFFFF"/>
                <w:spacing w:val="0"/>
                <w:w w:val="100"/>
                <w:sz w:val="22"/>
                <w:vertAlign w:val="baseline"/>
                <w:lang w:val="en-US"/>
              </w:rPr>
              <w:t xml:space="preserve">Department Visits</w:t>
              <w:br/>
            </w:r>
            <w:r>
              <w:rPr>
                <w:rFonts w:ascii="Calibri" w:hAnsi="Calibri" w:eastAsia="Calibri"/>
                <w:b w:val="true"/>
                <w:color w:val="FFFFFF"/>
                <w:spacing w:val="0"/>
                <w:w w:val="100"/>
                <w:sz w:val="22"/>
                <w:vertAlign w:val="baseline"/>
                <w:lang w:val="en-US"/>
              </w:rPr>
              <w:t xml:space="preserve">(2023)</w:t>
              <w:br/>
            </w:r>
            <w:r>
              <w:rPr>
                <w:rFonts w:ascii="Calibri" w:hAnsi="Calibri" w:eastAsia="Calibri"/>
                <w:b w:val="true"/>
                <w:color w:val="FFFFFF"/>
                <w:spacing w:val="0"/>
                <w:w w:val="100"/>
                <w:sz w:val="22"/>
                <w:vertAlign w:val="baseline"/>
                <w:lang w:val="en-US"/>
              </w:rPr>
              <w:t xml:space="preserve">(NYS = 29,809)</w:t>
            </w:r>
          </w:p>
        </w:tc>
        <w:tc>
          <w:tcPr>
            <w:tcW w:w="2150"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2" w:line="26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Behavioral Health</w:t>
              <w:br/>
            </w:r>
            <w:r>
              <w:rPr>
                <w:rFonts w:ascii="Calibri" w:hAnsi="Calibri" w:eastAsia="Calibri"/>
                <w:b w:val="true"/>
                <w:color w:val="FFFFFF"/>
                <w:spacing w:val="0"/>
                <w:w w:val="100"/>
                <w:sz w:val="22"/>
                <w:vertAlign w:val="baseline"/>
                <w:lang w:val="en-US"/>
              </w:rPr>
              <w:t xml:space="preserve">Conditions ED Visits</w:t>
              <w:br/>
            </w:r>
            <w:r>
              <w:rPr>
                <w:rFonts w:ascii="Calibri" w:hAnsi="Calibri" w:eastAsia="Calibri"/>
                <w:b w:val="true"/>
                <w:color w:val="FFFFFF"/>
                <w:spacing w:val="0"/>
                <w:w w:val="100"/>
                <w:sz w:val="22"/>
                <w:vertAlign w:val="baseline"/>
                <w:lang w:val="en-US"/>
              </w:rPr>
              <w:t xml:space="preserve">(2023)</w:t>
              <w:br/>
            </w:r>
            <w:r>
              <w:rPr>
                <w:rFonts w:ascii="Calibri" w:hAnsi="Calibri" w:eastAsia="Calibri"/>
                <w:b w:val="true"/>
                <w:color w:val="FFFFFF"/>
                <w:spacing w:val="0"/>
                <w:w w:val="100"/>
                <w:sz w:val="22"/>
                <w:vertAlign w:val="baseline"/>
                <w:lang w:val="en-US"/>
              </w:rPr>
              <w:t xml:space="preserve">(NYS = 6,872)</w:t>
            </w:r>
          </w:p>
        </w:tc>
        <w:tc>
          <w:tcPr>
            <w:tcW w:w="174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2" w:line="26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Mental</w:t>
              <w:br/>
            </w:r>
            <w:r>
              <w:rPr>
                <w:rFonts w:ascii="Calibri" w:hAnsi="Calibri" w:eastAsia="Calibri"/>
                <w:b w:val="true"/>
                <w:color w:val="FFFFFF"/>
                <w:spacing w:val="0"/>
                <w:w w:val="100"/>
                <w:sz w:val="22"/>
                <w:vertAlign w:val="baseline"/>
                <w:lang w:val="en-US"/>
              </w:rPr>
              <w:t xml:space="preserve">Health ED Visits</w:t>
              <w:br/>
            </w:r>
            <w:r>
              <w:rPr>
                <w:rFonts w:ascii="Calibri" w:hAnsi="Calibri" w:eastAsia="Calibri"/>
                <w:b w:val="true"/>
                <w:color w:val="FFFFFF"/>
                <w:spacing w:val="0"/>
                <w:w w:val="100"/>
                <w:sz w:val="22"/>
                <w:vertAlign w:val="baseline"/>
                <w:lang w:val="en-US"/>
              </w:rPr>
              <w:t xml:space="preserve">(2023)</w:t>
              <w:br/>
            </w:r>
            <w:r>
              <w:rPr>
                <w:rFonts w:ascii="Calibri" w:hAnsi="Calibri" w:eastAsia="Calibri"/>
                <w:b w:val="true"/>
                <w:color w:val="FFFFFF"/>
                <w:spacing w:val="0"/>
                <w:w w:val="100"/>
                <w:sz w:val="22"/>
                <w:vertAlign w:val="baseline"/>
                <w:lang w:val="en-US"/>
              </w:rPr>
              <w:t xml:space="preserve">(NYS = 3,370)</w:t>
            </w:r>
          </w:p>
        </w:tc>
        <w:tc>
          <w:tcPr>
            <w:tcW w:w="186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2" w:line="26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Preventable</w:t>
              <w:br/>
            </w:r>
            <w:r>
              <w:rPr>
                <w:rFonts w:ascii="Calibri" w:hAnsi="Calibri" w:eastAsia="Calibri"/>
                <w:b w:val="true"/>
                <w:color w:val="FFFFFF"/>
                <w:spacing w:val="0"/>
                <w:w w:val="100"/>
                <w:sz w:val="22"/>
                <w:vertAlign w:val="baseline"/>
                <w:lang w:val="en-US"/>
              </w:rPr>
              <w:t xml:space="preserve">Hospitalizations</w:t>
              <w:br/>
            </w:r>
            <w:r>
              <w:rPr>
                <w:rFonts w:ascii="Calibri" w:hAnsi="Calibri" w:eastAsia="Calibri"/>
                <w:b w:val="true"/>
                <w:color w:val="FFFFFF"/>
                <w:spacing w:val="0"/>
                <w:w w:val="100"/>
                <w:sz w:val="22"/>
                <w:vertAlign w:val="baseline"/>
                <w:lang w:val="en-US"/>
              </w:rPr>
              <w:t xml:space="preserve">(2023)</w:t>
              <w:br/>
            </w:r>
            <w:r>
              <w:rPr>
                <w:rFonts w:ascii="Calibri" w:hAnsi="Calibri" w:eastAsia="Calibri"/>
                <w:b w:val="true"/>
                <w:color w:val="FFFFFF"/>
                <w:spacing w:val="0"/>
                <w:w w:val="100"/>
                <w:sz w:val="22"/>
                <w:vertAlign w:val="baseline"/>
                <w:lang w:val="en-US"/>
              </w:rPr>
              <w:t xml:space="preserve">(NYS = 808)</w:t>
            </w:r>
          </w:p>
        </w:tc>
      </w:tr>
      <w:tr>
        <w:trPr>
          <w:trHeight w:val="312"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7" w:after="43"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43,624</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7" w:after="43"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8,622</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7" w:after="43"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4,204</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7" w:after="43"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1,046</w:t>
            </w:r>
          </w:p>
        </w:tc>
      </w:tr>
      <w:tr>
        <w:trPr>
          <w:trHeight w:val="307"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2" w:after="2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27,323</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5,798</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2,470</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723</w:t>
            </w:r>
          </w:p>
        </w:tc>
      </w:tr>
      <w:tr>
        <w:trPr>
          <w:trHeight w:val="312"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31" w:line="223"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33,756</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6,132</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2,645</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780</w:t>
            </w:r>
          </w:p>
        </w:tc>
      </w:tr>
      <w:tr>
        <w:trPr>
          <w:trHeight w:val="307"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4"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7" w:after="34"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52,967</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7" w:after="34"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7,108</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7" w:after="34"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3,523</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7" w:after="34"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954</w:t>
            </w:r>
          </w:p>
        </w:tc>
      </w:tr>
      <w:tr>
        <w:trPr>
          <w:trHeight w:val="312"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31" w:line="223"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38,723</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6,873</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3,014</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52" w:after="3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885</w:t>
            </w:r>
          </w:p>
        </w:tc>
      </w:tr>
      <w:tr>
        <w:trPr>
          <w:trHeight w:val="312"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41" w:line="223"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44,043</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8,215</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3,292</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7" w:after="4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720</w:t>
            </w:r>
          </w:p>
        </w:tc>
      </w:tr>
      <w:tr>
        <w:trPr>
          <w:trHeight w:val="307"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7" w:after="3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31,387</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7" w:after="3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8,617</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7" w:after="3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3,423</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7" w:after="38"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1,072</w:t>
            </w:r>
          </w:p>
        </w:tc>
      </w:tr>
      <w:tr>
        <w:trPr>
          <w:trHeight w:val="317" w:hRule="exact"/>
        </w:trPr>
        <w:tc>
          <w:tcPr>
            <w:tcW w:w="161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41" w:line="223"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1982"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41,443</w:t>
            </w:r>
          </w:p>
        </w:tc>
        <w:tc>
          <w:tcPr>
            <w:tcW w:w="2150"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4,935</w:t>
            </w:r>
          </w:p>
        </w:tc>
        <w:tc>
          <w:tcPr>
            <w:tcW w:w="1748" w:type="dxa"/>
            <w:tcBorders>
              <w:top w:val="single" w:sz="5" w:color="000000"/>
              <w:left w:val="single" w:sz="5" w:color="000000"/>
              <w:bottom w:val="single" w:sz="5" w:color="000000"/>
              <w:right w:val="single" w:sz="5" w:color="000000"/>
            </w:tcBorders>
            <w:textDirection w:val="lrTb"/>
            <w:vAlign w:val="center"/>
          </w:tcPr>
          <w:p>
            <w:pPr>
              <w:spacing w:before="47" w:after="47" w:line="217"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2,303</w:t>
            </w:r>
          </w:p>
        </w:tc>
        <w:tc>
          <w:tcPr>
            <w:tcW w:w="1862" w:type="dxa"/>
            <w:tcBorders>
              <w:top w:val="single" w:sz="5" w:color="000000"/>
              <w:left w:val="single" w:sz="5" w:color="000000"/>
              <w:bottom w:val="single" w:sz="5" w:color="000000"/>
              <w:right w:val="single" w:sz="5" w:color="000000"/>
            </w:tcBorders>
            <w:textDirection w:val="lrTb"/>
            <w:vAlign w:val="center"/>
          </w:tcPr>
          <w:p>
            <w:pPr>
              <w:spacing w:before="47" w:after="48" w:line="216"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604</w:t>
            </w:r>
          </w:p>
        </w:tc>
      </w:tr>
    </w:tbl>
    <w:p>
      <w:pPr>
        <w:spacing w:before="7" w:after="0" w:line="180" w:lineRule="exact"/>
        <w:ind w:right="0" w:left="115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SPARCS</w:t>
      </w:r>
    </w:p>
    <w:p>
      <w:pPr>
        <w:spacing w:before="174" w:after="0" w:line="290" w:lineRule="exact"/>
        <w:ind w:right="0" w:left="115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14 highlights the potentially preventable hospitalizations by zip code in the Finger Lakes region. This map corresponds with maps highlighting life expectancy as well as emergency department visits for heart disease, cancer, hypertension, depressive disorders, and anxiety and panic disorders (Maps 17-22) as well as poverty (Maps 6-8). Note that the concentrations of potentially preventable hospitalizations as well as the emergency department visits cluster in similar areas of the region. This corresponds with higher poverty rates as well as decreased life expectancy. Higher rates of emergency department use and preventable hospitalizations in certain counties and populations—especially people living in poverty, on Medicaid, or in rural areas—signal inequitable access to timely, high-quality outpatient care and contribute to widening health disparities.</w:t>
      </w:r>
    </w:p>
    <w:p>
      <w:pPr>
        <w:tabs>
          <w:tab w:val="left" w:leader="none" w:pos="6264"/>
        </w:tabs>
        <w:spacing w:before="456" w:after="114" w:line="183"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17: Potentially Preventable Hospitalizations	</w:t>
      </w:r>
      <w:r>
        <w:rPr>
          <w:rFonts w:ascii="Calibri" w:hAnsi="Calibri" w:eastAsia="Calibri"/>
          <w:i w:val="true"/>
          <w:color w:val="0E2841"/>
          <w:spacing w:val="0"/>
          <w:w w:val="100"/>
          <w:sz w:val="18"/>
          <w:vertAlign w:val="baseline"/>
          <w:lang w:val="en-US"/>
        </w:rPr>
        <w:t xml:space="preserve">Map 18: ED Visits for Cancer by Zip Code</w:t>
      </w:r>
    </w:p>
    <w:p>
      <w:pPr>
        <w:spacing w:before="456" w:after="114" w:line="183" w:lineRule="exact"/>
        <w:sectPr>
          <w:type w:val="continuous"/>
          <w:pgSz w:w="12240" w:h="15840" w:orient="portrait"/>
          <w:pgMar w:bottom="604" w:top="720" w:right="1426" w:left="254"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45" coordsize="21600,21600" o:spt="202" path="m,l,21600r21600,l21600,xe">
            <v:stroke joinstyle="miter"/>
            <v:path gradientshapeok="t" o:connecttype="rect"/>
          </v:shapetype>
          <v:shape id="_x0000_s344" type="#_x0000_t345" filled="f" stroked="f" style="position:absolute;width:579pt;height:258.2pt;z-index:-1;margin-left:11.5pt;margin-top:458.65pt;mso-wrap-distance-left:0pt;mso-wrap-distance-right:0pt;mso-position-horizontal-relative:page;mso-position-vertical-relative:page">
            <w10:wrap type="square" side="both"/>
            <v:fill opacity="1" o:opacity2="1" recolor="f" rotate="f" type="solid"/>
            <v:textbox inset="0pt, 0pt, 0pt, 0pt">
              <w:txbxContent>
                <w:p>
                  <w:pPr>
                    <w:spacing w:before="0" w:after="201" w:line="240" w:lineRule="auto"/>
                    <w:ind w:right="16" w:left="0"/>
                    <w:jc w:val="left"/>
                    <w:textAlignment w:val="baseline"/>
                  </w:pPr>
                  <w:r>
                    <w:drawing>
                      <wp:inline>
                        <wp:extent cx="7343140" cy="3151505"/>
                        <wp:docPr name="Picture" id="73"/>
                        <a:graphic>
                          <a:graphicData uri="http://schemas.openxmlformats.org/drawingml/2006/picture">
                            <pic:pic>
                              <pic:nvPicPr>
                                <pic:cNvPr id="73" name="Picture"/>
                                <pic:cNvPicPr preferRelativeResize="false"/>
                              </pic:nvPicPr>
                              <pic:blipFill>
                                <a:blip r:embed="prId73"/>
                                <a:stretch>
                                  <a:fillRect/>
                                </a:stretch>
                              </pic:blipFill>
                              <pic:spPr>
                                <a:xfrm>
                                  <a:off x="0" y="0"/>
                                  <a:ext cx="7343140" cy="3151505"/>
                                </a:xfrm>
                                <a:prstGeom prst="rect"/>
                              </pic:spPr>
                            </pic:pic>
                          </a:graphicData>
                        </a:graphic>
                      </wp:inline>
                    </w:drawing>
                  </w:r>
                </w:p>
              </w:txbxContent>
            </v:textbox>
          </v:shape>
        </w:pict>
      </w:r>
    </w:p>
    <w:p>
      <w:pPr>
        <w:sectPr>
          <w:type w:val="continuous"/>
          <w:pgSz w:w="12240" w:h="15840" w:orient="portrait"/>
          <w:pgMar w:bottom="604" w:top="720" w:right="430" w:left="230" w:header="720" w:footer="720"/>
          <w:titlePg w:val="false"/>
          <w:textDirection w:val="lrTb"/>
        </w:sectPr>
      </w:pPr>
    </w:p>
    <w:p>
      <w:pPr>
        <w:spacing w:before="0"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9pt" strokecolor="#145F82" from="0pt,1pt" to="612.05pt,1pt" style="position:absolute;mso-position-horizontal-relative:text;mso-position-vertical-relative:text;">
            <v:stroke dashstyle="solid"/>
          </v:line>
        </w:pict>
      </w:r>
    </w:p>
    <w:p>
      <w:pPr>
        <w:sectPr>
          <w:type w:val="continuous"/>
          <w:pgSz w:w="12240" w:h="15840" w:orient="portrait"/>
          <w:pgMar w:bottom="604" w:top="720" w:right="0" w:left="0" w:header="720" w:footer="720"/>
          <w:titlePg w:val="false"/>
          <w:textDirection w:val="lrTb"/>
        </w:sectPr>
      </w:pP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61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pict>
          <v:shapetype id="_x0000_t346" coordsize="21600,21600" o:spt="202" path="m,l,21600r21600,l21600,xe">
            <v:stroke joinstyle="miter"/>
            <v:path gradientshapeok="t" o:connecttype="rect"/>
          </v:shapetype>
          <v:shape id="_x0000_s345" type="#_x0000_t346" fillcolor="#FDFCFB" stroked="f" style="position:absolute;width:612pt;height:792pt;z-index:-999;margin-left:0pt;margin-top:0pt;mso-position-horizontal-relative:page;mso-position-vertical-relative:page">
            <v:textbox>
              <w:txbxContent/>
            </v:textbox>
          </v:shape>
        </w:pict>
      </w:r>
      <w:r>
        <w:rPr>
          <w:rFonts w:ascii="Calibri" w:hAnsi="Calibri" w:eastAsia="Calibri"/>
          <w:b w:val="true"/>
          <w:color w:val="145F82"/>
          <w:spacing w:val="0"/>
          <w:w w:val="100"/>
          <w:sz w:val="28"/>
          <w:vertAlign w:val="baseline"/>
          <w:lang w:val="en-US"/>
        </w:rPr>
        <w:t xml:space="preserve">Comprehensive Regional Community Health Assessment</w:t>
      </w:r>
    </w:p>
    <w:p>
      <w:pPr>
        <w:spacing w:before="27" w:after="0" w:line="288" w:lineRule="exact"/>
        <w:ind w:right="0" w:left="0" w:firstLine="0"/>
        <w:jc w:val="left"/>
        <w:textAlignment w:val="baseline"/>
        <w:rPr>
          <w:rFonts w:ascii="Times New Roman" w:hAnsi="Times New Roman" w:eastAsia="Times New Roman"/>
          <w:color w:val="000000"/>
          <w:w w:val="100"/>
          <w:sz w:val="24"/>
          <w:vertAlign w:val="baseline"/>
          <w:lang w:val="en-US"/>
        </w:rPr>
      </w:pPr>
      <w:r>
        <w:pict>
          <v:line strokeweight="1.7pt" strokecolor="#145F82" from="0pt,0.9pt" to="612.05pt,0.9pt" style="position:absolute;mso-position-horizontal-relative:text;mso-position-vertical-relative:text;">
            <v:stroke dashstyle="solid"/>
          </v:line>
        </w:pict>
      </w:r>
    </w:p>
    <w:p>
      <w:pPr>
        <w:sectPr>
          <w:type w:val="nextPage"/>
          <w:pgSz w:w="12240" w:h="15840" w:orient="portrait"/>
          <w:pgMar w:bottom="604" w:top="720" w:right="0" w:left="0" w:header="720" w:footer="720"/>
          <w:titlePg w:val="false"/>
          <w:textDirection w:val="lrTb"/>
        </w:sectPr>
      </w:pPr>
    </w:p>
    <w:p>
      <w:pPr>
        <w:tabs>
          <w:tab w:val="right" w:leader="none" w:pos="9792"/>
        </w:tabs>
        <w:spacing w:before="20" w:after="86" w:line="185"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19: ED Visits Related to Heart Disease by Zip Code	</w:t>
      </w:r>
      <w:r>
        <w:rPr>
          <w:rFonts w:ascii="Calibri" w:hAnsi="Calibri" w:eastAsia="Calibri"/>
          <w:i w:val="true"/>
          <w:color w:val="0E2841"/>
          <w:spacing w:val="0"/>
          <w:w w:val="100"/>
          <w:sz w:val="18"/>
          <w:vertAlign w:val="baseline"/>
          <w:lang w:val="en-US"/>
        </w:rPr>
        <w:t xml:space="preserve">Map 20: ED Visits for Hypertension by Zip Code</w:t>
      </w:r>
    </w:p>
    <w:p>
      <w:pPr>
        <w:spacing w:before="20" w:after="86" w:line="185" w:lineRule="exact"/>
        <w:sectPr>
          <w:type w:val="continuous"/>
          <w:pgSz w:w="12240" w:h="15840" w:orient="portrait"/>
          <w:pgMar w:bottom="604" w:top="720" w:right="2003" w:left="437" w:header="720" w:footer="720"/>
          <w:titlePg w:val="false"/>
          <w:textDirection w:val="lrTb"/>
        </w:sectPr>
      </w:pPr>
    </w:p>
    <w:p>
      <w:pPr>
        <w:spacing w:before="20" w:after="0" w:line="142" w:lineRule="exact"/>
        <w:ind w:right="0" w:left="0" w:firstLine="0"/>
        <w:jc w:val="right"/>
        <w:textAlignment w:val="baseline"/>
        <w:rPr>
          <w:rFonts w:ascii="Calibri" w:hAnsi="Calibri" w:eastAsia="Calibri"/>
          <w:i w:val="true"/>
          <w:color w:val="0E2841"/>
          <w:spacing w:val="0"/>
          <w:w w:val="100"/>
          <w:sz w:val="18"/>
          <w:vertAlign w:val="baseline"/>
          <w:lang w:val="en-US"/>
        </w:rPr>
      </w:pPr>
      <w:r>
        <w:pict>
          <v:shapetype id="_x0000_t347" coordsize="21600,21600" o:spt="202" path="m,l,21600r21600,l21600,xe">
            <v:stroke joinstyle="miter"/>
            <v:path gradientshapeok="t" o:connecttype="rect"/>
          </v:shapetype>
          <v:shape id="_x0000_s346" type="#_x0000_t347" filled="f" stroked="f" style="position:absolute;width:612pt;height:270.6pt;z-index:-1;margin-left:0pt;margin-top:92.15pt;mso-wrap-distance-left:0pt;mso-wrap-distance-right:0pt;mso-position-horizontal-relative:page;mso-position-vertical-relative:page">
            <w10:wrap type="square" side="both"/>
            <v:fill opacity="1" o:opacity2="1" recolor="f" rotate="f" type="solid"/>
            <v:textbox inset="0pt, 0pt, 0pt, 0pt">
              <w:txbxContent>
                <w:p>
                  <w:pPr>
                    <w:spacing w:before="0" w:after="391" w:line="240" w:lineRule="auto"/>
                    <w:ind w:right="288" w:left="346"/>
                    <w:jc w:val="left"/>
                    <w:textAlignment w:val="baseline"/>
                  </w:pPr>
                  <w:r>
                    <w:drawing>
                      <wp:inline>
                        <wp:extent cx="7369810" cy="3188335"/>
                        <wp:docPr name="Picture" id="74"/>
                        <a:graphic>
                          <a:graphicData uri="http://schemas.openxmlformats.org/drawingml/2006/picture">
                            <pic:pic>
                              <pic:nvPicPr>
                                <pic:cNvPr id="74" name="Picture"/>
                                <pic:cNvPicPr preferRelativeResize="false"/>
                              </pic:nvPicPr>
                              <pic:blipFill>
                                <a:blip r:embed="prId74"/>
                                <a:stretch>
                                  <a:fillRect/>
                                </a:stretch>
                              </pic:blipFill>
                              <pic:spPr>
                                <a:xfrm>
                                  <a:off x="0" y="0"/>
                                  <a:ext cx="7369810" cy="3188335"/>
                                </a:xfrm>
                                <a:prstGeom prst="rect"/>
                              </pic:spPr>
                            </pic:pic>
                          </a:graphicData>
                        </a:graphic>
                      </wp:inline>
                    </w:drawing>
                  </w:r>
                </w:p>
              </w:txbxContent>
            </v:textbox>
          </v:shape>
        </w:pict>
      </w:r>
      <w:r>
        <w:rPr>
          <w:rFonts w:ascii="Calibri" w:hAnsi="Calibri" w:eastAsia="Calibri"/>
          <w:i w:val="true"/>
          <w:color w:val="0E2841"/>
          <w:spacing w:val="0"/>
          <w:w w:val="100"/>
          <w:sz w:val="18"/>
          <w:vertAlign w:val="baseline"/>
          <w:lang w:val="en-US"/>
        </w:rPr>
        <w:t xml:space="preserve">Map 22: ED Visits for Anxiety and Panic Disorders by Zip Code</w:t>
      </w:r>
    </w:p>
    <w:p>
      <w:pPr>
        <w:spacing w:before="0" w:after="0" w:line="143"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21: ED Visits for Depressive Disorders by Zip Code</w:t>
      </w:r>
    </w:p>
    <w:p>
      <w:pPr>
        <w:sectPr>
          <w:type w:val="continuous"/>
          <w:pgSz w:w="12240" w:h="15840" w:orient="portrait"/>
          <w:pgMar w:bottom="604" w:top="720" w:right="829" w:left="331" w:header="720" w:footer="720"/>
          <w:titlePg w:val="false"/>
          <w:textDirection w:val="lrTb"/>
        </w:sectPr>
      </w:pP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shapetype id="_x0000_t348" coordsize="21600,21600" o:spt="202" path="m,l,21600r21600,l21600,xe">
            <v:stroke joinstyle="miter"/>
            <v:path gradientshapeok="t" o:connecttype="rect"/>
          </v:shapetype>
          <v:shape id="_x0000_s347" type="#_x0000_t348" filled="f" stroked="f" style="position:absolute;width:612pt;height:338.6pt;z-index:-1;margin-left:0pt;margin-top:378.25pt;mso-wrap-distance-left:0pt;mso-wrap-distance-right:0pt;mso-position-horizontal-relative:page;mso-position-vertical-relative:page">
            <w10:wrap type="square" side="both"/>
            <v:fill opacity="1" o:opacity2="1" recolor="f" rotate="f" type="solid"/>
            <v:textbox inset="0pt, 0pt, 0pt, 0pt">
              <w:txbxContent>
                <w:p>
                  <w:pPr>
                    <w:spacing w:before="0" w:after="2054" w:line="240" w:lineRule="auto"/>
                    <w:ind w:right="408" w:left="307"/>
                    <w:jc w:val="left"/>
                    <w:textAlignment w:val="baseline"/>
                  </w:pPr>
                  <w:r>
                    <w:drawing>
                      <wp:inline>
                        <wp:extent cx="7318375" cy="2995930"/>
                        <wp:docPr name="Picture" id="75"/>
                        <a:graphic>
                          <a:graphicData uri="http://schemas.openxmlformats.org/drawingml/2006/picture">
                            <pic:pic>
                              <pic:nvPicPr>
                                <pic:cNvPr id="75" name="Picture"/>
                                <pic:cNvPicPr preferRelativeResize="false"/>
                              </pic:nvPicPr>
                              <pic:blipFill>
                                <a:blip r:embed="prId75"/>
                                <a:stretch>
                                  <a:fillRect/>
                                </a:stretch>
                              </pic:blipFill>
                              <pic:spPr>
                                <a:xfrm>
                                  <a:off x="0" y="0"/>
                                  <a:ext cx="7318375" cy="2995930"/>
                                </a:xfrm>
                                <a:prstGeom prst="rect"/>
                              </pic:spPr>
                            </pic:pic>
                          </a:graphicData>
                        </a:graphic>
                      </wp:inline>
                    </w:drawing>
                  </w:r>
                </w:p>
              </w:txbxContent>
            </v:textbox>
          </v:shape>
        </w:pict>
      </w: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62	</w:t>
      </w:r>
      <w:r>
        <w:rPr>
          <w:rFonts w:ascii="Calibri" w:hAnsi="Calibri" w:eastAsia="Calibri"/>
          <w:b w:val="true"/>
          <w:color w:val="145F82"/>
          <w:spacing w:val="0"/>
          <w:w w:val="100"/>
          <w:sz w:val="24"/>
          <w:vertAlign w:val="baseline"/>
          <w:lang w:val="en-US"/>
        </w:rPr>
        <w:t xml:space="preserve">Regional Community Health Assessment</w:t>
      </w:r>
    </w:p>
    <w:p>
      <w:pPr>
        <w:sectPr>
          <w:type w:val="continuous"/>
          <w:pgSz w:w="12240" w:h="15840" w:orient="portrait"/>
          <w:pgMar w:bottom="604" w:top="72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49" coordsize="21600,21600" o:spt="202" path="m,l,21600r21600,l21600,xe">
            <v:stroke joinstyle="miter"/>
            <v:path gradientshapeok="t" o:connecttype="rect"/>
          </v:shapetype>
          <v:shape id="_x0000_s348" type="#_x0000_t349" filled="f" stroked="f" style="position:absolute;width:489pt;height:257.1pt;z-index:-1;margin-left:72pt;margin-top:287.5pt;mso-wrap-distance-left:0pt;mso-wrap-distance-right:0pt;mso-position-horizontal-relative:page;mso-position-vertical-relative:page">
            <w10:wrap type="square"/>
            <v:fill opacity="1" o:opacity2="1" recolor="f" rotate="f" type="solid"/>
            <v:textbox inset="0pt, 0pt, 0pt, 0pt">
              <w:txbxContent>
                <w:p>
                  <w:pPr>
                    <w:pBdr>
                      <w:top w:sz="5" w:space="0" w:color="D8D8D8" w:val="single"/>
                      <w:left w:sz="5" w:space="0" w:color="D8D8D8" w:val="single"/>
                      <w:bottom w:sz="5" w:space="0" w:color="D8D8D8" w:val="single"/>
                      <w:right w:sz="5" w:space="0" w:color="D8D8D8" w:val="single"/>
                    </w:pBdr>
                  </w:pPr>
                </w:p>
              </w:txbxContent>
            </v:textbox>
          </v:shape>
        </w:pict>
      </w:r>
      <w:r>
        <w:pict>
          <v:shapetype id="_x0000_t350" coordsize="21600,21600" o:spt="202" path="m,l,21600r21600,l21600,xe">
            <v:stroke joinstyle="miter"/>
            <v:path gradientshapeok="t" o:connecttype="rect"/>
          </v:shapetype>
          <v:shape id="_x0000_s349" type="#_x0000_t350"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351" coordsize="21600,21600" o:spt="202" path="m,l,21600r21600,l21600,xe">
            <v:stroke joinstyle="miter"/>
            <v:path gradientshapeok="t" o:connecttype="rect"/>
          </v:shapetype>
          <v:shape id="_x0000_s350" type="#_x0000_t351" filled="f" stroked="f" style="position:absolute;width:489pt;height:215.4pt;z-index:1;margin-left:72pt;margin-top:72.1pt;mso-wrap-distance-left:0pt;mso-wrap-distance-right:0pt;mso-position-horizontal-relative:page;mso-position-vertical-relative:page">
            <w10:wrap anchorx="page" anchory="page"/>
            <v:fill opacity="1" o:opacity2="1" recolor="f" rotate="f" type="solid"/>
            <v:textbox inset="0pt, 0pt, 0pt, 0pt">
              <w:txbxContent>
                <w:p>
                  <w:pPr>
                    <w:spacing w:before="26" w:after="0" w:line="226" w:lineRule="exact"/>
                    <w:ind w:right="0" w:left="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Blood Lead Level Screening and Vaccinations</w:t>
                  </w:r>
                </w:p>
                <w:p>
                  <w:pPr>
                    <w:spacing w:before="159" w:after="0" w:line="289" w:lineRule="exact"/>
                    <w:ind w:right="43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One important screening that happens during well-child visits is a blood lead level test. “Asymptomatic lead poisoning has become more common in children. Blood lead levels of greater than 5 ug per dL are associated with impairments in neurocognitive and behavioral development that are irreversible.”</w:t>
                  </w:r>
                  <w:r>
                    <w:rPr>
                      <w:rFonts w:ascii="Calibri" w:hAnsi="Calibri" w:eastAsia="Calibri"/>
                      <w:color w:val="000000"/>
                      <w:spacing w:val="0"/>
                      <w:w w:val="100"/>
                      <w:sz w:val="22"/>
                      <w:vertAlign w:val="superscript"/>
                      <w:lang w:val="en-US"/>
                    </w:rPr>
                    <w:t xml:space="preserve">29</w:t>
                  </w:r>
                  <w:r>
                    <w:rPr>
                      <w:rFonts w:ascii="Calibri" w:hAnsi="Calibri" w:eastAsia="Calibri"/>
                      <w:color w:val="000000"/>
                      <w:spacing w:val="0"/>
                      <w:w w:val="100"/>
                      <w:sz w:val="22"/>
                      <w:vertAlign w:val="baseline"/>
                      <w:lang w:val="en-US"/>
                    </w:rPr>
                    <w:t xml:space="preserve"> It is required that children to have at least two screenings in the first 36 months of life – one at age one and one at age 2. (Figure 29) In addition, the 4:3:1:3:1:4 (four doses of DTaP (Diphtheria, Tetanus, and Pertussis), three doses of polio (IPV), one dose of MMR ((Measles, Mumps, and Rubella)), three doses of Hib ((Haemophilus influenzae type b)), three doses of Hepatitis B, one dose of Varicella, and four doses of pneumococcal vaccine (PCV) ) childhood vaccination series are key to keeping not just children, but the overall population free of vaccine preventable diseases. (Figure 30)</w:t>
                  </w:r>
                </w:p>
                <w:p>
                  <w:pPr>
                    <w:spacing w:before="901" w:after="211" w:line="179"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29: Blood Lead Level Screening in the Finger Lakes Region</w:t>
                  </w:r>
                </w:p>
              </w:txbxContent>
            </v:textbox>
          </v:shape>
        </w:pict>
      </w:r>
      <w:r>
        <w:pict>
          <v:shapetype id="_x0000_t352" coordsize="21600,21600" o:spt="202" path="m,l,21600r21600,l21600,xe">
            <v:stroke joinstyle="miter"/>
            <v:path gradientshapeok="t" o:connecttype="rect"/>
          </v:shapetype>
          <v:shape id="_x0000_s351" type="#_x0000_t352" filled="f" stroked="f" style="position:absolute;width:489pt;height:152.6pt;z-index:1;margin-left:72pt;margin-top:543.7pt;mso-wrap-distance-left:0pt;mso-wrap-distance-right:0pt;mso-position-horizontal-relative:page;mso-position-vertical-relative:page">
            <w10:wrap anchorx="page" anchory="page"/>
            <v:fill opacity="1" o:opacity2="1" recolor="f" rotate="f" type="solid"/>
            <v:textbox inset="0pt, 0pt, 0pt, 0pt">
              <w:txbxContent>
                <w:p>
                  <w:pPr>
                    <w:spacing w:before="20" w:after="2850" w:line="180" w:lineRule="exact"/>
                    <w:ind w:right="0" w:left="72"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NYSIIS Performance Report</w:t>
                  </w:r>
                </w:p>
              </w:txbxContent>
            </v:textbox>
          </v:shape>
        </w:pict>
      </w:r>
      <w:r>
        <w:pict>
          <v:shapetype id="_x0000_t353" coordsize="21600,21600" o:spt="202" path="m,l,21600r21600,l21600,xe">
            <v:stroke joinstyle="miter"/>
            <v:path gradientshapeok="t" o:connecttype="rect"/>
          </v:shapetype>
          <v:shape id="_x0000_s352" type="#_x0000_t353" filled="f" stroked="f" style="position:absolute;width:489pt;height:20.55pt;z-index:1;margin-left:72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6" w:after="58" w:line="198" w:lineRule="exact"/>
                    <w:ind w:right="0" w:left="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29</w:t>
                  </w:r>
                  <w:r>
                    <w:rPr>
                      <w:rFonts w:ascii="Calibri" w:hAnsi="Calibri" w:eastAsia="Calibri"/>
                      <w:color w:val="000000"/>
                      <w:spacing w:val="3"/>
                      <w:w w:val="100"/>
                      <w:sz w:val="19"/>
                      <w:vertAlign w:val="baseline"/>
                      <w:lang w:val="en-US"/>
                    </w:rPr>
                    <w:t xml:space="preserve"> Mayans, L. (2019). Lead poisoning in children. American family physician, 100(1), 24-30.</w:t>
                  </w:r>
                </w:p>
              </w:txbxContent>
            </v:textbox>
          </v:shape>
        </w:pict>
      </w:r>
      <w:r>
        <w:pict>
          <v:shapetype id="_x0000_t354" coordsize="21600,21600" o:spt="202" path="m,l,21600r21600,l21600,xe">
            <v:stroke joinstyle="miter"/>
            <v:path gradientshapeok="t" o:connecttype="rect"/>
          </v:shapetype>
          <v:shape id="_x0000_s353" type="#_x0000_t354" filled="f" stroked="f" style="position:absolute;width:485.6pt;height:31.8pt;z-index:-1;margin-left:73.7pt;margin-top:287.5pt;mso-wrap-distance-left:0pt;mso-wrap-distance-right:0pt;mso-position-horizontal-relative:page;mso-position-vertical-relative:page">
            <w10:wrap type="square" side="both"/>
            <v:fill opacity="1" o:opacity2="1" recolor="f" rotate="f" type="solid"/>
            <v:textbox inset="0pt, 0pt, 0pt, 0pt">
              <w:txbxContent>
                <w:p>
                  <w:pPr>
                    <w:spacing w:before="194" w:after="149" w:line="286"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Blood Lead Level Screening</w:t>
                  </w:r>
                </w:p>
              </w:txbxContent>
            </v:textbox>
          </v:shape>
        </w:pict>
      </w:r>
      <w:r>
        <w:pict>
          <v:shapetype id="_x0000_t355" coordsize="21600,21600" o:spt="202" path="m,l,21600r21600,l21600,xe">
            <v:stroke joinstyle="miter"/>
            <v:path gradientshapeok="t" o:connecttype="rect"/>
          </v:shapetype>
          <v:shape id="_x0000_s354" type="#_x0000_t355" filled="f" stroked="f" style="position:absolute;width:23.3pt;height:15pt;z-index:-1;margin-left:73.7pt;margin-top:319.3pt;mso-wrap-distance-left:0pt;mso-wrap-distance-right:0pt;mso-position-horizontal-relative:page;mso-position-vertical-relative:page">
            <w10:wrap type="square" side="both"/>
            <v:fill opacity="1" o:opacity2="1" recolor="f" rotate="f" type="solid"/>
            <v:textbox inset="0pt, 0pt, 0pt, 0pt">
              <w:txbxContent>
                <w:p>
                  <w:pPr>
                    <w:spacing w:before="20" w:after="96"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70</w:t>
                  </w:r>
                </w:p>
              </w:txbxContent>
            </v:textbox>
          </v:shape>
        </w:pict>
      </w:r>
      <w:r>
        <w:pict>
          <v:shapetype id="_x0000_t356" coordsize="21600,21600" o:spt="202" path="m,l,21600r21600,l21600,xe">
            <v:stroke joinstyle="miter"/>
            <v:path gradientshapeok="t" o:connecttype="rect"/>
          </v:shapetype>
          <v:shape id="_x0000_s355" type="#_x0000_t356" filled="f" stroked="f" style="position:absolute;width:485.6pt;height:162.25pt;z-index:-1;margin-left:73.7pt;margin-top:334.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523"/>
                    <w:gridCol w:w="465"/>
                    <w:gridCol w:w="101"/>
                    <w:gridCol w:w="101"/>
                    <w:gridCol w:w="922"/>
                    <w:gridCol w:w="196"/>
                    <w:gridCol w:w="53"/>
                    <w:gridCol w:w="197"/>
                    <w:gridCol w:w="426"/>
                    <w:gridCol w:w="198"/>
                    <w:gridCol w:w="52"/>
                    <w:gridCol w:w="1119"/>
                    <w:gridCol w:w="202"/>
                    <w:gridCol w:w="43"/>
                    <w:gridCol w:w="202"/>
                    <w:gridCol w:w="426"/>
                    <w:gridCol w:w="198"/>
                    <w:gridCol w:w="48"/>
                    <w:gridCol w:w="201"/>
                    <w:gridCol w:w="53"/>
                    <w:gridCol w:w="197"/>
                    <w:gridCol w:w="421"/>
                    <w:gridCol w:w="203"/>
                    <w:gridCol w:w="1171"/>
                    <w:gridCol w:w="197"/>
                    <w:gridCol w:w="48"/>
                    <w:gridCol w:w="201"/>
                    <w:gridCol w:w="427"/>
                    <w:gridCol w:w="197"/>
                    <w:gridCol w:w="716"/>
                  </w:tblGrid>
                  <w:tr>
                    <w:trPr>
                      <w:trHeight w:val="96" w:hRule="exact"/>
                    </w:trPr>
                    <w:tc>
                      <w:tcPr>
                        <w:tcW w:w="523" w:type="dxa"/>
                        <w:tcBorders>
                          <w:top w:val="none"/>
                          <w:left w:val="none"/>
                          <w:bottom w:val="none"/>
                          <w:right w:val="none"/>
                        </w:tcBorders>
                        <w:textDirection w:val="lrTb"/>
                        <w:vAlign w:val="top"/>
                      </w:tcPr>
                      <w:p/>
                    </w:tc>
                    <w:tc>
                      <w:tcPr>
                        <w:tcW w:w="465" w:type="dxa"/>
                        <w:tcBorders>
                          <w:top w:val="none"/>
                          <w:left w:val="none"/>
                          <w:bottom w:val="none"/>
                          <w:right w:val="none"/>
                        </w:tcBorders>
                        <w:textDirection w:val="lrTb"/>
                        <w:vAlign w:val="top"/>
                      </w:tcPr>
                      <w:p/>
                    </w:tc>
                    <w:tc>
                      <w:tcPr>
                        <w:tcW w:w="101"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01" w:type="dxa"/>
                        <w:tcBorders>
                          <w:top w:val="none"/>
                          <w:left w:val="none"/>
                          <w:bottom w:val="none"/>
                          <w:right w:val="none"/>
                        </w:tcBorders>
                        <w:textDirection w:val="lrTb"/>
                        <w:vAlign w:val="top"/>
                      </w:tcPr>
                      <w:p/>
                    </w:tc>
                    <w:tc>
                      <w:tcPr>
                        <w:tcW w:w="922" w:type="dxa"/>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679450" cy="1975485"/>
                              <wp:docPr name="Picture" id="76"/>
                              <a:graphic>
                                <a:graphicData uri="http://schemas.openxmlformats.org/drawingml/2006/picture">
                                  <pic:pic>
                                    <pic:nvPicPr>
                                      <pic:cNvPr id="76" name="Picture"/>
                                      <pic:cNvPicPr preferRelativeResize="false"/>
                                    </pic:nvPicPr>
                                    <pic:blipFill>
                                      <a:blip r:embed="prId76"/>
                                      <a:stretch>
                                        <a:fillRect/>
                                      </a:stretch>
                                    </pic:blipFill>
                                    <pic:spPr>
                                      <a:xfrm>
                                        <a:off x="0" y="0"/>
                                        <a:ext cx="679450" cy="1975485"/>
                                      </a:xfrm>
                                      <a:prstGeom prst="rect"/>
                                    </pic:spPr>
                                  </pic:pic>
                                </a:graphicData>
                              </a:graphic>
                            </wp:inline>
                          </w:drawing>
                        </w: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48" w:hRule="exact"/>
                    </w:trPr>
                    <w:tc>
                      <w:tcPr>
                        <w:tcW w:w="523" w:type="dxa"/>
                        <w:tcBorders>
                          <w:top w:val="none"/>
                          <w:left w:val="none"/>
                          <w:bottom w:val="none"/>
                          <w:right w:val="none"/>
                        </w:tcBorders>
                        <w:textDirection w:val="lrTb"/>
                        <w:vAlign w:val="top"/>
                      </w:tcPr>
                      <w:p/>
                    </w:tc>
                    <w:tc>
                      <w:tcPr>
                        <w:tcW w:w="465"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264795" cy="1926590"/>
                              <wp:docPr name="Picture" id="77"/>
                              <a:graphic>
                                <a:graphicData uri="http://schemas.openxmlformats.org/drawingml/2006/picture">
                                  <pic:pic>
                                    <pic:nvPicPr>
                                      <pic:cNvPr id="77" name="Picture"/>
                                      <pic:cNvPicPr preferRelativeResize="false"/>
                                    </pic:nvPicPr>
                                    <pic:blipFill>
                                      <a:blip r:embed="prId77"/>
                                      <a:stretch>
                                        <a:fillRect/>
                                      </a:stretch>
                                    </pic:blipFill>
                                    <pic:spPr>
                                      <a:xfrm>
                                        <a:off x="0" y="0"/>
                                        <a:ext cx="264795" cy="1926590"/>
                                      </a:xfrm>
                                      <a:prstGeom prst="rect"/>
                                    </pic:spPr>
                                  </pic:pic>
                                </a:graphicData>
                              </a:graphic>
                            </wp:inline>
                          </w:drawing>
                        </w: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682625" cy="1920240"/>
                              <wp:docPr name="Picture" id="78"/>
                              <a:graphic>
                                <a:graphicData uri="http://schemas.openxmlformats.org/drawingml/2006/picture">
                                  <pic:pic>
                                    <pic:nvPicPr>
                                      <pic:cNvPr id="78" name="Picture"/>
                                      <pic:cNvPicPr preferRelativeResize="false"/>
                                    </pic:nvPicPr>
                                    <pic:blipFill>
                                      <a:blip r:embed="prId78"/>
                                      <a:stretch>
                                        <a:fillRect/>
                                      </a:stretch>
                                    </pic:blipFill>
                                    <pic:spPr>
                                      <a:xfrm>
                                        <a:off x="0" y="0"/>
                                        <a:ext cx="682625" cy="1920240"/>
                                      </a:xfrm>
                                      <a:prstGeom prst="rect"/>
                                    </pic:spPr>
                                  </pic:pic>
                                </a:graphicData>
                              </a:graphic>
                            </wp:inline>
                          </w:drawing>
                        </w: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135" w:hRule="exact"/>
                    </w:trPr>
                    <w:tc>
                      <w:tcPr>
                        <w:tcW w:w="523" w:type="dxa"/>
                        <w:vMerge w:val="restart"/>
                        <w:tcBorders>
                          <w:top w:val="none"/>
                          <w:left w:val="none"/>
                          <w:bottom w:val="none"/>
                          <w:right w:val="none"/>
                        </w:tcBorders>
                        <w:textDirection w:val="lrTb"/>
                        <w:vAlign w:val="center"/>
                      </w:tcPr>
                      <w:p>
                        <w:pPr>
                          <w:spacing w:before="56" w:after="48"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60</w:t>
                        </w: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tcBorders>
                          <w:top w:val="none"/>
                          <w:left w:val="none"/>
                          <w:bottom w:val="single" w:sz="5" w:color="D8D8D8"/>
                          <w:right w:val="none"/>
                        </w:tcBorders>
                        <w:textDirection w:val="lrTb"/>
                        <w:vAlign w:val="top"/>
                      </w:tcPr>
                      <w:p/>
                    </w:tc>
                    <w:tc>
                      <w:tcPr>
                        <w:tcW w:w="196" w:type="dxa"/>
                        <w:tcBorders>
                          <w:top w:val="none"/>
                          <w:left w:val="none"/>
                          <w:bottom w:val="single" w:sz="5" w:color="D8D8D8"/>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6" w:type="dxa"/>
                        <w:tcBorders>
                          <w:top w:val="none"/>
                          <w:left w:val="none"/>
                          <w:bottom w:val="single" w:sz="5" w:color="D8D8D8"/>
                          <w:right w:val="none"/>
                        </w:tcBorders>
                        <w:textDirection w:val="lrTb"/>
                        <w:vAlign w:val="top"/>
                      </w:tcPr>
                      <w:p/>
                    </w:tc>
                    <w:tc>
                      <w:tcPr>
                        <w:tcW w:w="198" w:type="dxa"/>
                        <w:tcBorders>
                          <w:top w:val="none"/>
                          <w:left w:val="none"/>
                          <w:bottom w:val="single" w:sz="5" w:color="D8D8D8"/>
                          <w:right w:val="none"/>
                        </w:tcBorders>
                        <w:textDirection w:val="lrTb"/>
                        <w:vAlign w:val="top"/>
                      </w:tcPr>
                      <w:p/>
                    </w:tc>
                    <w:tc>
                      <w:tcPr>
                        <w:tcW w:w="52" w:type="dxa"/>
                        <w:tcBorders>
                          <w:top w:val="none"/>
                          <w:left w:val="none"/>
                          <w:bottom w:val="single" w:sz="5" w:color="D8D8D8"/>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single" w:sz="5" w:color="D8D8D8"/>
                          <w:right w:val="none"/>
                        </w:tcBorders>
                        <w:textDirection w:val="lrTb"/>
                        <w:vAlign w:val="top"/>
                      </w:tcPr>
                      <w:p/>
                    </w:tc>
                    <w:tc>
                      <w:tcPr>
                        <w:tcW w:w="202" w:type="dxa"/>
                        <w:tcBorders>
                          <w:top w:val="none"/>
                          <w:left w:val="none"/>
                          <w:bottom w:val="single" w:sz="5" w:color="D8D8D8"/>
                          <w:right w:val="none"/>
                        </w:tcBorders>
                        <w:textDirection w:val="lrTb"/>
                        <w:vAlign w:val="top"/>
                      </w:tcPr>
                      <w:p/>
                    </w:tc>
                    <w:tc>
                      <w:tcPr>
                        <w:tcW w:w="426" w:type="dxa"/>
                        <w:tcBorders>
                          <w:top w:val="none"/>
                          <w:left w:val="none"/>
                          <w:bottom w:val="single" w:sz="5" w:color="D8D8D8"/>
                          <w:right w:val="none"/>
                        </w:tcBorders>
                        <w:textDirection w:val="lrTb"/>
                        <w:vAlign w:val="top"/>
                      </w:tcPr>
                      <w:p/>
                    </w:tc>
                    <w:tc>
                      <w:tcPr>
                        <w:tcW w:w="198" w:type="dxa"/>
                        <w:tcBorders>
                          <w:top w:val="none"/>
                          <w:left w:val="none"/>
                          <w:bottom w:val="single" w:sz="5" w:color="D8D8D8"/>
                          <w:right w:val="none"/>
                        </w:tcBorders>
                        <w:textDirection w:val="lrTb"/>
                        <w:vAlign w:val="top"/>
                      </w:tcPr>
                      <w:p/>
                    </w:tc>
                    <w:tc>
                      <w:tcPr>
                        <w:tcW w:w="48" w:type="dxa"/>
                        <w:tcBorders>
                          <w:top w:val="none"/>
                          <w:left w:val="none"/>
                          <w:bottom w:val="single" w:sz="5" w:color="D8D8D8"/>
                          <w:right w:val="none"/>
                        </w:tcBorders>
                        <w:textDirection w:val="lrTb"/>
                        <w:vAlign w:val="top"/>
                      </w:tcPr>
                      <w:p/>
                    </w:tc>
                    <w:tc>
                      <w:tcPr>
                        <w:tcW w:w="201" w:type="dxa"/>
                        <w:tcBorders>
                          <w:top w:val="none"/>
                          <w:left w:val="none"/>
                          <w:bottom w:val="single" w:sz="5" w:color="D8D8D8"/>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1" w:type="dxa"/>
                        <w:tcBorders>
                          <w:top w:val="none"/>
                          <w:left w:val="none"/>
                          <w:bottom w:val="single" w:sz="5" w:color="D8D8D8"/>
                          <w:right w:val="none"/>
                        </w:tcBorders>
                        <w:textDirection w:val="lrTb"/>
                        <w:vAlign w:val="top"/>
                      </w:tcPr>
                      <w:p/>
                    </w:tc>
                    <w:tc>
                      <w:tcPr>
                        <w:tcW w:w="203"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29"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restart"/>
                        <w:tcBorders>
                          <w:top w:val="single" w:sz="5" w:color="D8D8D8"/>
                          <w:left w:val="none"/>
                          <w:bottom w:val="none"/>
                          <w:right w:val="none"/>
                        </w:tcBorders>
                        <w:textDirection w:val="lrTb"/>
                        <w:vAlign w:val="top"/>
                      </w:tcPr>
                      <w:p>
                        <w:pPr>
                          <w:spacing w:before="14" w:after="0" w:line="240" w:lineRule="auto"/>
                          <w:ind w:right="0" w:left="0"/>
                          <w:jc w:val="center"/>
                          <w:textAlignment w:val="baseline"/>
                        </w:pPr>
                        <w:r>
                          <w:drawing>
                            <wp:inline>
                              <wp:extent cx="524510" cy="1819910"/>
                              <wp:docPr name="Picture" id="79"/>
                              <a:graphic>
                                <a:graphicData uri="http://schemas.openxmlformats.org/drawingml/2006/picture">
                                  <pic:pic>
                                    <pic:nvPicPr>
                                      <pic:cNvPr id="79" name="Picture"/>
                                      <pic:cNvPicPr preferRelativeResize="false"/>
                                    </pic:nvPicPr>
                                    <pic:blipFill>
                                      <a:blip r:embed="prId79"/>
                                      <a:stretch>
                                        <a:fillRect/>
                                      </a:stretch>
                                    </pic:blipFill>
                                    <pic:spPr>
                                      <a:xfrm>
                                        <a:off x="0" y="0"/>
                                        <a:ext cx="524510" cy="1819910"/>
                                      </a:xfrm>
                                      <a:prstGeom prst="rect"/>
                                    </pic:spPr>
                                  </pic:pic>
                                </a:graphicData>
                              </a:graphic>
                            </wp:inline>
                          </w:drawing>
                        </w:r>
                      </w:p>
                    </w:tc>
                    <w:tc>
                      <w:tcPr>
                        <w:tcW w:w="196" w:type="dxa"/>
                        <w:tcBorders>
                          <w:top w:val="single" w:sz="5" w:color="D8D8D8"/>
                          <w:left w:val="none"/>
                          <w:bottom w:val="none"/>
                          <w:right w:val="none"/>
                        </w:tcBorders>
                        <w:textDirection w:val="lrTb"/>
                        <w:vAlign w:val="top"/>
                      </w:tcPr>
                      <w:p/>
                    </w:tc>
                    <w:tc>
                      <w:tcPr>
                        <w:tcW w:w="53" w:type="dxa"/>
                        <w:tcBorders>
                          <w:top w:val="single" w:sz="5" w:color="D8D8D8"/>
                          <w:left w:val="none"/>
                          <w:bottom w:val="none"/>
                          <w:right w:val="none"/>
                        </w:tcBorders>
                        <w:textDirection w:val="lrTb"/>
                        <w:vAlign w:val="top"/>
                      </w:tcPr>
                      <w:p/>
                    </w:tc>
                    <w:tc>
                      <w:tcPr>
                        <w:tcW w:w="197" w:type="dxa"/>
                        <w:tcBorders>
                          <w:top w:val="single" w:sz="5" w:color="D8D8D8"/>
                          <w:left w:val="none"/>
                          <w:bottom w:val="none"/>
                          <w:right w:val="none"/>
                        </w:tcBorders>
                        <w:textDirection w:val="lrTb"/>
                        <w:vAlign w:val="top"/>
                      </w:tcPr>
                      <w:p/>
                    </w:tc>
                    <w:tc>
                      <w:tcPr>
                        <w:tcW w:w="426" w:type="dxa"/>
                        <w:tcBorders>
                          <w:top w:val="single" w:sz="5" w:color="D8D8D8"/>
                          <w:left w:val="none"/>
                          <w:bottom w:val="none"/>
                          <w:right w:val="none"/>
                        </w:tcBorders>
                        <w:textDirection w:val="lrTb"/>
                        <w:vAlign w:val="top"/>
                      </w:tcPr>
                      <w:p/>
                    </w:tc>
                    <w:tc>
                      <w:tcPr>
                        <w:tcW w:w="198" w:type="dxa"/>
                        <w:tcBorders>
                          <w:top w:val="single" w:sz="5" w:color="D8D8D8"/>
                          <w:left w:val="none"/>
                          <w:bottom w:val="none"/>
                          <w:right w:val="none"/>
                        </w:tcBorders>
                        <w:textDirection w:val="lrTb"/>
                        <w:vAlign w:val="top"/>
                      </w:tcPr>
                      <w:p/>
                    </w:tc>
                    <w:tc>
                      <w:tcPr>
                        <w:tcW w:w="52" w:type="dxa"/>
                        <w:tcBorders>
                          <w:top w:val="single" w:sz="5" w:color="D8D8D8"/>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single" w:sz="5" w:color="D8D8D8"/>
                          <w:left w:val="none"/>
                          <w:bottom w:val="none"/>
                          <w:right w:val="none"/>
                        </w:tcBorders>
                        <w:textDirection w:val="lrTb"/>
                        <w:vAlign w:val="top"/>
                      </w:tcPr>
                      <w:p/>
                    </w:tc>
                    <w:tc>
                      <w:tcPr>
                        <w:tcW w:w="202" w:type="dxa"/>
                        <w:tcBorders>
                          <w:top w:val="single" w:sz="5" w:color="D8D8D8"/>
                          <w:left w:val="none"/>
                          <w:bottom w:val="none"/>
                          <w:right w:val="none"/>
                        </w:tcBorders>
                        <w:textDirection w:val="lrTb"/>
                        <w:vAlign w:val="top"/>
                      </w:tcPr>
                      <w:p/>
                    </w:tc>
                    <w:tc>
                      <w:tcPr>
                        <w:tcW w:w="426" w:type="dxa"/>
                        <w:tcBorders>
                          <w:top w:val="single" w:sz="5" w:color="D8D8D8"/>
                          <w:left w:val="none"/>
                          <w:bottom w:val="none"/>
                          <w:right w:val="none"/>
                        </w:tcBorders>
                        <w:textDirection w:val="lrTb"/>
                        <w:vAlign w:val="top"/>
                      </w:tcPr>
                      <w:p/>
                    </w:tc>
                    <w:tc>
                      <w:tcPr>
                        <w:tcW w:w="198" w:type="dxa"/>
                        <w:tcBorders>
                          <w:top w:val="single" w:sz="5" w:color="D8D8D8"/>
                          <w:left w:val="none"/>
                          <w:bottom w:val="none"/>
                          <w:right w:val="none"/>
                        </w:tcBorders>
                        <w:textDirection w:val="lrTb"/>
                        <w:vAlign w:val="top"/>
                      </w:tcPr>
                      <w:p/>
                    </w:tc>
                    <w:tc>
                      <w:tcPr>
                        <w:tcW w:w="48" w:type="dxa"/>
                        <w:tcBorders>
                          <w:top w:val="single" w:sz="5" w:color="D8D8D8"/>
                          <w:left w:val="none"/>
                          <w:bottom w:val="none"/>
                          <w:right w:val="none"/>
                        </w:tcBorders>
                        <w:textDirection w:val="lrTb"/>
                        <w:vAlign w:val="top"/>
                      </w:tcPr>
                      <w:p/>
                    </w:tc>
                    <w:tc>
                      <w:tcPr>
                        <w:tcW w:w="201" w:type="dxa"/>
                        <w:tcBorders>
                          <w:top w:val="single" w:sz="5" w:color="D8D8D8"/>
                          <w:left w:val="none"/>
                          <w:bottom w:val="none"/>
                          <w:right w:val="none"/>
                        </w:tcBorders>
                        <w:textDirection w:val="lrTb"/>
                        <w:vAlign w:val="top"/>
                      </w:tcPr>
                      <w:p/>
                    </w:tc>
                    <w:tc>
                      <w:tcPr>
                        <w:tcW w:w="53" w:type="dxa"/>
                        <w:tcBorders>
                          <w:top w:val="single" w:sz="5" w:color="D8D8D8"/>
                          <w:left w:val="none"/>
                          <w:bottom w:val="none"/>
                          <w:right w:val="none"/>
                        </w:tcBorders>
                        <w:textDirection w:val="lrTb"/>
                        <w:vAlign w:val="top"/>
                      </w:tcPr>
                      <w:p/>
                    </w:tc>
                    <w:tc>
                      <w:tcPr>
                        <w:tcW w:w="197" w:type="dxa"/>
                        <w:tcBorders>
                          <w:top w:val="single" w:sz="5" w:color="D8D8D8"/>
                          <w:left w:val="none"/>
                          <w:bottom w:val="none"/>
                          <w:right w:val="none"/>
                        </w:tcBorders>
                        <w:textDirection w:val="lrTb"/>
                        <w:vAlign w:val="top"/>
                      </w:tcPr>
                      <w:p/>
                    </w:tc>
                    <w:tc>
                      <w:tcPr>
                        <w:tcW w:w="421" w:type="dxa"/>
                        <w:tcBorders>
                          <w:top w:val="single" w:sz="5" w:color="D8D8D8"/>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33"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87"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67" w:hRule="exact"/>
                    </w:trPr>
                    <w:tc>
                      <w:tcPr>
                        <w:tcW w:w="523" w:type="dxa"/>
                        <w:tcBorders>
                          <w:top w:val="none"/>
                          <w:left w:val="none"/>
                          <w:bottom w:val="none"/>
                          <w:right w:val="none"/>
                        </w:tcBorders>
                        <w:textDirection w:val="lrTb"/>
                        <w:vAlign w:val="top"/>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41" w:hRule="exact"/>
                    </w:trPr>
                    <w:tc>
                      <w:tcPr>
                        <w:tcW w:w="523" w:type="dxa"/>
                        <w:tcBorders>
                          <w:top w:val="none"/>
                          <w:left w:val="none"/>
                          <w:bottom w:val="none"/>
                          <w:right w:val="none"/>
                        </w:tcBorders>
                        <w:textDirection w:val="lrTb"/>
                        <w:vAlign w:val="top"/>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237" w:hRule="exact"/>
                    </w:trPr>
                    <w:tc>
                      <w:tcPr>
                        <w:tcW w:w="523" w:type="dxa"/>
                        <w:vMerge w:val="restart"/>
                        <w:tcBorders>
                          <w:top w:val="none"/>
                          <w:left w:val="none"/>
                          <w:bottom w:val="none"/>
                          <w:right w:val="none"/>
                        </w:tcBorders>
                        <w:textDirection w:val="lrTb"/>
                        <w:vAlign w:val="center"/>
                      </w:tcPr>
                      <w:p>
                        <w:pPr>
                          <w:spacing w:before="144" w:after="43"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w:t>
                        </w: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6" w:type="dxa"/>
                        <w:tcBorders>
                          <w:top w:val="none"/>
                          <w:left w:val="none"/>
                          <w:bottom w:val="single" w:sz="5"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single" w:sz="5" w:color="D8D8D8"/>
                          <w:right w:val="none"/>
                        </w:tcBorders>
                        <w:textDirection w:val="lrTb"/>
                        <w:vAlign w:val="top"/>
                      </w:tcPr>
                      <w:p/>
                    </w:tc>
                    <w:tc>
                      <w:tcPr>
                        <w:tcW w:w="202" w:type="dxa"/>
                        <w:tcBorders>
                          <w:top w:val="none"/>
                          <w:left w:val="none"/>
                          <w:bottom w:val="single" w:sz="5" w:color="D8D8D8"/>
                          <w:right w:val="none"/>
                        </w:tcBorders>
                        <w:textDirection w:val="lrTb"/>
                        <w:vAlign w:val="top"/>
                      </w:tcPr>
                      <w:p/>
                    </w:tc>
                    <w:tc>
                      <w:tcPr>
                        <w:tcW w:w="426" w:type="dxa"/>
                        <w:tcBorders>
                          <w:top w:val="none"/>
                          <w:left w:val="none"/>
                          <w:bottom w:val="single" w:sz="5"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1" w:type="dxa"/>
                        <w:tcBorders>
                          <w:top w:val="none"/>
                          <w:left w:val="none"/>
                          <w:bottom w:val="single" w:sz="5"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single" w:sz="5" w:color="D8D8D8"/>
                          <w:right w:val="none"/>
                        </w:tcBorders>
                        <w:textDirection w:val="lrTb"/>
                        <w:vAlign w:val="top"/>
                      </w:tcPr>
                      <w:p/>
                    </w:tc>
                    <w:tc>
                      <w:tcPr>
                        <w:tcW w:w="201" w:type="dxa"/>
                        <w:tcBorders>
                          <w:top w:val="none"/>
                          <w:left w:val="none"/>
                          <w:bottom w:val="single" w:sz="5" w:color="D8D8D8"/>
                          <w:right w:val="none"/>
                        </w:tcBorders>
                        <w:textDirection w:val="lrTb"/>
                        <w:vAlign w:val="top"/>
                      </w:tcPr>
                      <w:p/>
                    </w:tc>
                    <w:tc>
                      <w:tcPr>
                        <w:tcW w:w="427"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716" w:type="dxa"/>
                        <w:tcBorders>
                          <w:top w:val="none"/>
                          <w:left w:val="none"/>
                          <w:bottom w:val="single" w:sz="5" w:color="D8D8D8"/>
                          <w:right w:val="none"/>
                        </w:tcBorders>
                        <w:textDirection w:val="lrTb"/>
                        <w:vAlign w:val="top"/>
                      </w:tcPr>
                      <w:p/>
                    </w:tc>
                  </w:tr>
                  <w:tr>
                    <w:trPr>
                      <w:trHeight w:val="19"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single" w:sz="5" w:color="D8D8D8"/>
                          <w:left w:val="none"/>
                          <w:bottom w:val="none"/>
                          <w:right w:val="none"/>
                        </w:tcBorders>
                        <w:textDirection w:val="lrTb"/>
                        <w:vAlign w:val="top"/>
                      </w:tcPr>
                      <w:p/>
                    </w:tc>
                    <w:tc>
                      <w:tcPr>
                        <w:tcW w:w="197" w:type="dxa"/>
                        <w:tcBorders>
                          <w:top w:val="single" w:sz="5" w:color="D8D8D8"/>
                          <w:left w:val="none"/>
                          <w:bottom w:val="none"/>
                          <w:right w:val="none"/>
                        </w:tcBorders>
                        <w:textDirection w:val="lrTb"/>
                        <w:vAlign w:val="top"/>
                      </w:tcPr>
                      <w:p/>
                    </w:tc>
                    <w:tc>
                      <w:tcPr>
                        <w:tcW w:w="426" w:type="dxa"/>
                        <w:tcBorders>
                          <w:top w:val="single" w:sz="5" w:color="D8D8D8"/>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single" w:sz="5" w:color="D8D8D8"/>
                          <w:left w:val="none"/>
                          <w:bottom w:val="none"/>
                          <w:right w:val="none"/>
                        </w:tcBorders>
                        <w:textDirection w:val="lrTb"/>
                        <w:vAlign w:val="top"/>
                      </w:tcPr>
                      <w:p/>
                    </w:tc>
                    <w:tc>
                      <w:tcPr>
                        <w:tcW w:w="202" w:type="dxa"/>
                        <w:tcBorders>
                          <w:top w:val="single" w:sz="5" w:color="D8D8D8"/>
                          <w:left w:val="none"/>
                          <w:bottom w:val="none"/>
                          <w:right w:val="none"/>
                        </w:tcBorders>
                        <w:textDirection w:val="lrTb"/>
                        <w:vAlign w:val="top"/>
                      </w:tcPr>
                      <w:p/>
                    </w:tc>
                    <w:tc>
                      <w:tcPr>
                        <w:tcW w:w="426" w:type="dxa"/>
                        <w:tcBorders>
                          <w:top w:val="single" w:sz="5" w:color="D8D8D8"/>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single" w:sz="5" w:color="D8D8D8"/>
                          <w:left w:val="none"/>
                          <w:bottom w:val="none"/>
                          <w:right w:val="none"/>
                        </w:tcBorders>
                        <w:textDirection w:val="lrTb"/>
                        <w:vAlign w:val="top"/>
                      </w:tcPr>
                      <w:p/>
                    </w:tc>
                    <w:tc>
                      <w:tcPr>
                        <w:tcW w:w="197" w:type="dxa"/>
                        <w:tcBorders>
                          <w:top w:val="single" w:sz="5" w:color="D8D8D8"/>
                          <w:left w:val="none"/>
                          <w:bottom w:val="none"/>
                          <w:right w:val="none"/>
                        </w:tcBorders>
                        <w:textDirection w:val="lrTb"/>
                        <w:vAlign w:val="top"/>
                      </w:tcPr>
                      <w:p/>
                    </w:tc>
                    <w:tc>
                      <w:tcPr>
                        <w:tcW w:w="421" w:type="dxa"/>
                        <w:tcBorders>
                          <w:top w:val="single" w:sz="5" w:color="D8D8D8"/>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single" w:sz="5" w:color="D8D8D8"/>
                          <w:left w:val="none"/>
                          <w:bottom w:val="none"/>
                          <w:right w:val="none"/>
                        </w:tcBorders>
                        <w:textDirection w:val="lrTb"/>
                        <w:vAlign w:val="top"/>
                      </w:tcPr>
                      <w:p/>
                    </w:tc>
                    <w:tc>
                      <w:tcPr>
                        <w:tcW w:w="201" w:type="dxa"/>
                        <w:tcBorders>
                          <w:top w:val="single" w:sz="5" w:color="D8D8D8"/>
                          <w:left w:val="none"/>
                          <w:bottom w:val="none"/>
                          <w:right w:val="none"/>
                        </w:tcBorders>
                        <w:textDirection w:val="lrTb"/>
                        <w:vAlign w:val="top"/>
                      </w:tcPr>
                      <w:p/>
                    </w:tc>
                    <w:tc>
                      <w:tcPr>
                        <w:tcW w:w="427" w:type="dxa"/>
                        <w:tcBorders>
                          <w:top w:val="single" w:sz="5" w:color="D8D8D8"/>
                          <w:left w:val="none"/>
                          <w:bottom w:val="none"/>
                          <w:right w:val="none"/>
                        </w:tcBorders>
                        <w:textDirection w:val="lrTb"/>
                        <w:vAlign w:val="top"/>
                      </w:tcPr>
                      <w:p/>
                    </w:tc>
                    <w:tc>
                      <w:tcPr>
                        <w:tcW w:w="197" w:type="dxa"/>
                        <w:tcBorders>
                          <w:top w:val="single" w:sz="5" w:color="D8D8D8"/>
                          <w:left w:val="none"/>
                          <w:bottom w:val="none"/>
                          <w:right w:val="none"/>
                        </w:tcBorders>
                        <w:textDirection w:val="lrTb"/>
                        <w:vAlign w:val="top"/>
                      </w:tcPr>
                      <w:p/>
                    </w:tc>
                    <w:tc>
                      <w:tcPr>
                        <w:tcW w:w="716" w:type="dxa"/>
                        <w:tcBorders>
                          <w:top w:val="single" w:sz="5" w:color="D8D8D8"/>
                          <w:left w:val="none"/>
                          <w:bottom w:val="none"/>
                          <w:right w:val="none"/>
                        </w:tcBorders>
                        <w:textDirection w:val="lrTb"/>
                        <w:vAlign w:val="top"/>
                      </w:tcPr>
                      <w:p/>
                    </w:tc>
                  </w:tr>
                  <w:tr>
                    <w:trPr>
                      <w:trHeight w:val="20"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96"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108" w:hRule="exact"/>
                    </w:trPr>
                    <w:tc>
                      <w:tcPr>
                        <w:tcW w:w="523" w:type="dxa"/>
                        <w:tcBorders>
                          <w:top w:val="none"/>
                          <w:left w:val="none"/>
                          <w:bottom w:val="none"/>
                          <w:right w:val="none"/>
                        </w:tcBorders>
                        <w:textDirection w:val="lrTb"/>
                        <w:vAlign w:val="top"/>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tcBorders>
                          <w:top w:val="none"/>
                          <w:left w:val="none"/>
                          <w:bottom w:val="none"/>
                          <w:right w:val="none"/>
                        </w:tcBorders>
                        <w:textDirection w:val="lrTb"/>
                        <w:vAlign w:val="top"/>
                      </w:tcPr>
                      <w:p/>
                    </w:tc>
                  </w:tr>
                  <w:tr>
                    <w:trPr>
                      <w:trHeight w:val="208" w:hRule="exact"/>
                    </w:trPr>
                    <w:tc>
                      <w:tcPr>
                        <w:tcW w:w="523" w:type="dxa"/>
                        <w:vMerge w:val="restart"/>
                        <w:tcBorders>
                          <w:top w:val="none"/>
                          <w:left w:val="none"/>
                          <w:bottom w:val="none"/>
                          <w:right w:val="none"/>
                        </w:tcBorders>
                        <w:textDirection w:val="lrTb"/>
                        <w:vAlign w:val="center"/>
                      </w:tcPr>
                      <w:p>
                        <w:pPr>
                          <w:spacing w:before="144" w:after="139"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w:t>
                        </w: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single" w:sz="4" w:color="D8D8D8"/>
                          <w:right w:val="none"/>
                        </w:tcBorders>
                        <w:textDirection w:val="lrTb"/>
                        <w:vAlign w:val="top"/>
                      </w:tcPr>
                      <w:p/>
                    </w:tc>
                    <w:tc>
                      <w:tcPr>
                        <w:tcW w:w="197" w:type="dxa"/>
                        <w:tcBorders>
                          <w:top w:val="none"/>
                          <w:left w:val="none"/>
                          <w:bottom w:val="single" w:sz="4" w:color="D8D8D8"/>
                          <w:right w:val="none"/>
                        </w:tcBorders>
                        <w:textDirection w:val="lrTb"/>
                        <w:vAlign w:val="top"/>
                      </w:tcPr>
                      <w:p/>
                    </w:tc>
                    <w:tc>
                      <w:tcPr>
                        <w:tcW w:w="421" w:type="dxa"/>
                        <w:tcBorders>
                          <w:top w:val="none"/>
                          <w:left w:val="none"/>
                          <w:bottom w:val="single" w:sz="4"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421005" cy="1295400"/>
                              <wp:docPr name="Picture" id="80"/>
                              <a:graphic>
                                <a:graphicData uri="http://schemas.openxmlformats.org/drawingml/2006/picture">
                                  <pic:pic>
                                    <pic:nvPicPr>
                                      <pic:cNvPr id="80" name="Picture"/>
                                      <pic:cNvPicPr preferRelativeResize="false"/>
                                    </pic:nvPicPr>
                                    <pic:blipFill>
                                      <a:blip r:embed="prId80"/>
                                      <a:stretch>
                                        <a:fillRect/>
                                      </a:stretch>
                                    </pic:blipFill>
                                    <pic:spPr>
                                      <a:xfrm>
                                        <a:off x="0" y="0"/>
                                        <a:ext cx="421005" cy="1295400"/>
                                      </a:xfrm>
                                      <a:prstGeom prst="rect"/>
                                    </pic:spPr>
                                  </pic:pic>
                                </a:graphicData>
                              </a:graphic>
                            </wp:inline>
                          </w:drawing>
                        </w:r>
                      </w:p>
                    </w:tc>
                  </w:tr>
                  <w:tr>
                    <w:trPr>
                      <w:trHeight w:val="39"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single" w:sz="4" w:color="D8D8D8"/>
                          <w:left w:val="none"/>
                          <w:bottom w:val="single" w:sz="4" w:color="D8D8D8"/>
                          <w:right w:val="none"/>
                        </w:tcBorders>
                        <w:textDirection w:val="lrTb"/>
                        <w:vAlign w:val="top"/>
                      </w:tcPr>
                      <w:p/>
                    </w:tc>
                    <w:tc>
                      <w:tcPr>
                        <w:tcW w:w="197" w:type="dxa"/>
                        <w:tcBorders>
                          <w:top w:val="single" w:sz="4" w:color="D8D8D8"/>
                          <w:left w:val="none"/>
                          <w:bottom w:val="single" w:sz="4" w:color="D8D8D8"/>
                          <w:right w:val="none"/>
                        </w:tcBorders>
                        <w:textDirection w:val="lrTb"/>
                        <w:vAlign w:val="top"/>
                      </w:tcPr>
                      <w:p/>
                    </w:tc>
                    <w:tc>
                      <w:tcPr>
                        <w:tcW w:w="421" w:type="dxa"/>
                        <w:tcBorders>
                          <w:top w:val="single" w:sz="4" w:color="D8D8D8"/>
                          <w:left w:val="none"/>
                          <w:bottom w:val="single" w:sz="4"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716" w:type="dxa"/>
                        <w:vMerge w:val="continue"/>
                        <w:tcBorders>
                          <w:top w:val="none"/>
                          <w:left w:val="none"/>
                          <w:bottom w:val="none"/>
                          <w:right w:val="none"/>
                        </w:tcBorders>
                        <w:textDirection w:val="lrTb"/>
                        <w:vAlign w:val="top"/>
                      </w:tcPr>
                      <w:p/>
                    </w:tc>
                  </w:tr>
                  <w:tr>
                    <w:trPr>
                      <w:trHeight w:val="230" w:hRule="exact"/>
                    </w:trPr>
                    <w:tc>
                      <w:tcPr>
                        <w:tcW w:w="523" w:type="dxa"/>
                        <w:vMerge w:val="continue"/>
                        <w:tcBorders>
                          <w:top w:val="none"/>
                          <w:left w:val="none"/>
                          <w:bottom w:val="none"/>
                          <w:right w:val="none"/>
                        </w:tcBorders>
                        <w:textDirection w:val="lrTb"/>
                        <w:vAlign w:val="center"/>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single" w:sz="4" w:color="D8D8D8"/>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single" w:sz="4" w:color="D8D8D8"/>
                          <w:left w:val="none"/>
                          <w:bottom w:val="none"/>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single" w:sz="4" w:color="D8D8D8"/>
                          <w:left w:val="none"/>
                          <w:bottom w:val="none"/>
                          <w:right w:val="none"/>
                        </w:tcBorders>
                        <w:textDirection w:val="lrTb"/>
                        <w:vAlign w:val="top"/>
                      </w:tcPr>
                      <w:p/>
                    </w:tc>
                    <w:tc>
                      <w:tcPr>
                        <w:tcW w:w="197" w:type="dxa"/>
                        <w:tcBorders>
                          <w:top w:val="single" w:sz="4" w:color="D8D8D8"/>
                          <w:left w:val="none"/>
                          <w:bottom w:val="none"/>
                          <w:right w:val="none"/>
                        </w:tcBorders>
                        <w:shd w:val="clear" w:color="186B23" w:fill="186B23"/>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21" w:type="dxa"/>
                        <w:tcBorders>
                          <w:top w:val="single" w:sz="4" w:color="D8D8D8"/>
                          <w:left w:val="none"/>
                          <w:bottom w:val="none"/>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716" w:type="dxa"/>
                        <w:vMerge w:val="continue"/>
                        <w:tcBorders>
                          <w:top w:val="none"/>
                          <w:left w:val="none"/>
                          <w:bottom w:val="none"/>
                          <w:right w:val="none"/>
                        </w:tcBorders>
                        <w:textDirection w:val="lrTb"/>
                        <w:vAlign w:val="top"/>
                      </w:tcPr>
                      <w:p/>
                    </w:tc>
                  </w:tr>
                  <w:tr>
                    <w:trPr>
                      <w:trHeight w:val="235" w:hRule="exact"/>
                    </w:trPr>
                    <w:tc>
                      <w:tcPr>
                        <w:tcW w:w="523" w:type="dxa"/>
                        <w:vMerge w:val="restart"/>
                        <w:tcBorders>
                          <w:top w:val="none"/>
                          <w:left w:val="none"/>
                          <w:bottom w:val="none"/>
                          <w:right w:val="none"/>
                        </w:tcBorders>
                        <w:textDirection w:val="lrTb"/>
                        <w:vAlign w:val="top"/>
                      </w:tcPr>
                      <w:p>
                        <w:pPr>
                          <w:spacing w:before="142" w:after="0"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w:t>
                        </w:r>
                      </w:p>
                      <w:p>
                        <w:pPr>
                          <w:spacing w:before="301" w:after="0"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p>
                        <w:pPr>
                          <w:spacing w:before="301" w:after="0" w:line="17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p>
                        <w:pPr>
                          <w:spacing w:before="301" w:after="0" w:line="146"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none"/>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none"/>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none"/>
                          <w:left w:val="none"/>
                          <w:bottom w:val="single" w:sz="4"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none"/>
                          <w:left w:val="none"/>
                          <w:bottom w:val="single" w:sz="4" w:color="D8D8D8"/>
                          <w:right w:val="none"/>
                        </w:tcBorders>
                        <w:textDirection w:val="lrTb"/>
                        <w:vAlign w:val="top"/>
                      </w:tcPr>
                      <w:p/>
                    </w:tc>
                    <w:tc>
                      <w:tcPr>
                        <w:tcW w:w="197" w:type="dxa"/>
                        <w:tcBorders>
                          <w:top w:val="none"/>
                          <w:left w:val="none"/>
                          <w:bottom w:val="none"/>
                          <w:right w:val="none"/>
                        </w:tcBorders>
                        <w:textDirection w:val="lrTb"/>
                        <w:vAlign w:val="top"/>
                      </w:tcPr>
                      <w:p/>
                    </w:tc>
                    <w:tc>
                      <w:tcPr>
                        <w:tcW w:w="716" w:type="dxa"/>
                        <w:vMerge w:val="continue"/>
                        <w:tcBorders>
                          <w:top w:val="none"/>
                          <w:left w:val="none"/>
                          <w:bottom w:val="none"/>
                          <w:right w:val="none"/>
                        </w:tcBorders>
                        <w:textDirection w:val="lrTb"/>
                        <w:vAlign w:val="top"/>
                      </w:tcPr>
                      <w:p/>
                    </w:tc>
                  </w:tr>
                  <w:tr>
                    <w:trPr>
                      <w:trHeight w:val="480" w:hRule="exact"/>
                    </w:trPr>
                    <w:tc>
                      <w:tcPr>
                        <w:tcW w:w="523" w:type="dxa"/>
                        <w:vMerge w:val="continue"/>
                        <w:tcBorders>
                          <w:top w:val="none"/>
                          <w:left w:val="none"/>
                          <w:bottom w:val="none"/>
                          <w:right w:val="none"/>
                        </w:tcBorders>
                        <w:textDirection w:val="lrTb"/>
                        <w:vAlign w:val="top"/>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single" w:sz="4" w:color="D8D8D8"/>
                          <w:left w:val="none"/>
                          <w:bottom w:val="single" w:sz="4"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single" w:sz="4" w:color="D8D8D8"/>
                          <w:left w:val="none"/>
                          <w:bottom w:val="single" w:sz="4" w:color="D8D8D8"/>
                          <w:right w:val="none"/>
                        </w:tcBorders>
                        <w:textDirection w:val="lrTb"/>
                        <w:vAlign w:val="top"/>
                      </w:tcPr>
                      <w:p/>
                    </w:tc>
                    <w:tc>
                      <w:tcPr>
                        <w:tcW w:w="197" w:type="dxa"/>
                        <w:tcBorders>
                          <w:top w:val="none"/>
                          <w:left w:val="none"/>
                          <w:bottom w:val="none"/>
                          <w:right w:val="none"/>
                        </w:tcBorders>
                        <w:textDirection w:val="lrTb"/>
                        <w:vAlign w:val="top"/>
                      </w:tcPr>
                      <w:p/>
                    </w:tc>
                    <w:tc>
                      <w:tcPr>
                        <w:tcW w:w="716" w:type="dxa"/>
                        <w:vMerge w:val="continue"/>
                        <w:tcBorders>
                          <w:top w:val="none"/>
                          <w:left w:val="none"/>
                          <w:bottom w:val="none"/>
                          <w:right w:val="none"/>
                        </w:tcBorders>
                        <w:textDirection w:val="lrTb"/>
                        <w:vAlign w:val="top"/>
                      </w:tcPr>
                      <w:p/>
                    </w:tc>
                  </w:tr>
                  <w:tr>
                    <w:trPr>
                      <w:trHeight w:val="480" w:hRule="exact"/>
                    </w:trPr>
                    <w:tc>
                      <w:tcPr>
                        <w:tcW w:w="523" w:type="dxa"/>
                        <w:vMerge w:val="continue"/>
                        <w:tcBorders>
                          <w:top w:val="none"/>
                          <w:left w:val="none"/>
                          <w:bottom w:val="none"/>
                          <w:right w:val="none"/>
                        </w:tcBorders>
                        <w:textDirection w:val="lrTb"/>
                        <w:vAlign w:val="top"/>
                      </w:tcPr>
                      <w:p/>
                    </w:tc>
                    <w:tc>
                      <w:tcPr>
                        <w:tcW w:w="465" w:type="dxa"/>
                        <w:vMerge w:val="continue"/>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101" w:type="dxa"/>
                        <w:tcBorders>
                          <w:top w:val="none"/>
                          <w:left w:val="none"/>
                          <w:bottom w:val="none"/>
                          <w:right w:val="none"/>
                        </w:tcBorders>
                        <w:textDirection w:val="lrTb"/>
                        <w:vAlign w:val="top"/>
                      </w:tcPr>
                      <w:p/>
                    </w:tc>
                    <w:tc>
                      <w:tcPr>
                        <w:tcW w:w="922" w:type="dxa"/>
                        <w:vMerge w:val="continue"/>
                        <w:tcBorders>
                          <w:top w:val="none"/>
                          <w:left w:val="none"/>
                          <w:bottom w:val="none"/>
                          <w:right w:val="none"/>
                        </w:tcBorders>
                        <w:textDirection w:val="lrTb"/>
                        <w:vAlign w:val="top"/>
                      </w:tcPr>
                      <w:p/>
                    </w:tc>
                    <w:tc>
                      <w:tcPr>
                        <w:tcW w:w="196"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52" w:type="dxa"/>
                        <w:tcBorders>
                          <w:top w:val="none"/>
                          <w:left w:val="none"/>
                          <w:bottom w:val="none"/>
                          <w:right w:val="none"/>
                        </w:tcBorders>
                        <w:textDirection w:val="lrTb"/>
                        <w:vAlign w:val="top"/>
                      </w:tcPr>
                      <w:p/>
                    </w:tc>
                    <w:tc>
                      <w:tcPr>
                        <w:tcW w:w="1119" w:type="dxa"/>
                        <w:vMerge w:val="continue"/>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3" w:type="dxa"/>
                        <w:tcBorders>
                          <w:top w:val="none"/>
                          <w:left w:val="none"/>
                          <w:bottom w:val="none"/>
                          <w:right w:val="none"/>
                        </w:tcBorders>
                        <w:textDirection w:val="lrTb"/>
                        <w:vAlign w:val="top"/>
                      </w:tcPr>
                      <w:p/>
                    </w:tc>
                    <w:tc>
                      <w:tcPr>
                        <w:tcW w:w="202" w:type="dxa"/>
                        <w:tcBorders>
                          <w:top w:val="none"/>
                          <w:left w:val="none"/>
                          <w:bottom w:val="none"/>
                          <w:right w:val="none"/>
                        </w:tcBorders>
                        <w:textDirection w:val="lrTb"/>
                        <w:vAlign w:val="top"/>
                      </w:tcPr>
                      <w:p/>
                    </w:tc>
                    <w:tc>
                      <w:tcPr>
                        <w:tcW w:w="426" w:type="dxa"/>
                        <w:tcBorders>
                          <w:top w:val="single" w:sz="4" w:color="D8D8D8"/>
                          <w:left w:val="none"/>
                          <w:bottom w:val="single" w:sz="4" w:color="D8D8D8"/>
                          <w:right w:val="none"/>
                        </w:tcBorders>
                        <w:textDirection w:val="lrTb"/>
                        <w:vAlign w:val="top"/>
                      </w:tcPr>
                      <w:p/>
                    </w:tc>
                    <w:tc>
                      <w:tcPr>
                        <w:tcW w:w="198"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53" w:type="dxa"/>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21" w:type="dxa"/>
                        <w:tcBorders>
                          <w:top w:val="single" w:sz="4" w:color="D8D8D8"/>
                          <w:left w:val="none"/>
                          <w:bottom w:val="single" w:sz="4" w:color="D8D8D8"/>
                          <w:right w:val="none"/>
                        </w:tcBorders>
                        <w:textDirection w:val="lrTb"/>
                        <w:vAlign w:val="top"/>
                      </w:tcPr>
                      <w:p/>
                    </w:tc>
                    <w:tc>
                      <w:tcPr>
                        <w:tcW w:w="203" w:type="dxa"/>
                        <w:tcBorders>
                          <w:top w:val="none"/>
                          <w:left w:val="none"/>
                          <w:bottom w:val="none"/>
                          <w:right w:val="none"/>
                        </w:tcBorders>
                        <w:textDirection w:val="lrTb"/>
                        <w:vAlign w:val="top"/>
                      </w:tcPr>
                      <w:p/>
                    </w:tc>
                    <w:tc>
                      <w:tcPr>
                        <w:tcW w:w="1171" w:type="dxa"/>
                        <w:vMerge w:val="continue"/>
                        <w:tcBorders>
                          <w:top w:val="none"/>
                          <w:left w:val="none"/>
                          <w:bottom w:val="none"/>
                          <w:right w:val="none"/>
                        </w:tcBorders>
                        <w:textDirection w:val="lrTb"/>
                        <w:vAlign w:val="top"/>
                      </w:tcPr>
                      <w:p/>
                    </w:tc>
                    <w:tc>
                      <w:tcPr>
                        <w:tcW w:w="197" w:type="dxa"/>
                        <w:tcBorders>
                          <w:top w:val="none"/>
                          <w:left w:val="none"/>
                          <w:bottom w:val="none"/>
                          <w:right w:val="none"/>
                        </w:tcBorders>
                        <w:textDirection w:val="lrTb"/>
                        <w:vAlign w:val="top"/>
                      </w:tcPr>
                      <w:p/>
                    </w:tc>
                    <w:tc>
                      <w:tcPr>
                        <w:tcW w:w="48" w:type="dxa"/>
                        <w:tcBorders>
                          <w:top w:val="none"/>
                          <w:left w:val="none"/>
                          <w:bottom w:val="none"/>
                          <w:right w:val="none"/>
                        </w:tcBorders>
                        <w:textDirection w:val="lrTb"/>
                        <w:vAlign w:val="top"/>
                      </w:tcPr>
                      <w:p/>
                    </w:tc>
                    <w:tc>
                      <w:tcPr>
                        <w:tcW w:w="201" w:type="dxa"/>
                        <w:tcBorders>
                          <w:top w:val="none"/>
                          <w:left w:val="none"/>
                          <w:bottom w:val="none"/>
                          <w:right w:val="none"/>
                        </w:tcBorders>
                        <w:textDirection w:val="lrTb"/>
                        <w:vAlign w:val="top"/>
                      </w:tcPr>
                      <w:p/>
                    </w:tc>
                    <w:tc>
                      <w:tcPr>
                        <w:tcW w:w="427" w:type="dxa"/>
                        <w:tcBorders>
                          <w:top w:val="single" w:sz="4" w:color="D8D8D8"/>
                          <w:left w:val="none"/>
                          <w:bottom w:val="single" w:sz="4" w:color="D8D8D8"/>
                          <w:right w:val="none"/>
                        </w:tcBorders>
                        <w:textDirection w:val="lrTb"/>
                        <w:vAlign w:val="top"/>
                      </w:tcPr>
                      <w:p/>
                    </w:tc>
                    <w:tc>
                      <w:tcPr>
                        <w:tcW w:w="197" w:type="dxa"/>
                        <w:tcBorders>
                          <w:top w:val="none"/>
                          <w:left w:val="none"/>
                          <w:bottom w:val="none"/>
                          <w:right w:val="none"/>
                        </w:tcBorders>
                        <w:textDirection w:val="lrTb"/>
                        <w:vAlign w:val="top"/>
                      </w:tcPr>
                      <w:p/>
                    </w:tc>
                    <w:tc>
                      <w:tcPr>
                        <w:tcW w:w="716" w:type="dxa"/>
                        <w:vMerge w:val="continue"/>
                        <w:tcBorders>
                          <w:top w:val="none"/>
                          <w:left w:val="none"/>
                          <w:bottom w:val="none"/>
                          <w:right w:val="none"/>
                        </w:tcBorders>
                        <w:textDirection w:val="lrTb"/>
                        <w:vAlign w:val="top"/>
                      </w:tcPr>
                      <w:p/>
                    </w:tc>
                  </w:tr>
                  <w:tr>
                    <w:trPr>
                      <w:trHeight w:val="471" w:hRule="exact"/>
                    </w:trPr>
                    <w:tc>
                      <w:tcPr>
                        <w:tcW w:w="523" w:type="dxa"/>
                        <w:vMerge w:val="continue"/>
                        <w:tcBorders>
                          <w:top w:val="none"/>
                          <w:left w:val="none"/>
                          <w:bottom w:val="none"/>
                          <w:right w:val="none"/>
                        </w:tcBorders>
                        <w:textDirection w:val="lrTb"/>
                        <w:vAlign w:val="top"/>
                      </w:tcPr>
                      <w:p/>
                    </w:tc>
                    <w:tc>
                      <w:tcPr>
                        <w:tcW w:w="465" w:type="dxa"/>
                        <w:vMerge w:val="continue"/>
                        <w:tcBorders>
                          <w:top w:val="none"/>
                          <w:left w:val="none"/>
                          <w:bottom w:val="single" w:sz="5" w:color="D8D8D8"/>
                          <w:right w:val="none"/>
                        </w:tcBorders>
                        <w:textDirection w:val="lrTb"/>
                        <w:vAlign w:val="top"/>
                      </w:tcPr>
                      <w:p/>
                    </w:tc>
                    <w:tc>
                      <w:tcPr>
                        <w:tcW w:w="101" w:type="dxa"/>
                        <w:tcBorders>
                          <w:top w:val="none"/>
                          <w:left w:val="none"/>
                          <w:bottom w:val="single" w:sz="5" w:color="D8D8D8"/>
                          <w:right w:val="none"/>
                        </w:tcBorders>
                        <w:textDirection w:val="lrTb"/>
                        <w:vAlign w:val="top"/>
                      </w:tcPr>
                      <w:p/>
                    </w:tc>
                    <w:tc>
                      <w:tcPr>
                        <w:tcW w:w="101" w:type="dxa"/>
                        <w:tcBorders>
                          <w:top w:val="none"/>
                          <w:left w:val="none"/>
                          <w:bottom w:val="single" w:sz="5" w:color="D8D8D8"/>
                          <w:right w:val="none"/>
                        </w:tcBorders>
                        <w:textDirection w:val="lrTb"/>
                        <w:vAlign w:val="top"/>
                      </w:tcPr>
                      <w:p/>
                    </w:tc>
                    <w:tc>
                      <w:tcPr>
                        <w:tcW w:w="922" w:type="dxa"/>
                        <w:vMerge w:val="continue"/>
                        <w:tcBorders>
                          <w:top w:val="none"/>
                          <w:left w:val="none"/>
                          <w:bottom w:val="single" w:sz="5" w:color="D8D8D8"/>
                          <w:right w:val="none"/>
                        </w:tcBorders>
                        <w:textDirection w:val="lrTb"/>
                        <w:vAlign w:val="top"/>
                      </w:tcPr>
                      <w:p/>
                    </w:tc>
                    <w:tc>
                      <w:tcPr>
                        <w:tcW w:w="196" w:type="dxa"/>
                        <w:tcBorders>
                          <w:top w:val="none"/>
                          <w:left w:val="none"/>
                          <w:bottom w:val="single" w:sz="5" w:color="D8D8D8"/>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6" w:type="dxa"/>
                        <w:tcBorders>
                          <w:top w:val="single" w:sz="4" w:color="D8D8D8"/>
                          <w:left w:val="none"/>
                          <w:bottom w:val="single" w:sz="5" w:color="D8D8D8"/>
                          <w:right w:val="none"/>
                        </w:tcBorders>
                        <w:textDirection w:val="lrTb"/>
                        <w:vAlign w:val="top"/>
                      </w:tcPr>
                      <w:p/>
                    </w:tc>
                    <w:tc>
                      <w:tcPr>
                        <w:tcW w:w="198" w:type="dxa"/>
                        <w:tcBorders>
                          <w:top w:val="none"/>
                          <w:left w:val="none"/>
                          <w:bottom w:val="single" w:sz="5" w:color="D8D8D8"/>
                          <w:right w:val="none"/>
                        </w:tcBorders>
                        <w:textDirection w:val="lrTb"/>
                        <w:vAlign w:val="top"/>
                      </w:tcPr>
                      <w:p/>
                    </w:tc>
                    <w:tc>
                      <w:tcPr>
                        <w:tcW w:w="52" w:type="dxa"/>
                        <w:tcBorders>
                          <w:top w:val="none"/>
                          <w:left w:val="none"/>
                          <w:bottom w:val="single" w:sz="5" w:color="D8D8D8"/>
                          <w:right w:val="none"/>
                        </w:tcBorders>
                        <w:textDirection w:val="lrTb"/>
                        <w:vAlign w:val="top"/>
                      </w:tcPr>
                      <w:p/>
                    </w:tc>
                    <w:tc>
                      <w:tcPr>
                        <w:tcW w:w="1119" w:type="dxa"/>
                        <w:vMerge w:val="continue"/>
                        <w:tcBorders>
                          <w:top w:val="none"/>
                          <w:left w:val="none"/>
                          <w:bottom w:val="single" w:sz="5" w:color="D8D8D8"/>
                          <w:right w:val="none"/>
                        </w:tcBorders>
                        <w:textDirection w:val="lrTb"/>
                        <w:vAlign w:val="top"/>
                      </w:tcPr>
                      <w:p/>
                    </w:tc>
                    <w:tc>
                      <w:tcPr>
                        <w:tcW w:w="202" w:type="dxa"/>
                        <w:tcBorders>
                          <w:top w:val="none"/>
                          <w:left w:val="none"/>
                          <w:bottom w:val="single" w:sz="5" w:color="D8D8D8"/>
                          <w:right w:val="none"/>
                        </w:tcBorders>
                        <w:textDirection w:val="lrTb"/>
                        <w:vAlign w:val="top"/>
                      </w:tcPr>
                      <w:p/>
                    </w:tc>
                    <w:tc>
                      <w:tcPr>
                        <w:tcW w:w="43" w:type="dxa"/>
                        <w:tcBorders>
                          <w:top w:val="none"/>
                          <w:left w:val="none"/>
                          <w:bottom w:val="single" w:sz="5" w:color="D8D8D8"/>
                          <w:right w:val="none"/>
                        </w:tcBorders>
                        <w:textDirection w:val="lrTb"/>
                        <w:vAlign w:val="top"/>
                      </w:tcPr>
                      <w:p/>
                    </w:tc>
                    <w:tc>
                      <w:tcPr>
                        <w:tcW w:w="202" w:type="dxa"/>
                        <w:tcBorders>
                          <w:top w:val="none"/>
                          <w:left w:val="none"/>
                          <w:bottom w:val="single" w:sz="5" w:color="D8D8D8"/>
                          <w:right w:val="none"/>
                        </w:tcBorders>
                        <w:textDirection w:val="lrTb"/>
                        <w:vAlign w:val="top"/>
                      </w:tcPr>
                      <w:p/>
                    </w:tc>
                    <w:tc>
                      <w:tcPr>
                        <w:tcW w:w="426" w:type="dxa"/>
                        <w:tcBorders>
                          <w:top w:val="single" w:sz="4" w:color="D8D8D8"/>
                          <w:left w:val="none"/>
                          <w:bottom w:val="single" w:sz="5" w:color="D8D8D8"/>
                          <w:right w:val="none"/>
                        </w:tcBorders>
                        <w:textDirection w:val="lrTb"/>
                        <w:vAlign w:val="top"/>
                      </w:tcPr>
                      <w:p/>
                    </w:tc>
                    <w:tc>
                      <w:tcPr>
                        <w:tcW w:w="198" w:type="dxa"/>
                        <w:tcBorders>
                          <w:top w:val="none"/>
                          <w:left w:val="none"/>
                          <w:bottom w:val="single" w:sz="5" w:color="D8D8D8"/>
                          <w:right w:val="none"/>
                        </w:tcBorders>
                        <w:textDirection w:val="lrTb"/>
                        <w:vAlign w:val="top"/>
                      </w:tcPr>
                      <w:p/>
                    </w:tc>
                    <w:tc>
                      <w:tcPr>
                        <w:tcW w:w="48" w:type="dxa"/>
                        <w:tcBorders>
                          <w:top w:val="none"/>
                          <w:left w:val="none"/>
                          <w:bottom w:val="single" w:sz="5" w:color="D8D8D8"/>
                          <w:right w:val="none"/>
                        </w:tcBorders>
                        <w:textDirection w:val="lrTb"/>
                        <w:vAlign w:val="top"/>
                      </w:tcPr>
                      <w:p/>
                    </w:tc>
                    <w:tc>
                      <w:tcPr>
                        <w:tcW w:w="201" w:type="dxa"/>
                        <w:tcBorders>
                          <w:top w:val="none"/>
                          <w:left w:val="none"/>
                          <w:bottom w:val="single" w:sz="5" w:color="D8D8D8"/>
                          <w:right w:val="none"/>
                        </w:tcBorders>
                        <w:textDirection w:val="lrTb"/>
                        <w:vAlign w:val="top"/>
                      </w:tcPr>
                      <w:p/>
                    </w:tc>
                    <w:tc>
                      <w:tcPr>
                        <w:tcW w:w="53" w:type="dxa"/>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21" w:type="dxa"/>
                        <w:tcBorders>
                          <w:top w:val="single" w:sz="4" w:color="D8D8D8"/>
                          <w:left w:val="none"/>
                          <w:bottom w:val="single" w:sz="5" w:color="D8D8D8"/>
                          <w:right w:val="none"/>
                        </w:tcBorders>
                        <w:textDirection w:val="lrTb"/>
                        <w:vAlign w:val="top"/>
                      </w:tcPr>
                      <w:p/>
                    </w:tc>
                    <w:tc>
                      <w:tcPr>
                        <w:tcW w:w="203" w:type="dxa"/>
                        <w:tcBorders>
                          <w:top w:val="none"/>
                          <w:left w:val="none"/>
                          <w:bottom w:val="single" w:sz="5" w:color="D8D8D8"/>
                          <w:right w:val="none"/>
                        </w:tcBorders>
                        <w:textDirection w:val="lrTb"/>
                        <w:vAlign w:val="top"/>
                      </w:tcPr>
                      <w:p/>
                    </w:tc>
                    <w:tc>
                      <w:tcPr>
                        <w:tcW w:w="1171" w:type="dxa"/>
                        <w:vMerge w:val="continue"/>
                        <w:tcBorders>
                          <w:top w:val="none"/>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48" w:type="dxa"/>
                        <w:tcBorders>
                          <w:top w:val="none"/>
                          <w:left w:val="none"/>
                          <w:bottom w:val="single" w:sz="5" w:color="D8D8D8"/>
                          <w:right w:val="none"/>
                        </w:tcBorders>
                        <w:textDirection w:val="lrTb"/>
                        <w:vAlign w:val="top"/>
                      </w:tcPr>
                      <w:p/>
                    </w:tc>
                    <w:tc>
                      <w:tcPr>
                        <w:tcW w:w="201" w:type="dxa"/>
                        <w:tcBorders>
                          <w:top w:val="none"/>
                          <w:left w:val="none"/>
                          <w:bottom w:val="single" w:sz="5" w:color="D8D8D8"/>
                          <w:right w:val="none"/>
                        </w:tcBorders>
                        <w:textDirection w:val="lrTb"/>
                        <w:vAlign w:val="top"/>
                      </w:tcPr>
                      <w:p/>
                    </w:tc>
                    <w:tc>
                      <w:tcPr>
                        <w:tcW w:w="427" w:type="dxa"/>
                        <w:tcBorders>
                          <w:top w:val="single" w:sz="4" w:color="D8D8D8"/>
                          <w:left w:val="none"/>
                          <w:bottom w:val="single" w:sz="5" w:color="D8D8D8"/>
                          <w:right w:val="none"/>
                        </w:tcBorders>
                        <w:textDirection w:val="lrTb"/>
                        <w:vAlign w:val="top"/>
                      </w:tcPr>
                      <w:p/>
                    </w:tc>
                    <w:tc>
                      <w:tcPr>
                        <w:tcW w:w="197" w:type="dxa"/>
                        <w:tcBorders>
                          <w:top w:val="none"/>
                          <w:left w:val="none"/>
                          <w:bottom w:val="single" w:sz="5" w:color="D8D8D8"/>
                          <w:right w:val="none"/>
                        </w:tcBorders>
                        <w:textDirection w:val="lrTb"/>
                        <w:vAlign w:val="top"/>
                      </w:tcPr>
                      <w:p/>
                    </w:tc>
                    <w:tc>
                      <w:tcPr>
                        <w:tcW w:w="716" w:type="dxa"/>
                        <w:vMerge w:val="continue"/>
                        <w:tcBorders>
                          <w:top w:val="none"/>
                          <w:left w:val="none"/>
                          <w:bottom w:val="single" w:sz="5" w:color="D8D8D8"/>
                          <w:right w:val="none"/>
                        </w:tcBorders>
                        <w:textDirection w:val="lrTb"/>
                        <w:vAlign w:val="top"/>
                      </w:tcPr>
                      <w:p/>
                    </w:tc>
                  </w:tr>
                  <w:tr>
                    <w:trPr>
                      <w:trHeight w:val="72" w:hRule="exact"/>
                    </w:trPr>
                    <w:tc>
                      <w:tcPr>
                        <w:tcW w:w="523" w:type="dxa"/>
                        <w:vMerge w:val="continue"/>
                        <w:tcBorders>
                          <w:top w:val="none"/>
                          <w:left w:val="none"/>
                          <w:bottom w:val="none"/>
                          <w:right w:val="none"/>
                        </w:tcBorders>
                        <w:textDirection w:val="lrTb"/>
                        <w:vAlign w:val="top"/>
                      </w:tcPr>
                      <w:p/>
                    </w:tc>
                    <w:tc>
                      <w:tcPr>
                        <w:tcW w:w="465" w:type="dxa"/>
                        <w:tcBorders>
                          <w:top w:val="single" w:sz="5" w:color="D8D8D8"/>
                          <w:left w:val="none"/>
                          <w:bottom w:val="single" w:sz="5" w:color="D8D8D8"/>
                          <w:right w:val="none"/>
                        </w:tcBorders>
                        <w:textDirection w:val="lrTb"/>
                        <w:vAlign w:val="top"/>
                      </w:tcPr>
                      <w:p/>
                    </w:tc>
                    <w:tc>
                      <w:tcPr>
                        <w:tcW w:w="101" w:type="dxa"/>
                        <w:tcBorders>
                          <w:top w:val="single" w:sz="5" w:color="D8D8D8"/>
                          <w:left w:val="none"/>
                          <w:bottom w:val="single" w:sz="5" w:color="D8D8D8"/>
                          <w:right w:val="none"/>
                        </w:tcBorders>
                        <w:textDirection w:val="lrTb"/>
                        <w:vAlign w:val="top"/>
                      </w:tcPr>
                      <w:p/>
                    </w:tc>
                    <w:tc>
                      <w:tcPr>
                        <w:tcW w:w="101" w:type="dxa"/>
                        <w:tcBorders>
                          <w:top w:val="single" w:sz="5" w:color="D8D8D8"/>
                          <w:left w:val="none"/>
                          <w:bottom w:val="single" w:sz="5" w:color="D8D8D8"/>
                          <w:right w:val="none"/>
                        </w:tcBorders>
                        <w:textDirection w:val="lrTb"/>
                        <w:vAlign w:val="top"/>
                      </w:tcPr>
                      <w:p/>
                    </w:tc>
                    <w:tc>
                      <w:tcPr>
                        <w:tcW w:w="922" w:type="dxa"/>
                        <w:tcBorders>
                          <w:top w:val="single" w:sz="5" w:color="D8D8D8"/>
                          <w:left w:val="none"/>
                          <w:bottom w:val="single" w:sz="5" w:color="D8D8D8"/>
                          <w:right w:val="none"/>
                        </w:tcBorders>
                        <w:textDirection w:val="lrTb"/>
                        <w:vAlign w:val="top"/>
                      </w:tcPr>
                      <w:p/>
                    </w:tc>
                    <w:tc>
                      <w:tcPr>
                        <w:tcW w:w="196" w:type="dxa"/>
                        <w:tcBorders>
                          <w:top w:val="single" w:sz="5" w:color="D8D8D8"/>
                          <w:left w:val="none"/>
                          <w:bottom w:val="single" w:sz="5" w:color="D8D8D8"/>
                          <w:right w:val="none"/>
                        </w:tcBorders>
                        <w:textDirection w:val="lrTb"/>
                        <w:vAlign w:val="top"/>
                      </w:tcPr>
                      <w:p/>
                    </w:tc>
                    <w:tc>
                      <w:tcPr>
                        <w:tcW w:w="53" w:type="dxa"/>
                        <w:tcBorders>
                          <w:top w:val="single" w:sz="5" w:color="D8D8D8"/>
                          <w:left w:val="none"/>
                          <w:bottom w:val="single" w:sz="5" w:color="D8D8D8"/>
                          <w:right w:val="none"/>
                        </w:tcBorders>
                        <w:textDirection w:val="lrTb"/>
                        <w:vAlign w:val="top"/>
                      </w:tcPr>
                      <w:p/>
                    </w:tc>
                    <w:tc>
                      <w:tcPr>
                        <w:tcW w:w="197" w:type="dxa"/>
                        <w:tcBorders>
                          <w:top w:val="single" w:sz="5" w:color="D8D8D8"/>
                          <w:left w:val="none"/>
                          <w:bottom w:val="single" w:sz="5" w:color="D8D8D8"/>
                          <w:right w:val="none"/>
                        </w:tcBorders>
                        <w:textDirection w:val="lrTb"/>
                        <w:vAlign w:val="top"/>
                      </w:tcPr>
                      <w:p/>
                    </w:tc>
                    <w:tc>
                      <w:tcPr>
                        <w:tcW w:w="426" w:type="dxa"/>
                        <w:tcBorders>
                          <w:top w:val="single" w:sz="5" w:color="D8D8D8"/>
                          <w:left w:val="none"/>
                          <w:bottom w:val="single" w:sz="5" w:color="D8D8D8"/>
                          <w:right w:val="none"/>
                        </w:tcBorders>
                        <w:textDirection w:val="lrTb"/>
                        <w:vAlign w:val="top"/>
                      </w:tcPr>
                      <w:p/>
                    </w:tc>
                    <w:tc>
                      <w:tcPr>
                        <w:tcW w:w="198" w:type="dxa"/>
                        <w:tcBorders>
                          <w:top w:val="single" w:sz="5" w:color="D8D8D8"/>
                          <w:left w:val="none"/>
                          <w:bottom w:val="single" w:sz="5" w:color="D8D8D8"/>
                          <w:right w:val="none"/>
                        </w:tcBorders>
                        <w:textDirection w:val="lrTb"/>
                        <w:vAlign w:val="top"/>
                      </w:tcPr>
                      <w:p/>
                    </w:tc>
                    <w:tc>
                      <w:tcPr>
                        <w:tcW w:w="52" w:type="dxa"/>
                        <w:tcBorders>
                          <w:top w:val="single" w:sz="5" w:color="D8D8D8"/>
                          <w:left w:val="none"/>
                          <w:bottom w:val="single" w:sz="5" w:color="D8D8D8"/>
                          <w:right w:val="none"/>
                        </w:tcBorders>
                        <w:textDirection w:val="lrTb"/>
                        <w:vAlign w:val="top"/>
                      </w:tcPr>
                      <w:p/>
                    </w:tc>
                    <w:tc>
                      <w:tcPr>
                        <w:tcW w:w="1119" w:type="dxa"/>
                        <w:tcBorders>
                          <w:top w:val="single" w:sz="5" w:color="D8D8D8"/>
                          <w:left w:val="none"/>
                          <w:bottom w:val="single" w:sz="5" w:color="D8D8D8"/>
                          <w:right w:val="none"/>
                        </w:tcBorders>
                        <w:textDirection w:val="lrTb"/>
                        <w:vAlign w:val="top"/>
                      </w:tcPr>
                      <w:p/>
                    </w:tc>
                    <w:tc>
                      <w:tcPr>
                        <w:tcW w:w="202" w:type="dxa"/>
                        <w:tcBorders>
                          <w:top w:val="single" w:sz="5" w:color="D8D8D8"/>
                          <w:left w:val="none"/>
                          <w:bottom w:val="single" w:sz="5" w:color="D8D8D8"/>
                          <w:right w:val="none"/>
                        </w:tcBorders>
                        <w:textDirection w:val="lrTb"/>
                        <w:vAlign w:val="top"/>
                      </w:tcPr>
                      <w:p/>
                    </w:tc>
                    <w:tc>
                      <w:tcPr>
                        <w:tcW w:w="43" w:type="dxa"/>
                        <w:tcBorders>
                          <w:top w:val="single" w:sz="5" w:color="D8D8D8"/>
                          <w:left w:val="none"/>
                          <w:bottom w:val="single" w:sz="5" w:color="D8D8D8"/>
                          <w:right w:val="none"/>
                        </w:tcBorders>
                        <w:textDirection w:val="lrTb"/>
                        <w:vAlign w:val="top"/>
                      </w:tcPr>
                      <w:p/>
                    </w:tc>
                    <w:tc>
                      <w:tcPr>
                        <w:tcW w:w="202" w:type="dxa"/>
                        <w:tcBorders>
                          <w:top w:val="single" w:sz="5" w:color="D8D8D8"/>
                          <w:left w:val="none"/>
                          <w:bottom w:val="single" w:sz="5" w:color="D8D8D8"/>
                          <w:right w:val="none"/>
                        </w:tcBorders>
                        <w:textDirection w:val="lrTb"/>
                        <w:vAlign w:val="top"/>
                      </w:tcPr>
                      <w:p/>
                    </w:tc>
                    <w:tc>
                      <w:tcPr>
                        <w:tcW w:w="426" w:type="dxa"/>
                        <w:tcBorders>
                          <w:top w:val="single" w:sz="5" w:color="D8D8D8"/>
                          <w:left w:val="none"/>
                          <w:bottom w:val="single" w:sz="5" w:color="D8D8D8"/>
                          <w:right w:val="none"/>
                        </w:tcBorders>
                        <w:textDirection w:val="lrTb"/>
                        <w:vAlign w:val="top"/>
                      </w:tcPr>
                      <w:p/>
                    </w:tc>
                    <w:tc>
                      <w:tcPr>
                        <w:tcW w:w="198" w:type="dxa"/>
                        <w:tcBorders>
                          <w:top w:val="single" w:sz="5" w:color="D8D8D8"/>
                          <w:left w:val="none"/>
                          <w:bottom w:val="single" w:sz="5" w:color="D8D8D8"/>
                          <w:right w:val="none"/>
                        </w:tcBorders>
                        <w:textDirection w:val="lrTb"/>
                        <w:vAlign w:val="top"/>
                      </w:tcPr>
                      <w:p/>
                    </w:tc>
                    <w:tc>
                      <w:tcPr>
                        <w:tcW w:w="48" w:type="dxa"/>
                        <w:tcBorders>
                          <w:top w:val="single" w:sz="5" w:color="D8D8D8"/>
                          <w:left w:val="none"/>
                          <w:bottom w:val="single" w:sz="5" w:color="D8D8D8"/>
                          <w:right w:val="none"/>
                        </w:tcBorders>
                        <w:textDirection w:val="lrTb"/>
                        <w:vAlign w:val="top"/>
                      </w:tcPr>
                      <w:p/>
                    </w:tc>
                    <w:tc>
                      <w:tcPr>
                        <w:tcW w:w="201" w:type="dxa"/>
                        <w:tcBorders>
                          <w:top w:val="single" w:sz="5" w:color="D8D8D8"/>
                          <w:left w:val="none"/>
                          <w:bottom w:val="single" w:sz="5" w:color="D8D8D8"/>
                          <w:right w:val="none"/>
                        </w:tcBorders>
                        <w:textDirection w:val="lrTb"/>
                        <w:vAlign w:val="top"/>
                      </w:tcPr>
                      <w:p/>
                    </w:tc>
                    <w:tc>
                      <w:tcPr>
                        <w:tcW w:w="53" w:type="dxa"/>
                        <w:tcBorders>
                          <w:top w:val="single" w:sz="5" w:color="D8D8D8"/>
                          <w:left w:val="none"/>
                          <w:bottom w:val="single" w:sz="5" w:color="D8D8D8"/>
                          <w:right w:val="none"/>
                        </w:tcBorders>
                        <w:textDirection w:val="lrTb"/>
                        <w:vAlign w:val="top"/>
                      </w:tcPr>
                      <w:p/>
                    </w:tc>
                    <w:tc>
                      <w:tcPr>
                        <w:tcW w:w="197" w:type="dxa"/>
                        <w:tcBorders>
                          <w:top w:val="single" w:sz="5" w:color="D8D8D8"/>
                          <w:left w:val="none"/>
                          <w:bottom w:val="single" w:sz="5" w:color="D8D8D8"/>
                          <w:right w:val="none"/>
                        </w:tcBorders>
                        <w:textDirection w:val="lrTb"/>
                        <w:vAlign w:val="top"/>
                      </w:tcPr>
                      <w:p/>
                    </w:tc>
                    <w:tc>
                      <w:tcPr>
                        <w:tcW w:w="421" w:type="dxa"/>
                        <w:tcBorders>
                          <w:top w:val="single" w:sz="5" w:color="D8D8D8"/>
                          <w:left w:val="none"/>
                          <w:bottom w:val="single" w:sz="5" w:color="D8D8D8"/>
                          <w:right w:val="none"/>
                        </w:tcBorders>
                        <w:textDirection w:val="lrTb"/>
                        <w:vAlign w:val="top"/>
                      </w:tcPr>
                      <w:p/>
                    </w:tc>
                    <w:tc>
                      <w:tcPr>
                        <w:tcW w:w="203" w:type="dxa"/>
                        <w:tcBorders>
                          <w:top w:val="single" w:sz="5" w:color="D8D8D8"/>
                          <w:left w:val="none"/>
                          <w:bottom w:val="single" w:sz="5" w:color="D8D8D8"/>
                          <w:right w:val="none"/>
                        </w:tcBorders>
                        <w:textDirection w:val="lrTb"/>
                        <w:vAlign w:val="top"/>
                      </w:tcPr>
                      <w:p/>
                    </w:tc>
                    <w:tc>
                      <w:tcPr>
                        <w:tcW w:w="1171" w:type="dxa"/>
                        <w:tcBorders>
                          <w:top w:val="single" w:sz="5" w:color="D8D8D8"/>
                          <w:left w:val="none"/>
                          <w:bottom w:val="single" w:sz="5" w:color="D8D8D8"/>
                          <w:right w:val="none"/>
                        </w:tcBorders>
                        <w:textDirection w:val="lrTb"/>
                        <w:vAlign w:val="top"/>
                      </w:tcPr>
                      <w:p/>
                    </w:tc>
                    <w:tc>
                      <w:tcPr>
                        <w:tcW w:w="197" w:type="dxa"/>
                        <w:tcBorders>
                          <w:top w:val="single" w:sz="5" w:color="D8D8D8"/>
                          <w:left w:val="none"/>
                          <w:bottom w:val="single" w:sz="5" w:color="D8D8D8"/>
                          <w:right w:val="none"/>
                        </w:tcBorders>
                        <w:textDirection w:val="lrTb"/>
                        <w:vAlign w:val="top"/>
                      </w:tcPr>
                      <w:p/>
                    </w:tc>
                    <w:tc>
                      <w:tcPr>
                        <w:tcW w:w="48" w:type="dxa"/>
                        <w:tcBorders>
                          <w:top w:val="single" w:sz="5" w:color="D8D8D8"/>
                          <w:left w:val="none"/>
                          <w:bottom w:val="single" w:sz="5" w:color="D8D8D8"/>
                          <w:right w:val="none"/>
                        </w:tcBorders>
                        <w:textDirection w:val="lrTb"/>
                        <w:vAlign w:val="top"/>
                      </w:tcPr>
                      <w:p/>
                    </w:tc>
                    <w:tc>
                      <w:tcPr>
                        <w:tcW w:w="201" w:type="dxa"/>
                        <w:tcBorders>
                          <w:top w:val="single" w:sz="5" w:color="D8D8D8"/>
                          <w:left w:val="none"/>
                          <w:bottom w:val="single" w:sz="5" w:color="D8D8D8"/>
                          <w:right w:val="none"/>
                        </w:tcBorders>
                        <w:textDirection w:val="lrTb"/>
                        <w:vAlign w:val="top"/>
                      </w:tcPr>
                      <w:p/>
                    </w:tc>
                    <w:tc>
                      <w:tcPr>
                        <w:tcW w:w="427" w:type="dxa"/>
                        <w:tcBorders>
                          <w:top w:val="single" w:sz="5" w:color="D8D8D8"/>
                          <w:left w:val="none"/>
                          <w:bottom w:val="single" w:sz="5" w:color="D8D8D8"/>
                          <w:right w:val="none"/>
                        </w:tcBorders>
                        <w:textDirection w:val="lrTb"/>
                        <w:vAlign w:val="top"/>
                      </w:tcPr>
                      <w:p/>
                    </w:tc>
                    <w:tc>
                      <w:tcPr>
                        <w:tcW w:w="197" w:type="dxa"/>
                        <w:tcBorders>
                          <w:top w:val="single" w:sz="5" w:color="D8D8D8"/>
                          <w:left w:val="none"/>
                          <w:bottom w:val="single" w:sz="5" w:color="D8D8D8"/>
                          <w:right w:val="none"/>
                        </w:tcBorders>
                        <w:textDirection w:val="lrTb"/>
                        <w:vAlign w:val="top"/>
                      </w:tcPr>
                      <w:p/>
                    </w:tc>
                    <w:tc>
                      <w:tcPr>
                        <w:tcW w:w="716" w:type="dxa"/>
                        <w:tcBorders>
                          <w:top w:val="single" w:sz="5" w:color="D8D8D8"/>
                          <w:left w:val="none"/>
                          <w:bottom w:val="single" w:sz="5" w:color="D8D8D8"/>
                          <w:right w:val="none"/>
                        </w:tcBorders>
                        <w:textDirection w:val="lrTb"/>
                        <w:vAlign w:val="top"/>
                      </w:tcPr>
                      <w:p/>
                    </w:tc>
                  </w:tr>
                </w:tbl>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485.6pt;height:10.25pt;z-index:-1;margin-left:73.7pt;margin-top:498.5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72"/>
                      <w:tab w:val="left" w:leader="none" w:pos="3096"/>
                      <w:tab w:val="left" w:leader="none" w:pos="4176"/>
                      <w:tab w:val="left" w:leader="none" w:pos="5328"/>
                      <w:tab w:val="left" w:leader="none" w:pos="6408"/>
                      <w:tab w:val="left" w:leader="none" w:pos="7560"/>
                      <w:tab w:val="left" w:leader="none" w:pos="8640"/>
                    </w:tabs>
                    <w:spacing w:before="20" w:after="0" w:line="180" w:lineRule="exact"/>
                    <w:ind w:right="0" w:left="72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Chemung	</w:t>
                  </w:r>
                  <w:r>
                    <w:rPr>
                      <w:rFonts w:ascii="Calibri" w:hAnsi="Calibri" w:eastAsia="Calibri"/>
                      <w:color w:val="585858"/>
                      <w:spacing w:val="0"/>
                      <w:w w:val="100"/>
                      <w:sz w:val="18"/>
                      <w:vertAlign w:val="baseline"/>
                      <w:lang w:val="en-US"/>
                    </w:rPr>
                    <w:t xml:space="preserve">Livingston	</w:t>
                  </w:r>
                  <w:r>
                    <w:rPr>
                      <w:rFonts w:ascii="Calibri" w:hAnsi="Calibri" w:eastAsia="Calibri"/>
                      <w:color w:val="585858"/>
                      <w:spacing w:val="0"/>
                      <w:w w:val="100"/>
                      <w:sz w:val="18"/>
                      <w:vertAlign w:val="baseline"/>
                      <w:lang w:val="en-US"/>
                    </w:rPr>
                    <w:t xml:space="preserve">Ontario	</w:t>
                  </w:r>
                  <w:r>
                    <w:rPr>
                      <w:rFonts w:ascii="Calibri" w:hAnsi="Calibri" w:eastAsia="Calibri"/>
                      <w:color w:val="585858"/>
                      <w:spacing w:val="0"/>
                      <w:w w:val="100"/>
                      <w:sz w:val="18"/>
                      <w:vertAlign w:val="baseline"/>
                      <w:lang w:val="en-US"/>
                    </w:rPr>
                    <w:t xml:space="preserve">Schuyler	</w:t>
                  </w:r>
                  <w:r>
                    <w:rPr>
                      <w:rFonts w:ascii="Calibri" w:hAnsi="Calibri" w:eastAsia="Calibri"/>
                      <w:color w:val="585858"/>
                      <w:spacing w:val="0"/>
                      <w:w w:val="100"/>
                      <w:sz w:val="18"/>
                      <w:vertAlign w:val="baseline"/>
                      <w:lang w:val="en-US"/>
                    </w:rPr>
                    <w:t xml:space="preserve">Seneca	</w:t>
                  </w:r>
                  <w:r>
                    <w:rPr>
                      <w:rFonts w:ascii="Calibri" w:hAnsi="Calibri" w:eastAsia="Calibri"/>
                      <w:color w:val="585858"/>
                      <w:spacing w:val="0"/>
                      <w:w w:val="100"/>
                      <w:sz w:val="18"/>
                      <w:vertAlign w:val="baseline"/>
                      <w:lang w:val="en-US"/>
                    </w:rPr>
                    <w:t xml:space="preserve">Steuben	</w:t>
                  </w:r>
                  <w:r>
                    <w:rPr>
                      <w:rFonts w:ascii="Calibri" w:hAnsi="Calibri" w:eastAsia="Calibri"/>
                      <w:color w:val="585858"/>
                      <w:spacing w:val="0"/>
                      <w:w w:val="100"/>
                      <w:sz w:val="18"/>
                      <w:vertAlign w:val="baseline"/>
                      <w:lang w:val="en-US"/>
                    </w:rPr>
                    <w:t xml:space="preserve">Wayne	</w:t>
                  </w:r>
                  <w:r>
                    <w:rPr>
                      <w:rFonts w:ascii="Calibri" w:hAnsi="Calibri" w:eastAsia="Calibri"/>
                      <w:color w:val="585858"/>
                      <w:spacing w:val="0"/>
                      <w:w w:val="100"/>
                      <w:sz w:val="18"/>
                      <w:vertAlign w:val="baseline"/>
                      <w:lang w:val="en-US"/>
                    </w:rPr>
                    <w:t xml:space="preserve">Yates</w:t>
                  </w:r>
                </w:p>
              </w:txbxContent>
            </v:textbox>
          </v:shape>
        </w:pict>
      </w:r>
      <w:r>
        <w:pict>
          <v:shapetype id="_x0000_t358" coordsize="21600,21600" o:spt="202" path="m,l,21600r21600,l21600,xe">
            <v:stroke joinstyle="miter"/>
            <v:path gradientshapeok="t" o:connecttype="rect"/>
          </v:shapetype>
          <v:shape id="_x0000_s357" type="#_x0000_t358" filled="f" stroked="f" style="position:absolute;width:382.4pt;height:34.9pt;z-index:-1;margin-left:176.9pt;margin-top:508.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896"/>
                      <w:tab w:val="left" w:leader="none" w:pos="3768"/>
                    </w:tabs>
                    <w:spacing w:before="224" w:after="298"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Screening at 1 Year 	</w:t>
                  </w:r>
                  <w:r>
                    <w:rPr>
                      <w:rFonts w:ascii="Calibri" w:hAnsi="Calibri" w:eastAsia="Calibri"/>
                      <w:color w:val="585858"/>
                      <w:spacing w:val="0"/>
                      <w:w w:val="100"/>
                      <w:sz w:val="18"/>
                      <w:vertAlign w:val="baseline"/>
                      <w:lang w:val="en-US"/>
                    </w:rPr>
                    <w:t xml:space="preserve">Screening at 2 Year 	</w:t>
                  </w:r>
                  <w:r>
                    <w:rPr>
                      <w:rFonts w:ascii="Calibri" w:hAnsi="Calibri" w:eastAsia="Calibri"/>
                      <w:color w:val="585858"/>
                      <w:spacing w:val="0"/>
                      <w:w w:val="100"/>
                      <w:sz w:val="18"/>
                      <w:vertAlign w:val="baseline"/>
                      <w:lang w:val="en-US"/>
                    </w:rPr>
                    <w:t xml:space="preserve">At least Two Lead Screenings</w:t>
                  </w:r>
                </w:p>
              </w:txbxContent>
            </v:textbox>
          </v:shape>
        </w:pict>
      </w:r>
      <w:r>
        <w:pict>
          <v:shapetype id="_x0000_t359" coordsize="21600,21600" o:spt="202" path="m,l,21600r21600,l21600,xe">
            <v:stroke joinstyle="miter"/>
            <v:path gradientshapeok="t" o:connecttype="rect"/>
          </v:shapetype>
          <v:shape id="_x0000_s358" type="#_x0000_t359" filled="f" stroked="f" style="position:absolute;width:103.2pt;height:33.5pt;z-index:-1;margin-left:73.7pt;margin-top:508.8pt;mso-wrap-distance-left:0pt;mso-wrap-distance-right:0pt;mso-position-horizontal-relative:page;mso-position-vertical-relative:page">
            <w10:wrap type="square" side="both"/>
            <v:fill opacity="1" o:opacity2="1" recolor="f" rotate="f" type="solid"/>
            <v:textbox inset="0pt, 0pt, 0pt, 0pt">
              <w:txbxContent>
                <w:p>
                  <w:pPr>
                    <w:spacing w:before="259" w:after="310" w:line="101" w:lineRule="exact"/>
                    <w:ind w:right="44" w:left="1915"/>
                    <w:jc w:val="left"/>
                    <w:textAlignment w:val="baseline"/>
                  </w:pPr>
                  <w:r>
                    <w:drawing>
                      <wp:inline>
                        <wp:extent cx="66675" cy="64135"/>
                        <wp:docPr name="Picture" id="81"/>
                        <a:graphic>
                          <a:graphicData uri="http://schemas.openxmlformats.org/drawingml/2006/picture">
                            <pic:pic>
                              <pic:nvPicPr>
                                <pic:cNvPr id="81" name="Picture"/>
                                <pic:cNvPicPr preferRelativeResize="false"/>
                              </pic:nvPicPr>
                              <pic:blipFill>
                                <a:blip r:embed="prId81"/>
                                <a:stretch>
                                  <a:fillRect/>
                                </a:stretch>
                              </pic:blipFill>
                              <pic:spPr>
                                <a:xfrm>
                                  <a:off x="0" y="0"/>
                                  <a:ext cx="66675" cy="64135"/>
                                </a:xfrm>
                                <a:prstGeom prst="rect"/>
                              </pic:spPr>
                            </pic:pic>
                          </a:graphicData>
                        </a:graphic>
                      </wp:inline>
                    </w:drawing>
                  </w:r>
                </w:p>
              </w:txbxContent>
            </v:textbox>
          </v:shape>
        </w:pict>
      </w:r>
      <w:r>
        <w:pict>
          <v:shapetype id="_x0000_t360" coordsize="21600,21600" o:spt="202" path="m,l,21600r21600,l21600,xe">
            <v:stroke joinstyle="miter"/>
            <v:path gradientshapeok="t" o:connecttype="rect"/>
          </v:shapetype>
          <v:shape id="_x0000_s359" type="#_x0000_t36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63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0.7pt" strokecolor="#D8D8D8" from="99.85pt,324.95pt" to="548.95pt,324.9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61" coordsize="21600,21600" o:spt="202" path="m,l,21600r21600,l21600,xe">
            <v:stroke joinstyle="miter"/>
            <v:path gradientshapeok="t" o:connecttype="rect"/>
          </v:shapetype>
          <v:shape id="_x0000_s360" type="#_x0000_t361" filled="f" stroked="f" style="position:absolute;width:446.65pt;height:260.65pt;z-index:-1;margin-left:82.8pt;margin-top:205.7pt;mso-wrap-distance-left:82.8pt;mso-wrap-distance-right:82.05pt;mso-position-horizontal-relative:page;mso-position-vertical-relative:page">
            <w10:wrap type="square"/>
            <v:fill opacity="1" o:opacity2="1" recolor="f" rotate="f" type="solid"/>
            <v:textbox inset="0pt, 0pt, 0pt, 0pt">
              <w:txbxContent>
                <w:p>
                  <w:pPr>
                    <w:pBdr>
                      <w:top w:sz="5" w:space="0" w:color="D8D8D8" w:val="single"/>
                      <w:left w:sz="5" w:space="82" w:color="D8D8D8" w:val="single"/>
                      <w:bottom w:sz="5" w:space="0" w:color="D8D8D8" w:val="single"/>
                      <w:right w:sz="5" w:space="82" w:color="D8D8D8" w:val="single"/>
                    </w:pBdr>
                  </w:pPr>
                </w:p>
              </w:txbxContent>
            </v:textbox>
          </v:shape>
        </w:pict>
      </w:r>
      <w:r>
        <w:pict>
          <v:shapetype id="_x0000_t362" coordsize="21600,21600" o:spt="202" path="m,l,21600r21600,l21600,xe">
            <v:stroke joinstyle="miter"/>
            <v:path gradientshapeok="t" o:connecttype="rect"/>
          </v:shapetype>
          <v:shape id="_x0000_s361" type="#_x0000_t362" filled="f" stroked="f" style="position:absolute;width:612pt;height:26pt;z-index:-1;margin-left:0pt;margin-top:36pt;mso-wrap-distance-left:0pt;mso-wrap-distance-right:0pt;mso-position-horizontal-relative:page;mso-position-vertical-relative:page">
            <w10:wrap type="square" side="both"/>
            <v:fill opacity="1" o:opacity2="1" recolor="f" rotate="f" type="solid"/>
            <v:textbox inset="0pt, 0pt, 0pt, 0pt">
              <w:txbxContent>
                <w:p>
                  <w:pPr>
                    <w:spacing w:before="35" w:after="174" w:line="309"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txbxContent>
            </v:textbox>
          </v:shape>
        </w:pict>
      </w:r>
      <w:r>
        <w:pict>
          <v:shapetype id="_x0000_t363" coordsize="21600,21600" o:spt="202" path="m,l,21600r21600,l21600,xe">
            <v:stroke joinstyle="miter"/>
            <v:path gradientshapeok="t" o:connecttype="rect"/>
          </v:shapetype>
          <v:shape id="_x0000_s362" type="#_x0000_t363" filled="f" stroked="f" style="position:absolute;width:612pt;height:135.65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3"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Finger Lakes region shows persistent gaps in key pediatric and adolescent preventive services, despite relatively strong early-childhood immunization rates. Across the eight counties, completion of the 4:3:1:3:1:4 vaccine series consistently exceeds both lead screening by age two and adolescent HPV vaccination, indicating that standard early-childhood vaccines are delivered more reliably than other preventive services. HPV vaccination is the lowest measure in every county, and lead-screening completion remains only moderate, signaling missed opportunities for cancer prevention and early detection of environmental hazards affecting low-income and rural children.</w:t>
                  </w:r>
                </w:p>
                <w:p>
                  <w:pPr>
                    <w:spacing w:before="300" w:after="197" w:line="180"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30: Immunization Rates by County in the Finger Lakes</w:t>
                  </w:r>
                </w:p>
              </w:txbxContent>
            </v:textbox>
          </v:shape>
        </w:pict>
      </w:r>
      <w:r>
        <w:pict>
          <v:shapetype id="_x0000_t364" coordsize="21600,21600" o:spt="202" path="m,l,21600r21600,l21600,xe">
            <v:stroke joinstyle="miter"/>
            <v:path gradientshapeok="t" o:connecttype="rect"/>
          </v:shapetype>
          <v:shape id="_x0000_s363" type="#_x0000_t364" filled="f" stroked="f" style="position:absolute;width:612pt;height:251.4pt;z-index:1;margin-left:0pt;margin-top:465.4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656"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NYSIIP</w:t>
                  </w:r>
                </w:p>
                <w:p>
                  <w:pPr>
                    <w:spacing w:before="303" w:after="0" w:line="309"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Education Access and Quality</w:t>
                  </w:r>
                </w:p>
                <w:p>
                  <w:pPr>
                    <w:spacing w:before="218" w:after="0" w:line="226" w:lineRule="exact"/>
                    <w:ind w:right="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Health and Wellness Promoting Schools</w:t>
                  </w:r>
                </w:p>
                <w:p>
                  <w:pPr>
                    <w:spacing w:before="155" w:after="0" w:line="289"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and wellness promoting schools refers to the non-academic factors that impact whether a student is set up for success. These may include the prevalence of healthy food choices and ability to participate in physical activity.</w:t>
                  </w:r>
                </w:p>
                <w:p>
                  <w:pPr>
                    <w:spacing w:before="166" w:after="552"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One important indicator of how well schools are supporting students is chronic absenteeism, defined as missing at least 10 percent of school days in a year. State-level data from the 2022–2023 school year show that nearly one in three New York students is chronically absent, with rates varying by region, race and ethnicity, and socioeconomic status. Chronic absenteeism has increased sharply in rural districts, reaching 13.4 percent in low-need rural areas, 25.2 percent in average-need rural areas, and 33.0 percent in high-need rural areas. Economically disadvantaged students, students with disabilities, and English language learners experience the highest absenteeism rates, highlighting the need for</w:t>
                  </w:r>
                </w:p>
              </w:txbxContent>
            </v:textbox>
          </v:shape>
        </w:pict>
      </w:r>
      <w:r>
        <w:pict>
          <v:shapetype id="_x0000_t365" coordsize="21600,21600" o:spt="202" path="m,l,21600r21600,l21600,xe">
            <v:stroke joinstyle="miter"/>
            <v:path gradientshapeok="t" o:connecttype="rect"/>
          </v:shapetype>
          <v:shape id="_x0000_s364" type="#_x0000_t365" filled="f" stroked="f" style="position:absolute;width:443.25pt;height:24.45pt;z-index:-1;margin-left:84.5pt;margin-top:205.7pt;mso-wrap-distance-left:0pt;mso-wrap-distance-right:0pt;mso-position-horizontal-relative:page;mso-position-vertical-relative:page">
            <w10:wrap type="square" side="both"/>
            <v:fill opacity="1" o:opacity2="1" recolor="f" rotate="f" type="solid"/>
            <v:textbox inset="0pt, 0pt, 0pt, 0pt">
              <w:txbxContent>
                <w:p>
                  <w:pPr>
                    <w:spacing w:before="198" w:after="0" w:line="281" w:lineRule="exact"/>
                    <w:ind w:right="0" w:left="0" w:firstLine="0"/>
                    <w:jc w:val="center"/>
                    <w:textAlignment w:val="baseline"/>
                    <w:rPr>
                      <w:rFonts w:ascii="Calibri" w:hAnsi="Calibri" w:eastAsia="Calibri"/>
                      <w:color w:val="585858"/>
                      <w:spacing w:val="-1"/>
                      <w:w w:val="100"/>
                      <w:sz w:val="28"/>
                      <w:vertAlign w:val="baseline"/>
                      <w:lang w:val="en-US"/>
                    </w:rPr>
                  </w:pPr>
                  <w:r>
                    <w:rPr>
                      <w:rFonts w:ascii="Calibri" w:hAnsi="Calibri" w:eastAsia="Calibri"/>
                      <w:color w:val="585858"/>
                      <w:spacing w:val="-1"/>
                      <w:w w:val="100"/>
                      <w:sz w:val="28"/>
                      <w:vertAlign w:val="baseline"/>
                      <w:lang w:val="en-US"/>
                    </w:rPr>
                    <w:t xml:space="preserve">Immunization Rates by County (2025)</w:t>
                  </w:r>
                </w:p>
              </w:txbxContent>
            </v:textbox>
          </v:shape>
        </w:pict>
      </w:r>
      <w:r>
        <w:pict>
          <v:shapetype id="_x0000_t366" coordsize="21600,21600" o:spt="202" path="m,l,21600r21600,l21600,xe">
            <v:stroke joinstyle="miter"/>
            <v:path gradientshapeok="t" o:connecttype="rect"/>
          </v:shapetype>
          <v:shape id="_x0000_s365" type="#_x0000_t366" filled="f" stroked="f" style="position:absolute;width:16.3pt;height:17.3pt;z-index:-1;margin-left:84.5pt;margin-top:230.15pt;mso-wrap-distance-left:0pt;mso-wrap-distance-right:0pt;mso-position-horizontal-relative:page;mso-position-vertical-relative:page">
            <w10:wrap type="square" side="both"/>
            <v:fill opacity="1" o:opacity2="1" recolor="f" rotate="f" type="solid"/>
            <v:textbox inset="0pt, 0pt, 0pt, 0pt">
              <w:txbxContent>
                <w:p>
                  <w:pPr>
                    <w:spacing w:before="166" w:after="0" w:line="17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90</w:t>
                  </w:r>
                </w:p>
              </w:txbxContent>
            </v:textbox>
          </v:shape>
        </w:pict>
      </w:r>
      <w:r>
        <w:pict>
          <v:shapetype id="_x0000_t367" coordsize="21600,21600" o:spt="202" path="m,l,21600r21600,l21600,xe">
            <v:stroke joinstyle="miter"/>
            <v:path gradientshapeok="t" o:connecttype="rect"/>
          </v:shapetype>
          <v:shape id="_x0000_s366" type="#_x0000_t367" filled="f" stroked="f" style="position:absolute;width:16.3pt;height:19.2pt;z-index:-1;margin-left:84.5pt;margin-top:247.45pt;mso-wrap-distance-left:0pt;mso-wrap-distance-right:0pt;mso-position-horizontal-relative:page;mso-position-vertical-relative:page">
            <w10:wrap type="square" side="both"/>
            <v:fill opacity="1" o:opacity2="1" recolor="f" rotate="f" type="solid"/>
            <v:textbox inset="0pt, 0pt, 0pt, 0pt">
              <w:txbxContent>
                <w:p>
                  <w:pPr>
                    <w:spacing w:before="199"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80</w:t>
                  </w:r>
                </w:p>
              </w:txbxContent>
            </v:textbox>
          </v:shape>
        </w:pict>
      </w:r>
      <w:r>
        <w:pict>
          <v:shapetype id="_x0000_t368" coordsize="21600,21600" o:spt="202" path="m,l,21600r21600,l21600,xe">
            <v:stroke joinstyle="miter"/>
            <v:path gradientshapeok="t" o:connecttype="rect"/>
          </v:shapetype>
          <v:shape id="_x0000_s367" type="#_x0000_t368" filled="f" stroked="f" style="position:absolute;width:444.95pt;height:151.65pt;z-index:-1;margin-left:82.8pt;margin-top:266.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490"/>
                    <w:gridCol w:w="777"/>
                    <w:gridCol w:w="498"/>
                    <w:gridCol w:w="237"/>
                    <w:gridCol w:w="56"/>
                    <w:gridCol w:w="118"/>
                    <w:gridCol w:w="118"/>
                    <w:gridCol w:w="499"/>
                    <w:gridCol w:w="236"/>
                    <w:gridCol w:w="56"/>
                    <w:gridCol w:w="1264"/>
                    <w:gridCol w:w="493"/>
                    <w:gridCol w:w="236"/>
                    <w:gridCol w:w="57"/>
                    <w:gridCol w:w="236"/>
                    <w:gridCol w:w="498"/>
                    <w:gridCol w:w="237"/>
                    <w:gridCol w:w="56"/>
                    <w:gridCol w:w="236"/>
                    <w:gridCol w:w="503"/>
                    <w:gridCol w:w="232"/>
                    <w:gridCol w:w="56"/>
                    <w:gridCol w:w="1518"/>
                  </w:tblGrid>
                  <w:tr>
                    <w:trPr>
                      <w:trHeight w:val="293" w:hRule="exact"/>
                    </w:trPr>
                    <w:tc>
                      <w:tcPr>
                        <w:tcW w:w="490" w:type="dxa"/>
                        <w:vMerge w:val="restart"/>
                        <w:tcBorders>
                          <w:top w:val="none"/>
                          <w:left w:val="none"/>
                          <w:bottom w:val="none"/>
                          <w:right w:val="none"/>
                        </w:tcBorders>
                        <w:textDirection w:val="lrTb"/>
                        <w:vAlign w:val="center"/>
                      </w:tcPr>
                      <w:p>
                        <w:pPr>
                          <w:spacing w:before="199" w:after="91"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70</w:t>
                        </w:r>
                      </w:p>
                    </w:tc>
                    <w:tc>
                      <w:tcPr>
                        <w:tcW w:w="777" w:type="dxa"/>
                        <w:tcBorders>
                          <w:top w:val="none"/>
                          <w:left w:val="none"/>
                          <w:bottom w:val="single" w:sz="5" w:color="D8D8D8"/>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18"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118" w:type="dxa"/>
                        <w:tcBorders>
                          <w:top w:val="none"/>
                          <w:left w:val="none"/>
                          <w:bottom w:val="none"/>
                          <w:right w:val="none"/>
                        </w:tcBorders>
                        <w:textDirection w:val="lrTb"/>
                        <w:vAlign w:val="top"/>
                      </w:tcPr>
                      <w:p/>
                    </w:tc>
                    <w:tc>
                      <w:tcPr>
                        <w:tcW w:w="499"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264"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802005" cy="1710055"/>
                              <wp:docPr name="Picture" id="82"/>
                              <a:graphic>
                                <a:graphicData uri="http://schemas.openxmlformats.org/drawingml/2006/picture">
                                  <pic:pic>
                                    <pic:nvPicPr>
                                      <pic:cNvPr id="82" name="Picture"/>
                                      <pic:cNvPicPr preferRelativeResize="false"/>
                                    </pic:nvPicPr>
                                    <pic:blipFill>
                                      <a:blip r:embed="prId82"/>
                                      <a:stretch>
                                        <a:fillRect/>
                                      </a:stretch>
                                    </pic:blipFill>
                                    <pic:spPr>
                                      <a:xfrm>
                                        <a:off x="0" y="0"/>
                                        <a:ext cx="802005" cy="1710055"/>
                                      </a:xfrm>
                                      <a:prstGeom prst="rect"/>
                                    </pic:spPr>
                                  </pic:pic>
                                </a:graphicData>
                              </a:graphic>
                            </wp:inline>
                          </w:drawing>
                        </w:r>
                      </w:p>
                    </w:tc>
                    <w:tc>
                      <w:tcPr>
                        <w:tcW w:w="493"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7"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03" w:type="dxa"/>
                        <w:tcBorders>
                          <w:top w:val="none"/>
                          <w:left w:val="none"/>
                          <w:bottom w:val="single" w:sz="5" w:color="D8D8D8"/>
                          <w:right w:val="none"/>
                        </w:tcBorders>
                        <w:textDirection w:val="lrTb"/>
                        <w:vAlign w:val="top"/>
                      </w:tcPr>
                      <w:p/>
                    </w:tc>
                    <w:tc>
                      <w:tcPr>
                        <w:tcW w:w="232"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518" w:type="dxa"/>
                        <w:tcBorders>
                          <w:top w:val="none"/>
                          <w:left w:val="none"/>
                          <w:bottom w:val="single" w:sz="5" w:color="D8D8D8"/>
                          <w:right w:val="none"/>
                        </w:tcBorders>
                        <w:textDirection w:val="lrTb"/>
                        <w:vAlign w:val="top"/>
                      </w:tcPr>
                      <w:p/>
                    </w:tc>
                  </w:tr>
                  <w:tr>
                    <w:trPr>
                      <w:trHeight w:val="28" w:hRule="exact"/>
                    </w:trPr>
                    <w:tc>
                      <w:tcPr>
                        <w:tcW w:w="490" w:type="dxa"/>
                        <w:vMerge w:val="continue"/>
                        <w:tcBorders>
                          <w:top w:val="none"/>
                          <w:left w:val="none"/>
                          <w:bottom w:val="none"/>
                          <w:right w:val="none"/>
                        </w:tcBorders>
                        <w:textDirection w:val="lrTb"/>
                        <w:vAlign w:val="center"/>
                      </w:tcPr>
                      <w:p/>
                    </w:tc>
                    <w:tc>
                      <w:tcPr>
                        <w:tcW w:w="777" w:type="dxa"/>
                        <w:tcBorders>
                          <w:top w:val="single" w:sz="5" w:color="D8D8D8"/>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none"/>
                          <w:right w:val="none"/>
                        </w:tcBorders>
                        <w:textDirection w:val="lrTb"/>
                        <w:vAlign w:val="top"/>
                      </w:tcPr>
                      <w:p/>
                    </w:tc>
                    <w:tc>
                      <w:tcPr>
                        <w:tcW w:w="236"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none"/>
                          <w:right w:val="none"/>
                        </w:tcBorders>
                        <w:textDirection w:val="lrTb"/>
                        <w:vAlign w:val="top"/>
                      </w:tcPr>
                      <w:p/>
                    </w:tc>
                    <w:tc>
                      <w:tcPr>
                        <w:tcW w:w="236" w:type="dxa"/>
                        <w:tcBorders>
                          <w:top w:val="single" w:sz="5" w:color="D8D8D8"/>
                          <w:left w:val="none"/>
                          <w:bottom w:val="none"/>
                          <w:right w:val="none"/>
                        </w:tcBorders>
                        <w:textDirection w:val="lrTb"/>
                        <w:vAlign w:val="top"/>
                      </w:tcPr>
                      <w:p/>
                    </w:tc>
                    <w:tc>
                      <w:tcPr>
                        <w:tcW w:w="57" w:type="dxa"/>
                        <w:tcBorders>
                          <w:top w:val="single" w:sz="5" w:color="D8D8D8"/>
                          <w:left w:val="none"/>
                          <w:bottom w:val="none"/>
                          <w:right w:val="none"/>
                        </w:tcBorders>
                        <w:textDirection w:val="lrTb"/>
                        <w:vAlign w:val="top"/>
                      </w:tcPr>
                      <w:p/>
                    </w:tc>
                    <w:tc>
                      <w:tcPr>
                        <w:tcW w:w="236" w:type="dxa"/>
                        <w:tcBorders>
                          <w:top w:val="single" w:sz="5" w:color="D8D8D8"/>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236" w:type="dxa"/>
                        <w:tcBorders>
                          <w:top w:val="single" w:sz="5" w:color="D8D8D8"/>
                          <w:left w:val="none"/>
                          <w:bottom w:val="none"/>
                          <w:right w:val="none"/>
                        </w:tcBorders>
                        <w:textDirection w:val="lrTb"/>
                        <w:vAlign w:val="top"/>
                      </w:tcPr>
                      <w:p/>
                    </w:tc>
                    <w:tc>
                      <w:tcPr>
                        <w:tcW w:w="503" w:type="dxa"/>
                        <w:tcBorders>
                          <w:top w:val="single" w:sz="5" w:color="D8D8D8"/>
                          <w:left w:val="none"/>
                          <w:bottom w:val="none"/>
                          <w:right w:val="none"/>
                        </w:tcBorders>
                        <w:textDirection w:val="lrTb"/>
                        <w:vAlign w:val="top"/>
                      </w:tcPr>
                      <w:p/>
                    </w:tc>
                    <w:tc>
                      <w:tcPr>
                        <w:tcW w:w="232"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1518" w:type="dxa"/>
                        <w:tcBorders>
                          <w:top w:val="single" w:sz="5" w:color="D8D8D8"/>
                          <w:left w:val="none"/>
                          <w:bottom w:val="none"/>
                          <w:right w:val="none"/>
                        </w:tcBorders>
                        <w:textDirection w:val="lrTb"/>
                        <w:vAlign w:val="top"/>
                      </w:tcPr>
                      <w:p/>
                    </w:tc>
                  </w:tr>
                  <w:tr>
                    <w:trPr>
                      <w:trHeight w:val="163" w:hRule="exact"/>
                    </w:trPr>
                    <w:tc>
                      <w:tcPr>
                        <w:tcW w:w="490" w:type="dxa"/>
                        <w:vMerge w:val="continue"/>
                        <w:tcBorders>
                          <w:top w:val="none"/>
                          <w:left w:val="none"/>
                          <w:bottom w:val="none"/>
                          <w:right w:val="none"/>
                        </w:tcBorders>
                        <w:textDirection w:val="lrTb"/>
                        <w:vAlign w:val="center"/>
                      </w:tcPr>
                      <w:p/>
                    </w:tc>
                    <w:tc>
                      <w:tcPr>
                        <w:tcW w:w="777"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493395" cy="1572895"/>
                              <wp:docPr name="Picture" id="83"/>
                              <a:graphic>
                                <a:graphicData uri="http://schemas.openxmlformats.org/drawingml/2006/picture">
                                  <pic:pic>
                                    <pic:nvPicPr>
                                      <pic:cNvPr id="83" name="Picture"/>
                                      <pic:cNvPicPr preferRelativeResize="false"/>
                                    </pic:nvPicPr>
                                    <pic:blipFill>
                                      <a:blip r:embed="prId83"/>
                                      <a:stretch>
                                        <a:fillRect/>
                                      </a:stretch>
                                    </pic:blipFill>
                                    <pic:spPr>
                                      <a:xfrm>
                                        <a:off x="0" y="0"/>
                                        <a:ext cx="493395" cy="1572895"/>
                                      </a:xfrm>
                                      <a:prstGeom prst="rect"/>
                                    </pic:spPr>
                                  </pic:pic>
                                </a:graphicData>
                              </a:graphic>
                            </wp:inline>
                          </w:drawing>
                        </w: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236"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03" w:type="dxa"/>
                        <w:tcBorders>
                          <w:top w:val="none"/>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restart"/>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963295" cy="1597025"/>
                              <wp:docPr name="Picture" id="84"/>
                              <a:graphic>
                                <a:graphicData uri="http://schemas.openxmlformats.org/drawingml/2006/picture">
                                  <pic:pic>
                                    <pic:nvPicPr>
                                      <pic:cNvPr id="84" name="Picture"/>
                                      <pic:cNvPicPr preferRelativeResize="false"/>
                                    </pic:nvPicPr>
                                    <pic:blipFill>
                                      <a:blip r:embed="prId84"/>
                                      <a:stretch>
                                        <a:fillRect/>
                                      </a:stretch>
                                    </pic:blipFill>
                                    <pic:spPr>
                                      <a:xfrm>
                                        <a:off x="0" y="0"/>
                                        <a:ext cx="963295" cy="1597025"/>
                                      </a:xfrm>
                                      <a:prstGeom prst="rect"/>
                                    </pic:spPr>
                                  </pic:pic>
                                </a:graphicData>
                              </a:graphic>
                            </wp:inline>
                          </w:drawing>
                        </w:r>
                      </w:p>
                    </w:tc>
                  </w:tr>
                  <w:tr>
                    <w:trPr>
                      <w:trHeight w:val="49" w:hRule="exact"/>
                    </w:trPr>
                    <w:tc>
                      <w:tcPr>
                        <w:tcW w:w="490" w:type="dxa"/>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139" w:hRule="exact"/>
                    </w:trPr>
                    <w:tc>
                      <w:tcPr>
                        <w:tcW w:w="490" w:type="dxa"/>
                        <w:vMerge w:val="restart"/>
                        <w:tcBorders>
                          <w:top w:val="none"/>
                          <w:left w:val="none"/>
                          <w:bottom w:val="none"/>
                          <w:right w:val="none"/>
                        </w:tcBorders>
                        <w:textDirection w:val="lrTb"/>
                        <w:vAlign w:val="top"/>
                      </w:tcPr>
                      <w:p>
                        <w:pPr>
                          <w:spacing w:before="45"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60</w:t>
                        </w:r>
                      </w:p>
                      <w:p>
                        <w:pPr>
                          <w:spacing w:before="200"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w:t>
                        </w:r>
                      </w:p>
                      <w:p>
                        <w:pPr>
                          <w:spacing w:before="204" w:after="186"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w:t>
                        </w:r>
                      </w:p>
                    </w:tc>
                    <w:tc>
                      <w:tcPr>
                        <w:tcW w:w="777" w:type="dxa"/>
                        <w:vMerge w:val="continue"/>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7"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shd w:val="clear" w:color="E97031" w:fill="E97031"/>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single" w:sz="5" w:color="D8D8D8"/>
                          <w:right w:val="none"/>
                        </w:tcBorders>
                        <w:textDirection w:val="lrTb"/>
                        <w:vAlign w:val="top"/>
                      </w:tcPr>
                      <w:p/>
                    </w:tc>
                    <w:tc>
                      <w:tcPr>
                        <w:tcW w:w="232"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379" w:hRule="exact"/>
                    </w:trPr>
                    <w:tc>
                      <w:tcPr>
                        <w:tcW w:w="490" w:type="dxa"/>
                        <w:vMerge w:val="continue"/>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7" w:type="dxa"/>
                        <w:tcBorders>
                          <w:top w:val="single" w:sz="5" w:color="D8D8D8"/>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5" w:color="D8D8D8"/>
                          <w:left w:val="none"/>
                          <w:bottom w:val="single" w:sz="5" w:color="D8D8D8"/>
                          <w:right w:val="none"/>
                        </w:tcBorders>
                        <w:textDirection w:val="lrTb"/>
                        <w:vAlign w:val="top"/>
                      </w:tcPr>
                      <w:p/>
                    </w:tc>
                    <w:tc>
                      <w:tcPr>
                        <w:tcW w:w="232"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384" w:hRule="exact"/>
                    </w:trPr>
                    <w:tc>
                      <w:tcPr>
                        <w:tcW w:w="490" w:type="dxa"/>
                        <w:vMerge w:val="continue"/>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single" w:sz="5" w:color="D8D8D8"/>
                          <w:left w:val="none"/>
                          <w:bottom w:val="single" w:sz="4" w:color="D8D8D8"/>
                          <w:right w:val="none"/>
                        </w:tcBorders>
                        <w:textDirection w:val="lrTb"/>
                        <w:vAlign w:val="top"/>
                      </w:tcPr>
                      <w:p/>
                    </w:tc>
                    <w:tc>
                      <w:tcPr>
                        <w:tcW w:w="237" w:type="dxa"/>
                        <w:tcBorders>
                          <w:top w:val="single" w:sz="5" w:color="D8D8D8"/>
                          <w:left w:val="none"/>
                          <w:bottom w:val="single" w:sz="4" w:color="D8D8D8"/>
                          <w:right w:val="none"/>
                        </w:tcBorders>
                        <w:textDirection w:val="lrTb"/>
                        <w:vAlign w:val="top"/>
                      </w:tcPr>
                      <w:p/>
                    </w:tc>
                    <w:tc>
                      <w:tcPr>
                        <w:tcW w:w="56" w:type="dxa"/>
                        <w:tcBorders>
                          <w:top w:val="single" w:sz="5" w:color="D8D8D8"/>
                          <w:left w:val="none"/>
                          <w:bottom w:val="single" w:sz="4" w:color="D8D8D8"/>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single" w:sz="4" w:color="D8D8D8"/>
                          <w:right w:val="none"/>
                        </w:tcBorders>
                        <w:textDirection w:val="lrTb"/>
                        <w:vAlign w:val="top"/>
                      </w:tcPr>
                      <w:p/>
                    </w:tc>
                    <w:tc>
                      <w:tcPr>
                        <w:tcW w:w="236" w:type="dxa"/>
                        <w:tcBorders>
                          <w:top w:val="single" w:sz="5" w:color="D8D8D8"/>
                          <w:left w:val="none"/>
                          <w:bottom w:val="single" w:sz="4" w:color="D8D8D8"/>
                          <w:right w:val="none"/>
                        </w:tcBorders>
                        <w:textDirection w:val="lrTb"/>
                        <w:vAlign w:val="top"/>
                      </w:tcPr>
                      <w:p/>
                    </w:tc>
                    <w:tc>
                      <w:tcPr>
                        <w:tcW w:w="56" w:type="dxa"/>
                        <w:tcBorders>
                          <w:top w:val="single" w:sz="5" w:color="D8D8D8"/>
                          <w:left w:val="none"/>
                          <w:bottom w:val="single" w:sz="4" w:color="D8D8D8"/>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single" w:sz="4" w:color="D8D8D8"/>
                          <w:right w:val="none"/>
                        </w:tcBorders>
                        <w:textDirection w:val="lrTb"/>
                        <w:vAlign w:val="top"/>
                      </w:tcPr>
                      <w:p/>
                    </w:tc>
                    <w:tc>
                      <w:tcPr>
                        <w:tcW w:w="236" w:type="dxa"/>
                        <w:tcBorders>
                          <w:top w:val="single" w:sz="5" w:color="D8D8D8"/>
                          <w:left w:val="none"/>
                          <w:bottom w:val="single" w:sz="4" w:color="D8D8D8"/>
                          <w:right w:val="none"/>
                        </w:tcBorders>
                        <w:textDirection w:val="lrTb"/>
                        <w:vAlign w:val="top"/>
                      </w:tcPr>
                      <w:p/>
                    </w:tc>
                    <w:tc>
                      <w:tcPr>
                        <w:tcW w:w="57" w:type="dxa"/>
                        <w:tcBorders>
                          <w:top w:val="single" w:sz="5" w:color="D8D8D8"/>
                          <w:left w:val="none"/>
                          <w:bottom w:val="single" w:sz="4" w:color="D8D8D8"/>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5" w:color="D8D8D8"/>
                          <w:left w:val="none"/>
                          <w:bottom w:val="single" w:sz="4" w:color="D8D8D8"/>
                          <w:right w:val="none"/>
                        </w:tcBorders>
                        <w:textDirection w:val="lrTb"/>
                        <w:vAlign w:val="top"/>
                      </w:tcPr>
                      <w:p/>
                    </w:tc>
                    <w:tc>
                      <w:tcPr>
                        <w:tcW w:w="237" w:type="dxa"/>
                        <w:tcBorders>
                          <w:top w:val="single" w:sz="5" w:color="D8D8D8"/>
                          <w:left w:val="none"/>
                          <w:bottom w:val="single" w:sz="4" w:color="D8D8D8"/>
                          <w:right w:val="none"/>
                        </w:tcBorders>
                        <w:textDirection w:val="lrTb"/>
                        <w:vAlign w:val="top"/>
                      </w:tcPr>
                      <w:p/>
                    </w:tc>
                    <w:tc>
                      <w:tcPr>
                        <w:tcW w:w="56" w:type="dxa"/>
                        <w:tcBorders>
                          <w:top w:val="single" w:sz="5" w:color="D8D8D8"/>
                          <w:left w:val="none"/>
                          <w:bottom w:val="single" w:sz="4"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5" w:color="D8D8D8"/>
                          <w:left w:val="none"/>
                          <w:bottom w:val="single" w:sz="4" w:color="D8D8D8"/>
                          <w:right w:val="none"/>
                        </w:tcBorders>
                        <w:textDirection w:val="lrTb"/>
                        <w:vAlign w:val="top"/>
                      </w:tcPr>
                      <w:p/>
                    </w:tc>
                    <w:tc>
                      <w:tcPr>
                        <w:tcW w:w="232" w:type="dxa"/>
                        <w:tcBorders>
                          <w:top w:val="single" w:sz="5" w:color="D8D8D8"/>
                          <w:left w:val="none"/>
                          <w:bottom w:val="single" w:sz="4" w:color="D8D8D8"/>
                          <w:right w:val="none"/>
                        </w:tcBorders>
                        <w:textDirection w:val="lrTb"/>
                        <w:vAlign w:val="top"/>
                      </w:tcPr>
                      <w:p/>
                    </w:tc>
                    <w:tc>
                      <w:tcPr>
                        <w:tcW w:w="56" w:type="dxa"/>
                        <w:tcBorders>
                          <w:top w:val="single" w:sz="5" w:color="D8D8D8"/>
                          <w:left w:val="none"/>
                          <w:bottom w:val="single" w:sz="4" w:color="D8D8D8"/>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274" w:hRule="exact"/>
                    </w:trPr>
                    <w:tc>
                      <w:tcPr>
                        <w:tcW w:w="490" w:type="dxa"/>
                        <w:vMerge w:val="continue"/>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single" w:sz="4" w:color="D8D8D8"/>
                          <w:left w:val="none"/>
                          <w:bottom w:val="none"/>
                          <w:right w:val="none"/>
                        </w:tcBorders>
                        <w:textDirection w:val="lrTb"/>
                        <w:vAlign w:val="top"/>
                      </w:tcPr>
                      <w:p/>
                    </w:tc>
                    <w:tc>
                      <w:tcPr>
                        <w:tcW w:w="237" w:type="dxa"/>
                        <w:tcBorders>
                          <w:top w:val="single" w:sz="4" w:color="D8D8D8"/>
                          <w:left w:val="none"/>
                          <w:bottom w:val="none"/>
                          <w:right w:val="none"/>
                        </w:tcBorders>
                        <w:textDirection w:val="lrTb"/>
                        <w:vAlign w:val="top"/>
                      </w:tcPr>
                      <w:p/>
                    </w:tc>
                    <w:tc>
                      <w:tcPr>
                        <w:tcW w:w="56" w:type="dxa"/>
                        <w:tcBorders>
                          <w:top w:val="single" w:sz="4" w:color="D8D8D8"/>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4" w:color="D8D8D8"/>
                          <w:left w:val="none"/>
                          <w:bottom w:val="none"/>
                          <w:right w:val="none"/>
                        </w:tcBorders>
                        <w:textDirection w:val="lrTb"/>
                        <w:vAlign w:val="top"/>
                      </w:tcPr>
                      <w:p/>
                    </w:tc>
                    <w:tc>
                      <w:tcPr>
                        <w:tcW w:w="236" w:type="dxa"/>
                        <w:tcBorders>
                          <w:top w:val="single" w:sz="4" w:color="D8D8D8"/>
                          <w:left w:val="none"/>
                          <w:bottom w:val="none"/>
                          <w:right w:val="none"/>
                        </w:tcBorders>
                        <w:textDirection w:val="lrTb"/>
                        <w:vAlign w:val="top"/>
                      </w:tcPr>
                      <w:p/>
                    </w:tc>
                    <w:tc>
                      <w:tcPr>
                        <w:tcW w:w="56" w:type="dxa"/>
                        <w:tcBorders>
                          <w:top w:val="single" w:sz="4" w:color="D8D8D8"/>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4" w:color="D8D8D8"/>
                          <w:left w:val="none"/>
                          <w:bottom w:val="none"/>
                          <w:right w:val="none"/>
                        </w:tcBorders>
                        <w:textDirection w:val="lrTb"/>
                        <w:vAlign w:val="top"/>
                      </w:tcPr>
                      <w:p/>
                    </w:tc>
                    <w:tc>
                      <w:tcPr>
                        <w:tcW w:w="236" w:type="dxa"/>
                        <w:tcBorders>
                          <w:top w:val="single" w:sz="4" w:color="D8D8D8"/>
                          <w:left w:val="none"/>
                          <w:bottom w:val="none"/>
                          <w:right w:val="none"/>
                        </w:tcBorders>
                        <w:textDirection w:val="lrTb"/>
                        <w:vAlign w:val="top"/>
                      </w:tcPr>
                      <w:p/>
                    </w:tc>
                    <w:tc>
                      <w:tcPr>
                        <w:tcW w:w="57" w:type="dxa"/>
                        <w:tcBorders>
                          <w:top w:val="single" w:sz="4"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4" w:color="D8D8D8"/>
                          <w:left w:val="none"/>
                          <w:bottom w:val="none"/>
                          <w:right w:val="none"/>
                        </w:tcBorders>
                        <w:textDirection w:val="lrTb"/>
                        <w:vAlign w:val="top"/>
                      </w:tcPr>
                      <w:p/>
                    </w:tc>
                    <w:tc>
                      <w:tcPr>
                        <w:tcW w:w="237" w:type="dxa"/>
                        <w:tcBorders>
                          <w:top w:val="single" w:sz="4" w:color="D8D8D8"/>
                          <w:left w:val="none"/>
                          <w:bottom w:val="none"/>
                          <w:right w:val="none"/>
                        </w:tcBorders>
                        <w:textDirection w:val="lrTb"/>
                        <w:vAlign w:val="top"/>
                      </w:tcPr>
                      <w:p/>
                    </w:tc>
                    <w:tc>
                      <w:tcPr>
                        <w:tcW w:w="56" w:type="dxa"/>
                        <w:tcBorders>
                          <w:top w:val="single" w:sz="4"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4" w:color="D8D8D8"/>
                          <w:left w:val="none"/>
                          <w:bottom w:val="none"/>
                          <w:right w:val="none"/>
                        </w:tcBorders>
                        <w:textDirection w:val="lrTb"/>
                        <w:vAlign w:val="top"/>
                      </w:tcPr>
                      <w:p/>
                    </w:tc>
                    <w:tc>
                      <w:tcPr>
                        <w:tcW w:w="232" w:type="dxa"/>
                        <w:tcBorders>
                          <w:top w:val="single" w:sz="4" w:color="D8D8D8"/>
                          <w:left w:val="none"/>
                          <w:bottom w:val="none"/>
                          <w:right w:val="none"/>
                        </w:tcBorders>
                        <w:textDirection w:val="lrTb"/>
                        <w:vAlign w:val="top"/>
                      </w:tcPr>
                      <w:p/>
                    </w:tc>
                    <w:tc>
                      <w:tcPr>
                        <w:tcW w:w="56" w:type="dxa"/>
                        <w:tcBorders>
                          <w:top w:val="single" w:sz="4" w:color="D8D8D8"/>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43" w:hRule="exact"/>
                    </w:trPr>
                    <w:tc>
                      <w:tcPr>
                        <w:tcW w:w="490" w:type="dxa"/>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7"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single" w:sz="5" w:color="D8D8D8"/>
                          <w:right w:val="none"/>
                        </w:tcBorders>
                        <w:textDirection w:val="lrTb"/>
                        <w:vAlign w:val="top"/>
                      </w:tcPr>
                      <w:p/>
                    </w:tc>
                    <w:tc>
                      <w:tcPr>
                        <w:tcW w:w="232"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67" w:hRule="exact"/>
                    </w:trPr>
                    <w:tc>
                      <w:tcPr>
                        <w:tcW w:w="490" w:type="dxa"/>
                        <w:vMerge w:val="restart"/>
                        <w:tcBorders>
                          <w:top w:val="none"/>
                          <w:left w:val="none"/>
                          <w:bottom w:val="none"/>
                          <w:right w:val="none"/>
                        </w:tcBorders>
                        <w:textDirection w:val="lrTb"/>
                        <w:vAlign w:val="top"/>
                      </w:tcPr>
                      <w:p>
                        <w:pPr>
                          <w:spacing w:before="0" w:after="95" w:line="149"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w:t>
                        </w:r>
                      </w:p>
                    </w:tc>
                    <w:tc>
                      <w:tcPr>
                        <w:tcW w:w="777" w:type="dxa"/>
                        <w:vMerge w:val="continue"/>
                        <w:tcBorders>
                          <w:top w:val="none"/>
                          <w:left w:val="none"/>
                          <w:bottom w:val="none"/>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single" w:sz="5" w:color="D8D8D8"/>
                          <w:right w:val="none"/>
                        </w:tcBorders>
                        <w:textDirection w:val="lrTb"/>
                        <w:vAlign w:val="top"/>
                      </w:tcPr>
                      <w:p/>
                    </w:tc>
                    <w:tc>
                      <w:tcPr>
                        <w:tcW w:w="236"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7" w:type="dxa"/>
                        <w:tcBorders>
                          <w:top w:val="single" w:sz="5" w:color="D8D8D8"/>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5" w:color="D8D8D8"/>
                          <w:left w:val="none"/>
                          <w:bottom w:val="single" w:sz="5" w:color="D8D8D8"/>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187" w:hRule="exact"/>
                    </w:trPr>
                    <w:tc>
                      <w:tcPr>
                        <w:tcW w:w="490" w:type="dxa"/>
                        <w:vMerge w:val="continue"/>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none"/>
                          <w:right w:val="none"/>
                        </w:tcBorders>
                        <w:textDirection w:val="lrTb"/>
                        <w:vAlign w:val="top"/>
                      </w:tcPr>
                      <w:p/>
                    </w:tc>
                    <w:tc>
                      <w:tcPr>
                        <w:tcW w:w="236" w:type="dxa"/>
                        <w:tcBorders>
                          <w:top w:val="single" w:sz="5" w:color="D8D8D8"/>
                          <w:left w:val="none"/>
                          <w:bottom w:val="none"/>
                          <w:right w:val="none"/>
                        </w:tcBorders>
                        <w:textDirection w:val="lrTb"/>
                        <w:vAlign w:val="top"/>
                      </w:tcPr>
                      <w:p/>
                    </w:tc>
                    <w:tc>
                      <w:tcPr>
                        <w:tcW w:w="57"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5" w:color="D8D8D8"/>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39" w:hRule="exact"/>
                    </w:trPr>
                    <w:tc>
                      <w:tcPr>
                        <w:tcW w:w="490" w:type="dxa"/>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148" w:hRule="exact"/>
                    </w:trPr>
                    <w:tc>
                      <w:tcPr>
                        <w:tcW w:w="490" w:type="dxa"/>
                        <w:vMerge w:val="restart"/>
                        <w:tcBorders>
                          <w:top w:val="none"/>
                          <w:left w:val="none"/>
                          <w:bottom w:val="none"/>
                          <w:right w:val="none"/>
                        </w:tcBorders>
                        <w:textDirection w:val="lrTb"/>
                        <w:vAlign w:val="center"/>
                      </w:tcPr>
                      <w:p>
                        <w:pPr>
                          <w:spacing w:before="55" w:after="19"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tc>
                    <w:tc>
                      <w:tcPr>
                        <w:tcW w:w="777" w:type="dxa"/>
                        <w:vMerge w:val="continue"/>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single" w:sz="5" w:color="D8D8D8"/>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111" w:hRule="exact"/>
                    </w:trPr>
                    <w:tc>
                      <w:tcPr>
                        <w:tcW w:w="490" w:type="dxa"/>
                        <w:vMerge w:val="continue"/>
                        <w:tcBorders>
                          <w:top w:val="none"/>
                          <w:left w:val="none"/>
                          <w:bottom w:val="none"/>
                          <w:right w:val="none"/>
                        </w:tcBorders>
                        <w:textDirection w:val="lrTb"/>
                        <w:vAlign w:val="center"/>
                      </w:tcPr>
                      <w:p/>
                    </w:tc>
                    <w:tc>
                      <w:tcPr>
                        <w:tcW w:w="777" w:type="dxa"/>
                        <w:vMerge w:val="continue"/>
                        <w:tcBorders>
                          <w:top w:val="none"/>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single" w:sz="5" w:color="D8D8D8"/>
                          <w:left w:val="none"/>
                          <w:bottom w:val="none"/>
                          <w:right w:val="none"/>
                        </w:tcBorders>
                        <w:textDirection w:val="lrTb"/>
                        <w:vAlign w:val="top"/>
                      </w:tcPr>
                      <w:p/>
                    </w:tc>
                    <w:tc>
                      <w:tcPr>
                        <w:tcW w:w="237" w:type="dxa"/>
                        <w:tcBorders>
                          <w:top w:val="single" w:sz="5" w:color="D8D8D8"/>
                          <w:left w:val="none"/>
                          <w:bottom w:val="none"/>
                          <w:right w:val="none"/>
                        </w:tcBorders>
                        <w:textDirection w:val="lrTb"/>
                        <w:vAlign w:val="top"/>
                      </w:tcPr>
                      <w:p/>
                    </w:tc>
                    <w:tc>
                      <w:tcPr>
                        <w:tcW w:w="56" w:type="dxa"/>
                        <w:tcBorders>
                          <w:top w:val="single" w:sz="5" w:color="D8D8D8"/>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single" w:sz="5" w:color="D8D8D8"/>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84" w:hRule="exact"/>
                    </w:trPr>
                    <w:tc>
                      <w:tcPr>
                        <w:tcW w:w="490" w:type="dxa"/>
                        <w:tcBorders>
                          <w:top w:val="none"/>
                          <w:left w:val="none"/>
                          <w:bottom w:val="none"/>
                          <w:right w:val="none"/>
                        </w:tcBorders>
                        <w:textDirection w:val="lrTb"/>
                        <w:vAlign w:val="top"/>
                      </w:tcPr>
                      <w:p/>
                    </w:tc>
                    <w:tc>
                      <w:tcPr>
                        <w:tcW w:w="777" w:type="dxa"/>
                        <w:vMerge w:val="continue"/>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none"/>
                          <w:right w:val="none"/>
                        </w:tcBorders>
                        <w:textDirection w:val="lrTb"/>
                        <w:vAlign w:val="top"/>
                      </w:tcPr>
                      <w:p/>
                    </w:tc>
                    <w:tc>
                      <w:tcPr>
                        <w:tcW w:w="237" w:type="dxa"/>
                        <w:tcBorders>
                          <w:top w:val="none"/>
                          <w:left w:val="none"/>
                          <w:bottom w:val="none"/>
                          <w:right w:val="none"/>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56"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none"/>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185" w:hRule="exact"/>
                    </w:trPr>
                    <w:tc>
                      <w:tcPr>
                        <w:tcW w:w="490" w:type="dxa"/>
                        <w:vMerge w:val="restart"/>
                        <w:tcBorders>
                          <w:top w:val="none"/>
                          <w:left w:val="none"/>
                          <w:bottom w:val="none"/>
                          <w:right w:val="none"/>
                        </w:tcBorders>
                        <w:textDirection w:val="lrTb"/>
                        <w:vAlign w:val="top"/>
                      </w:tcPr>
                      <w:p>
                        <w:pPr>
                          <w:spacing w:before="96" w:after="0" w:line="180"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p>
                        <w:pPr>
                          <w:spacing w:before="199" w:after="0" w:line="156" w:lineRule="exact"/>
                          <w:ind w:right="0" w:left="0" w:firstLine="0"/>
                          <w:jc w:val="righ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c>
                    <w:tc>
                      <w:tcPr>
                        <w:tcW w:w="777" w:type="dxa"/>
                        <w:vMerge w:val="continue"/>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118" w:type="dxa"/>
                        <w:tcBorders>
                          <w:top w:val="none"/>
                          <w:left w:val="none"/>
                          <w:bottom w:val="none"/>
                          <w:right w:val="none"/>
                        </w:tcBorders>
                        <w:textDirection w:val="lrTb"/>
                        <w:vAlign w:val="top"/>
                      </w:tcPr>
                      <w:p/>
                    </w:tc>
                    <w:tc>
                      <w:tcPr>
                        <w:tcW w:w="499"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264" w:type="dxa"/>
                        <w:vMerge w:val="continue"/>
                        <w:tcBorders>
                          <w:top w:val="none"/>
                          <w:left w:val="none"/>
                          <w:bottom w:val="none"/>
                          <w:right w:val="none"/>
                        </w:tcBorders>
                        <w:textDirection w:val="lrTb"/>
                        <w:vAlign w:val="top"/>
                      </w:tcPr>
                      <w:p/>
                    </w:tc>
                    <w:tc>
                      <w:tcPr>
                        <w:tcW w:w="493" w:type="dxa"/>
                        <w:tcBorders>
                          <w:top w:val="none"/>
                          <w:left w:val="none"/>
                          <w:bottom w:val="single" w:sz="5" w:color="D8D8D8"/>
                          <w:right w:val="none"/>
                        </w:tcBorders>
                        <w:textDirection w:val="lrTb"/>
                        <w:vAlign w:val="top"/>
                      </w:tcPr>
                      <w:p/>
                    </w:tc>
                    <w:tc>
                      <w:tcPr>
                        <w:tcW w:w="236" w:type="dxa"/>
                        <w:tcBorders>
                          <w:top w:val="none"/>
                          <w:left w:val="none"/>
                          <w:bottom w:val="none"/>
                          <w:right w:val="none"/>
                        </w:tcBorders>
                        <w:textDirection w:val="lrTb"/>
                        <w:vAlign w:val="top"/>
                      </w:tcPr>
                      <w:p/>
                    </w:tc>
                    <w:tc>
                      <w:tcPr>
                        <w:tcW w:w="57"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498" w:type="dxa"/>
                        <w:tcBorders>
                          <w:top w:val="none"/>
                          <w:left w:val="none"/>
                          <w:bottom w:val="single" w:sz="5" w:color="D8D8D8"/>
                          <w:right w:val="none"/>
                        </w:tcBorders>
                        <w:textDirection w:val="lrTb"/>
                        <w:vAlign w:val="top"/>
                      </w:tcPr>
                      <w:p/>
                    </w:tc>
                    <w:tc>
                      <w:tcPr>
                        <w:tcW w:w="237"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236" w:type="dxa"/>
                        <w:tcBorders>
                          <w:top w:val="none"/>
                          <w:left w:val="none"/>
                          <w:bottom w:val="none"/>
                          <w:right w:val="none"/>
                        </w:tcBorders>
                        <w:textDirection w:val="lrTb"/>
                        <w:vAlign w:val="top"/>
                      </w:tcPr>
                      <w:p/>
                    </w:tc>
                    <w:tc>
                      <w:tcPr>
                        <w:tcW w:w="503" w:type="dxa"/>
                        <w:tcBorders>
                          <w:top w:val="none"/>
                          <w:left w:val="none"/>
                          <w:bottom w:val="single" w:sz="5" w:color="D8D8D8"/>
                          <w:right w:val="none"/>
                        </w:tcBorders>
                        <w:textDirection w:val="lrTb"/>
                        <w:vAlign w:val="top"/>
                      </w:tcPr>
                      <w:p/>
                    </w:tc>
                    <w:tc>
                      <w:tcPr>
                        <w:tcW w:w="232" w:type="dxa"/>
                        <w:tcBorders>
                          <w:top w:val="none"/>
                          <w:left w:val="none"/>
                          <w:bottom w:val="none"/>
                          <w:right w:val="none"/>
                        </w:tcBorders>
                        <w:textDirection w:val="lrTb"/>
                        <w:vAlign w:val="top"/>
                      </w:tcPr>
                      <w:p/>
                    </w:tc>
                    <w:tc>
                      <w:tcPr>
                        <w:tcW w:w="56" w:type="dxa"/>
                        <w:tcBorders>
                          <w:top w:val="none"/>
                          <w:left w:val="none"/>
                          <w:bottom w:val="none"/>
                          <w:right w:val="none"/>
                        </w:tcBorders>
                        <w:textDirection w:val="lrTb"/>
                        <w:vAlign w:val="top"/>
                      </w:tcPr>
                      <w:p/>
                    </w:tc>
                    <w:tc>
                      <w:tcPr>
                        <w:tcW w:w="1518" w:type="dxa"/>
                        <w:vMerge w:val="continue"/>
                        <w:tcBorders>
                          <w:top w:val="none"/>
                          <w:left w:val="none"/>
                          <w:bottom w:val="none"/>
                          <w:right w:val="none"/>
                        </w:tcBorders>
                        <w:textDirection w:val="lrTb"/>
                        <w:vAlign w:val="top"/>
                      </w:tcPr>
                      <w:p/>
                    </w:tc>
                  </w:tr>
                  <w:tr>
                    <w:trPr>
                      <w:trHeight w:val="379" w:hRule="exact"/>
                    </w:trPr>
                    <w:tc>
                      <w:tcPr>
                        <w:tcW w:w="490" w:type="dxa"/>
                        <w:vMerge w:val="continue"/>
                        <w:tcBorders>
                          <w:top w:val="none"/>
                          <w:left w:val="none"/>
                          <w:bottom w:val="none"/>
                          <w:right w:val="none"/>
                        </w:tcBorders>
                        <w:textDirection w:val="lrTb"/>
                        <w:vAlign w:val="top"/>
                      </w:tcPr>
                      <w:p/>
                    </w:tc>
                    <w:tc>
                      <w:tcPr>
                        <w:tcW w:w="777" w:type="dxa"/>
                        <w:vMerge w:val="continue"/>
                        <w:tcBorders>
                          <w:top w:val="none"/>
                          <w:left w:val="none"/>
                          <w:bottom w:val="single" w:sz="5" w:color="D8D8D8"/>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18" w:type="dxa"/>
                        <w:tcBorders>
                          <w:top w:val="none"/>
                          <w:left w:val="none"/>
                          <w:bottom w:val="single" w:sz="5" w:color="D8D8D8"/>
                          <w:right w:val="none"/>
                        </w:tcBorders>
                        <w:textDirection w:val="lrTb"/>
                        <w:vAlign w:val="top"/>
                      </w:tcPr>
                      <w:p/>
                    </w:tc>
                    <w:tc>
                      <w:tcPr>
                        <w:tcW w:w="118" w:type="dxa"/>
                        <w:tcBorders>
                          <w:top w:val="none"/>
                          <w:left w:val="none"/>
                          <w:bottom w:val="single" w:sz="5" w:color="D8D8D8"/>
                          <w:right w:val="none"/>
                        </w:tcBorders>
                        <w:textDirection w:val="lrTb"/>
                        <w:vAlign w:val="top"/>
                      </w:tcPr>
                      <w:p/>
                    </w:tc>
                    <w:tc>
                      <w:tcPr>
                        <w:tcW w:w="499" w:type="dxa"/>
                        <w:tcBorders>
                          <w:top w:val="single" w:sz="5" w:color="D8D8D8"/>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264" w:type="dxa"/>
                        <w:vMerge w:val="continue"/>
                        <w:tcBorders>
                          <w:top w:val="none"/>
                          <w:left w:val="none"/>
                          <w:bottom w:val="single" w:sz="5" w:color="D8D8D8"/>
                          <w:right w:val="none"/>
                        </w:tcBorders>
                        <w:textDirection w:val="lrTb"/>
                        <w:vAlign w:val="top"/>
                      </w:tcPr>
                      <w:p/>
                    </w:tc>
                    <w:tc>
                      <w:tcPr>
                        <w:tcW w:w="493" w:type="dxa"/>
                        <w:tcBorders>
                          <w:top w:val="single" w:sz="5" w:color="D8D8D8"/>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7"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236" w:type="dxa"/>
                        <w:tcBorders>
                          <w:top w:val="none"/>
                          <w:left w:val="none"/>
                          <w:bottom w:val="single" w:sz="5" w:color="D8D8D8"/>
                          <w:right w:val="none"/>
                        </w:tcBorders>
                        <w:textDirection w:val="lrTb"/>
                        <w:vAlign w:val="top"/>
                      </w:tcPr>
                      <w:p/>
                    </w:tc>
                    <w:tc>
                      <w:tcPr>
                        <w:tcW w:w="503" w:type="dxa"/>
                        <w:tcBorders>
                          <w:top w:val="single" w:sz="5" w:color="D8D8D8"/>
                          <w:left w:val="none"/>
                          <w:bottom w:val="single" w:sz="5" w:color="D8D8D8"/>
                          <w:right w:val="none"/>
                        </w:tcBorders>
                        <w:textDirection w:val="lrTb"/>
                        <w:vAlign w:val="top"/>
                      </w:tcPr>
                      <w:p/>
                    </w:tc>
                    <w:tc>
                      <w:tcPr>
                        <w:tcW w:w="232" w:type="dxa"/>
                        <w:tcBorders>
                          <w:top w:val="none"/>
                          <w:left w:val="none"/>
                          <w:bottom w:val="single" w:sz="5" w:color="D8D8D8"/>
                          <w:right w:val="none"/>
                        </w:tcBorders>
                        <w:textDirection w:val="lrTb"/>
                        <w:vAlign w:val="top"/>
                      </w:tcPr>
                      <w:p/>
                    </w:tc>
                    <w:tc>
                      <w:tcPr>
                        <w:tcW w:w="56" w:type="dxa"/>
                        <w:tcBorders>
                          <w:top w:val="none"/>
                          <w:left w:val="none"/>
                          <w:bottom w:val="single" w:sz="5" w:color="D8D8D8"/>
                          <w:right w:val="none"/>
                        </w:tcBorders>
                        <w:textDirection w:val="lrTb"/>
                        <w:vAlign w:val="top"/>
                      </w:tcPr>
                      <w:p/>
                    </w:tc>
                    <w:tc>
                      <w:tcPr>
                        <w:tcW w:w="1518" w:type="dxa"/>
                        <w:vMerge w:val="continue"/>
                        <w:tcBorders>
                          <w:top w:val="none"/>
                          <w:left w:val="none"/>
                          <w:bottom w:val="single" w:sz="5" w:color="D8D8D8"/>
                          <w:right w:val="none"/>
                        </w:tcBorders>
                        <w:textDirection w:val="lrTb"/>
                        <w:vAlign w:val="top"/>
                      </w:tcPr>
                      <w:p/>
                    </w:tc>
                  </w:tr>
                  <w:tr>
                    <w:trPr>
                      <w:trHeight w:val="67" w:hRule="exact"/>
                    </w:trPr>
                    <w:tc>
                      <w:tcPr>
                        <w:tcW w:w="490" w:type="dxa"/>
                        <w:vMerge w:val="continue"/>
                        <w:tcBorders>
                          <w:top w:val="none"/>
                          <w:left w:val="none"/>
                          <w:bottom w:val="none"/>
                          <w:right w:val="none"/>
                        </w:tcBorders>
                        <w:textDirection w:val="lrTb"/>
                        <w:vAlign w:val="top"/>
                      </w:tcPr>
                      <w:p/>
                    </w:tc>
                    <w:tc>
                      <w:tcPr>
                        <w:tcW w:w="777" w:type="dxa"/>
                        <w:tcBorders>
                          <w:top w:val="single" w:sz="5" w:color="D8D8D8"/>
                          <w:left w:val="none"/>
                          <w:bottom w:val="single" w:sz="5" w:color="D8D8D8"/>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18" w:type="dxa"/>
                        <w:tcBorders>
                          <w:top w:val="single" w:sz="5" w:color="D8D8D8"/>
                          <w:left w:val="none"/>
                          <w:bottom w:val="single" w:sz="5" w:color="D8D8D8"/>
                          <w:right w:val="none"/>
                        </w:tcBorders>
                        <w:textDirection w:val="lrTb"/>
                        <w:vAlign w:val="top"/>
                      </w:tcPr>
                      <w:p/>
                    </w:tc>
                    <w:tc>
                      <w:tcPr>
                        <w:tcW w:w="118" w:type="dxa"/>
                        <w:tcBorders>
                          <w:top w:val="single" w:sz="5" w:color="D8D8D8"/>
                          <w:left w:val="none"/>
                          <w:bottom w:val="single" w:sz="5" w:color="D8D8D8"/>
                          <w:right w:val="none"/>
                        </w:tcBorders>
                        <w:textDirection w:val="lrTb"/>
                        <w:vAlign w:val="top"/>
                      </w:tcPr>
                      <w:p/>
                    </w:tc>
                    <w:tc>
                      <w:tcPr>
                        <w:tcW w:w="499"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264" w:type="dxa"/>
                        <w:tcBorders>
                          <w:top w:val="single" w:sz="5" w:color="D8D8D8"/>
                          <w:left w:val="none"/>
                          <w:bottom w:val="single" w:sz="5" w:color="D8D8D8"/>
                          <w:right w:val="none"/>
                        </w:tcBorders>
                        <w:textDirection w:val="lrTb"/>
                        <w:vAlign w:val="top"/>
                      </w:tcPr>
                      <w:p/>
                    </w:tc>
                    <w:tc>
                      <w:tcPr>
                        <w:tcW w:w="493"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7"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498" w:type="dxa"/>
                        <w:tcBorders>
                          <w:top w:val="single" w:sz="5" w:color="D8D8D8"/>
                          <w:left w:val="none"/>
                          <w:bottom w:val="single" w:sz="5" w:color="D8D8D8"/>
                          <w:right w:val="none"/>
                        </w:tcBorders>
                        <w:textDirection w:val="lrTb"/>
                        <w:vAlign w:val="top"/>
                      </w:tcPr>
                      <w:p/>
                    </w:tc>
                    <w:tc>
                      <w:tcPr>
                        <w:tcW w:w="237"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236" w:type="dxa"/>
                        <w:tcBorders>
                          <w:top w:val="single" w:sz="5" w:color="D8D8D8"/>
                          <w:left w:val="none"/>
                          <w:bottom w:val="single" w:sz="5" w:color="D8D8D8"/>
                          <w:right w:val="none"/>
                        </w:tcBorders>
                        <w:textDirection w:val="lrTb"/>
                        <w:vAlign w:val="top"/>
                      </w:tcPr>
                      <w:p/>
                    </w:tc>
                    <w:tc>
                      <w:tcPr>
                        <w:tcW w:w="503" w:type="dxa"/>
                        <w:tcBorders>
                          <w:top w:val="single" w:sz="5" w:color="D8D8D8"/>
                          <w:left w:val="none"/>
                          <w:bottom w:val="single" w:sz="5" w:color="D8D8D8"/>
                          <w:right w:val="none"/>
                        </w:tcBorders>
                        <w:textDirection w:val="lrTb"/>
                        <w:vAlign w:val="top"/>
                      </w:tcPr>
                      <w:p/>
                    </w:tc>
                    <w:tc>
                      <w:tcPr>
                        <w:tcW w:w="232" w:type="dxa"/>
                        <w:tcBorders>
                          <w:top w:val="single" w:sz="5" w:color="D8D8D8"/>
                          <w:left w:val="none"/>
                          <w:bottom w:val="single" w:sz="5" w:color="D8D8D8"/>
                          <w:right w:val="none"/>
                        </w:tcBorders>
                        <w:textDirection w:val="lrTb"/>
                        <w:vAlign w:val="top"/>
                      </w:tcPr>
                      <w:p/>
                    </w:tc>
                    <w:tc>
                      <w:tcPr>
                        <w:tcW w:w="56" w:type="dxa"/>
                        <w:tcBorders>
                          <w:top w:val="single" w:sz="5" w:color="D8D8D8"/>
                          <w:left w:val="none"/>
                          <w:bottom w:val="single" w:sz="5" w:color="D8D8D8"/>
                          <w:right w:val="none"/>
                        </w:tcBorders>
                        <w:textDirection w:val="lrTb"/>
                        <w:vAlign w:val="top"/>
                      </w:tcPr>
                      <w:p/>
                    </w:tc>
                    <w:tc>
                      <w:tcPr>
                        <w:tcW w:w="1518" w:type="dxa"/>
                        <w:tcBorders>
                          <w:top w:val="single" w:sz="5" w:color="D8D8D8"/>
                          <w:left w:val="none"/>
                          <w:bottom w:val="single" w:sz="5" w:color="D8D8D8"/>
                          <w:right w:val="none"/>
                        </w:tcBorders>
                        <w:textDirection w:val="lrTb"/>
                        <w:vAlign w:val="top"/>
                      </w:tcPr>
                      <w:p/>
                    </w:tc>
                  </w:tr>
                </w:tbl>
              </w:txbxContent>
            </v:textbox>
          </v:shape>
        </w:pict>
      </w:r>
      <w:r>
        <w:pict>
          <v:shapetype id="_x0000_t369" coordsize="21600,21600" o:spt="202" path="m,l,21600r21600,l21600,xe">
            <v:stroke joinstyle="miter"/>
            <v:path gradientshapeok="t" o:connecttype="rect"/>
          </v:shapetype>
          <v:shape id="_x0000_s368" type="#_x0000_t369" filled="f" stroked="f" style="position:absolute;width:443.25pt;height:12.5pt;z-index:-1;margin-left:84.5pt;margin-top:418.3pt;mso-wrap-distance-left:0pt;mso-wrap-distance-right:0pt;mso-position-horizontal-relative:page;mso-position-vertical-relative:page">
            <w10:wrap type="square" side="both"/>
            <v:fill opacity="1" o:opacity2="1" recolor="f" rotate="f" type="solid"/>
            <v:textbox inset="0pt, 0pt, 0pt, 0pt">
              <w:txbxContent>
                <w:p>
                  <w:pPr>
                    <w:spacing w:before="65" w:after="0" w:line="180" w:lineRule="exact"/>
                    <w:ind w:right="0" w:left="0" w:firstLine="0"/>
                    <w:jc w:val="center"/>
                    <w:textAlignment w:val="baseline"/>
                    <w:rPr>
                      <w:rFonts w:ascii="Calibri" w:hAnsi="Calibri" w:eastAsia="Calibri"/>
                      <w:color w:val="585858"/>
                      <w:spacing w:val="44"/>
                      <w:w w:val="100"/>
                      <w:sz w:val="18"/>
                      <w:vertAlign w:val="baseline"/>
                      <w:lang w:val="en-US"/>
                    </w:rPr>
                  </w:pPr>
                  <w:r>
                    <w:rPr>
                      <w:rFonts w:ascii="Calibri" w:hAnsi="Calibri" w:eastAsia="Calibri"/>
                      <w:color w:val="585858"/>
                      <w:spacing w:val="44"/>
                      <w:w w:val="100"/>
                      <w:sz w:val="18"/>
                      <w:vertAlign w:val="baseline"/>
                      <w:lang w:val="en-US"/>
                    </w:rPr>
                    <w:t xml:space="preserve">Chemung Livingston Ontario Schuyler Seneca Steuben Wayne Yates</w:t>
                  </w:r>
                </w:p>
              </w:txbxContent>
            </v:textbox>
          </v:shape>
        </w:pict>
      </w:r>
      <w:r>
        <w:pict>
          <v:shapetype id="_x0000_t370" coordsize="21600,21600" o:spt="202" path="m,l,21600r21600,l21600,xe">
            <v:stroke joinstyle="miter"/>
            <v:path gradientshapeok="t" o:connecttype="rect"/>
          </v:shapetype>
          <v:shape id="_x0000_s369" type="#_x0000_t370" filled="f" stroked="f" style="position:absolute;width:302.85pt;height:34.65pt;z-index:-1;margin-left:224.9pt;margin-top:430.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152"/>
                    </w:tabs>
                    <w:spacing w:before="219" w:after="292" w:line="180" w:lineRule="exact"/>
                    <w:ind w:right="0" w:left="0" w:firstLine="0"/>
                    <w:jc w:val="left"/>
                    <w:textAlignment w:val="baseline"/>
                    <w:rPr>
                      <w:rFonts w:ascii="Calibri" w:hAnsi="Calibri" w:eastAsia="Calibri"/>
                      <w:color w:val="585858"/>
                      <w:spacing w:val="8"/>
                      <w:w w:val="100"/>
                      <w:sz w:val="18"/>
                      <w:vertAlign w:val="baseline"/>
                      <w:lang w:val="en-US"/>
                    </w:rPr>
                  </w:pPr>
                  <w:r>
                    <w:rPr>
                      <w:rFonts w:ascii="Calibri" w:hAnsi="Calibri" w:eastAsia="Calibri"/>
                      <w:color w:val="585858"/>
                      <w:spacing w:val="8"/>
                      <w:w w:val="100"/>
                      <w:sz w:val="18"/>
                      <w:vertAlign w:val="baseline"/>
                      <w:lang w:val="en-US"/>
                    </w:rPr>
                    <w:t xml:space="preserve">HPV Vaccination 	</w:t>
                  </w:r>
                  <w:r>
                    <w:rPr>
                      <w:rFonts w:ascii="Calibri" w:hAnsi="Calibri" w:eastAsia="Calibri"/>
                      <w:color w:val="585858"/>
                      <w:spacing w:val="8"/>
                      <w:w w:val="100"/>
                      <w:sz w:val="18"/>
                      <w:vertAlign w:val="baseline"/>
                      <w:lang w:val="en-US"/>
                    </w:rPr>
                    <w:t xml:space="preserve">4:3:1:3:1:4 Vaccine Series</w:t>
                  </w:r>
                </w:p>
              </w:txbxContent>
            </v:textbox>
          </v:shape>
        </w:pict>
      </w:r>
      <w:r>
        <w:pict>
          <v:shapetype id="_x0000_t371" coordsize="21600,21600" o:spt="202" path="m,l,21600r21600,l21600,xe">
            <v:stroke joinstyle="miter"/>
            <v:path gradientshapeok="t" o:connecttype="rect"/>
          </v:shapetype>
          <v:shape id="_x0000_s370" type="#_x0000_t371" filled="f" stroked="f" style="position:absolute;width:140.4pt;height:33.25pt;z-index:-1;margin-left:84.5pt;margin-top:430.8pt;mso-wrap-distance-left:0pt;mso-wrap-distance-right:0pt;mso-position-horizontal-relative:page;mso-position-vertical-relative:page">
            <w10:wrap type="square" side="both"/>
            <v:fill opacity="1" o:opacity2="1" recolor="f" rotate="f" type="solid"/>
            <v:textbox inset="0pt, 0pt, 0pt, 0pt">
              <w:txbxContent>
                <w:p>
                  <w:pPr>
                    <w:spacing w:before="254" w:after="310" w:line="101" w:lineRule="exact"/>
                    <w:ind w:right="58" w:left="2649"/>
                    <w:jc w:val="left"/>
                    <w:textAlignment w:val="baseline"/>
                  </w:pPr>
                  <w:r>
                    <w:drawing>
                      <wp:inline>
                        <wp:extent cx="64135" cy="64135"/>
                        <wp:docPr name="Picture" id="85"/>
                        <a:graphic>
                          <a:graphicData uri="http://schemas.openxmlformats.org/drawingml/2006/picture">
                            <pic:pic>
                              <pic:nvPicPr>
                                <pic:cNvPr id="85" name="Picture"/>
                                <pic:cNvPicPr preferRelativeResize="false"/>
                              </pic:nvPicPr>
                              <pic:blipFill>
                                <a:blip r:embed="prId85"/>
                                <a:stretch>
                                  <a:fillRect/>
                                </a:stretch>
                              </pic:blipFill>
                              <pic:spPr>
                                <a:xfrm>
                                  <a:off x="0" y="0"/>
                                  <a:ext cx="64135" cy="64135"/>
                                </a:xfrm>
                                <a:prstGeom prst="rect"/>
                              </pic:spPr>
                            </pic:pic>
                          </a:graphicData>
                        </a:graphic>
                      </wp:inline>
                    </w:drawing>
                  </w:r>
                </w:p>
              </w:txbxContent>
            </v:textbox>
          </v:shape>
        </w:pict>
      </w:r>
      <w:r>
        <w:pict>
          <v:shapetype id="_x0000_t372" coordsize="21600,21600" o:spt="202" path="m,l,21600r21600,l21600,xe">
            <v:stroke joinstyle="miter"/>
            <v:path gradientshapeok="t" o:connecttype="rect"/>
          </v:shapetype>
          <v:shape id="_x0000_s371" type="#_x0000_t372"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64	</w:t>
                  </w:r>
                  <w:r>
                    <w:rPr>
                      <w:rFonts w:ascii="Calibri" w:hAnsi="Calibri" w:eastAsia="Calibri"/>
                      <w:b w:val="true"/>
                      <w:color w:val="145F82"/>
                      <w:spacing w:val="0"/>
                      <w:w w:val="100"/>
                      <w:sz w:val="24"/>
                      <w:vertAlign w:val="baseline"/>
                      <w:lang w:val="en-US"/>
                    </w:rPr>
                    <w:t xml:space="preserve">Regional Community Health Assessment</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D8D8D8" from="107.3pt,243.1pt" to="518.2pt,243.1pt" style="position:absolute;mso-position-horizontal-relative:page;mso-position-vertical-relative:page;">
            <v:stroke dashstyle="solid"/>
          </v:line>
        </w:pict>
      </w:r>
      <w:r>
        <w:pict>
          <v:line strokeweight="0.7pt" strokecolor="#D8D8D8" from="107.3pt,262.1pt" to="518.2pt,262.1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432"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11" w:after="0" w:line="276" w:lineRule="exact"/>
        <w:ind w:right="2232" w:left="1440" w:firstLine="0"/>
        <w:jc w:val="left"/>
        <w:textAlignment w:val="baseline"/>
        <w:rPr>
          <w:rFonts w:ascii="Calibri" w:hAnsi="Calibri" w:eastAsia="Calibri"/>
          <w:color w:val="000000"/>
          <w:spacing w:val="0"/>
          <w:w w:val="100"/>
          <w:sz w:val="22"/>
          <w:vertAlign w:val="baseline"/>
          <w:lang w:val="en-US"/>
        </w:rPr>
      </w:pPr>
      <w:r>
        <w:pict>
          <v:line strokeweight="1.7pt" strokecolor="#145F82" from="0pt,0.9pt" to="612.05pt,0.9pt" style="position:absolute;mso-position-horizontal-relative:text;mso-position-vertical-relative:text;">
            <v:stroke dashstyle="solid"/>
          </v:line>
        </w:pict>
      </w:r>
      <w:r>
        <w:rPr>
          <w:rFonts w:ascii="Calibri" w:hAnsi="Calibri" w:eastAsia="Calibri"/>
          <w:color w:val="000000"/>
          <w:spacing w:val="0"/>
          <w:w w:val="100"/>
          <w:sz w:val="22"/>
          <w:vertAlign w:val="baseline"/>
          <w:lang w:val="en-US"/>
        </w:rPr>
        <w:t xml:space="preserve">school-based strategies that address health, transportation, and other non-academic barriers to attendance.</w:t>
      </w:r>
      <w:r>
        <w:rPr>
          <w:rFonts w:ascii="Calibri" w:hAnsi="Calibri" w:eastAsia="Calibri"/>
          <w:color w:val="000000"/>
          <w:spacing w:val="0"/>
          <w:w w:val="100"/>
          <w:sz w:val="22"/>
          <w:vertAlign w:val="superscript"/>
          <w:lang w:val="en-US"/>
        </w:rPr>
        <w:t xml:space="preserve">30</w:t>
      </w:r>
      <w:r>
        <w:rPr>
          <w:rFonts w:ascii="Calibri" w:hAnsi="Calibri" w:eastAsia="Calibri"/>
          <w:color w:val="000000"/>
          <w:spacing w:val="0"/>
          <w:w w:val="100"/>
          <w:sz w:val="13"/>
          <w:vertAlign w:val="baseline"/>
          <w:lang w:val="en-US"/>
        </w:rPr>
        <w:t xml:space="preserve">
</w:t>
      </w:r>
    </w:p>
    <w:p>
      <w:pPr>
        <w:spacing w:before="179"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Additional indicators include the percentage of teens and young adults who were neither working nor in school (disconnected youth), the number of school age students eligible for free or reduced lunch and the number of childcare centers per 100,000 children under age 5 as highlighted in Table 20.</w:t>
      </w:r>
    </w:p>
    <w:p>
      <w:pPr>
        <w:spacing w:before="223" w:after="201"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20: Education-related Socio-economic factors</w:t>
      </w:r>
    </w:p>
    <w:tbl>
      <w:tblPr>
        <w:jc w:val="left"/>
        <w:tblInd w:w="1440" w:type="dxa"/>
        <w:tblLayout w:type="fixed"/>
        <w:tblCellMar>
          <w:left w:w="0" w:type="dxa"/>
          <w:right w:w="0" w:type="dxa"/>
        </w:tblCellMar>
      </w:tblPr>
      <w:tblGrid>
        <w:gridCol w:w="2338"/>
        <w:gridCol w:w="2342"/>
        <w:gridCol w:w="2338"/>
        <w:gridCol w:w="2342"/>
      </w:tblGrid>
      <w:tr>
        <w:trPr>
          <w:trHeight w:val="1358" w:hRule="exact"/>
        </w:trPr>
        <w:tc>
          <w:tcPr>
            <w:tcW w:w="2338"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575" w:after="552"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6"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 teens and young</w:t>
              <w:br/>
            </w:r>
            <w:r>
              <w:rPr>
                <w:rFonts w:ascii="Calibri" w:hAnsi="Calibri" w:eastAsia="Calibri"/>
                <w:b w:val="true"/>
                <w:color w:val="FFFFFF"/>
                <w:spacing w:val="0"/>
                <w:w w:val="100"/>
                <w:sz w:val="22"/>
                <w:vertAlign w:val="baseline"/>
                <w:lang w:val="en-US"/>
              </w:rPr>
              <w:t xml:space="preserve">adults (age 16-19)</w:t>
              <w:br/>
            </w:r>
            <w:r>
              <w:rPr>
                <w:rFonts w:ascii="Calibri" w:hAnsi="Calibri" w:eastAsia="Calibri"/>
                <w:b w:val="true"/>
                <w:color w:val="FFFFFF"/>
                <w:spacing w:val="0"/>
                <w:w w:val="100"/>
                <w:sz w:val="22"/>
                <w:vertAlign w:val="baseline"/>
                <w:lang w:val="en-US"/>
              </w:rPr>
              <w:t xml:space="preserve">neither working nor in</w:t>
              <w:br/>
            </w:r>
            <w:r>
              <w:rPr>
                <w:rFonts w:ascii="Calibri" w:hAnsi="Calibri" w:eastAsia="Calibri"/>
                <w:b w:val="true"/>
                <w:color w:val="FFFFFF"/>
                <w:spacing w:val="0"/>
                <w:w w:val="100"/>
                <w:sz w:val="22"/>
                <w:vertAlign w:val="baseline"/>
                <w:lang w:val="en-US"/>
              </w:rPr>
              <w:t xml:space="preserve">school (2025)</w:t>
              <w:br/>
            </w:r>
            <w:r>
              <w:rPr>
                <w:rFonts w:ascii="Calibri" w:hAnsi="Calibri" w:eastAsia="Calibri"/>
                <w:b w:val="true"/>
                <w:color w:val="FFFFFF"/>
                <w:spacing w:val="0"/>
                <w:w w:val="100"/>
                <w:sz w:val="22"/>
                <w:vertAlign w:val="baseline"/>
                <w:lang w:val="en-US"/>
              </w:rPr>
              <w:t xml:space="preserve">(NYS: 7%)</w:t>
            </w:r>
          </w:p>
        </w:tc>
        <w:tc>
          <w:tcPr>
            <w:tcW w:w="23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126" w:after="151" w:line="269"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 school age children</w:t>
              <w:br/>
            </w:r>
            <w:r>
              <w:rPr>
                <w:rFonts w:ascii="Calibri" w:hAnsi="Calibri" w:eastAsia="Calibri"/>
                <w:b w:val="true"/>
                <w:color w:val="FFFFFF"/>
                <w:spacing w:val="0"/>
                <w:w w:val="100"/>
                <w:sz w:val="22"/>
                <w:vertAlign w:val="baseline"/>
                <w:lang w:val="en-US"/>
              </w:rPr>
              <w:t xml:space="preserve">eligible for free or</w:t>
              <w:br/>
            </w:r>
            <w:r>
              <w:rPr>
                <w:rFonts w:ascii="Calibri" w:hAnsi="Calibri" w:eastAsia="Calibri"/>
                <w:b w:val="true"/>
                <w:color w:val="FFFFFF"/>
                <w:spacing w:val="0"/>
                <w:w w:val="100"/>
                <w:sz w:val="22"/>
                <w:vertAlign w:val="baseline"/>
                <w:lang w:val="en-US"/>
              </w:rPr>
              <w:t xml:space="preserve">reduced lunch (2025)</w:t>
              <w:br/>
            </w:r>
            <w:r>
              <w:rPr>
                <w:rFonts w:ascii="Calibri" w:hAnsi="Calibri" w:eastAsia="Calibri"/>
                <w:b w:val="true"/>
                <w:color w:val="FFFFFF"/>
                <w:spacing w:val="0"/>
                <w:w w:val="100"/>
                <w:sz w:val="22"/>
                <w:vertAlign w:val="baseline"/>
                <w:lang w:val="en-US"/>
              </w:rPr>
              <w:t xml:space="preserve">(NYS: 57%)</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6"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Number of childcare</w:t>
              <w:br/>
            </w:r>
            <w:r>
              <w:rPr>
                <w:rFonts w:ascii="Calibri" w:hAnsi="Calibri" w:eastAsia="Calibri"/>
                <w:b w:val="true"/>
                <w:color w:val="FFFFFF"/>
                <w:spacing w:val="0"/>
                <w:w w:val="100"/>
                <w:sz w:val="22"/>
                <w:vertAlign w:val="baseline"/>
                <w:lang w:val="en-US"/>
              </w:rPr>
              <w:t xml:space="preserve">centers per 1,000</w:t>
              <w:br/>
            </w:r>
            <w:r>
              <w:rPr>
                <w:rFonts w:ascii="Calibri" w:hAnsi="Calibri" w:eastAsia="Calibri"/>
                <w:b w:val="true"/>
                <w:color w:val="FFFFFF"/>
                <w:spacing w:val="0"/>
                <w:w w:val="100"/>
                <w:sz w:val="22"/>
                <w:vertAlign w:val="baseline"/>
                <w:lang w:val="en-US"/>
              </w:rPr>
              <w:t xml:space="preserve">children under age 5</w:t>
              <w:br/>
            </w:r>
            <w:r>
              <w:rPr>
                <w:rFonts w:ascii="Calibri" w:hAnsi="Calibri" w:eastAsia="Calibri"/>
                <w:b w:val="true"/>
                <w:color w:val="FFFFFF"/>
                <w:spacing w:val="0"/>
                <w:w w:val="100"/>
                <w:sz w:val="22"/>
                <w:vertAlign w:val="baseline"/>
                <w:lang w:val="en-US"/>
              </w:rPr>
              <w:t xml:space="preserve">(2025)</w:t>
              <w:br/>
            </w:r>
            <w:r>
              <w:rPr>
                <w:rFonts w:ascii="Calibri" w:hAnsi="Calibri" w:eastAsia="Calibri"/>
                <w:b w:val="true"/>
                <w:color w:val="FFFFFF"/>
                <w:spacing w:val="0"/>
                <w:w w:val="100"/>
                <w:sz w:val="22"/>
                <w:vertAlign w:val="baseline"/>
                <w:lang w:val="en-US"/>
              </w:rPr>
              <w:t xml:space="preserve">(NYC: 6)</w:t>
            </w:r>
          </w:p>
        </w:tc>
      </w:tr>
      <w:tr>
        <w:trPr>
          <w:trHeight w:val="30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8" w:after="2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8" w:after="2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8" w:after="2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53</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8" w:after="2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3"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w:t>
            </w:r>
          </w:p>
        </w:tc>
      </w:tr>
      <w:tr>
        <w:trPr>
          <w:trHeight w:val="307"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6"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2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Not available</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52"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43</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w:t>
            </w:r>
          </w:p>
        </w:tc>
      </w:tr>
      <w:tr>
        <w:trPr>
          <w:trHeight w:val="307"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6"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56</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2" w:after="3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8"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r>
      <w:tr>
        <w:trPr>
          <w:trHeight w:val="317"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2" w:after="50"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2" w:after="5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Not available</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2" w:after="5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55</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2" w:after="5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bl>
    <w:p>
      <w:pPr>
        <w:spacing w:before="7"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County Health Rankings</w:t>
      </w:r>
    </w:p>
    <w:p>
      <w:pPr>
        <w:spacing w:before="181"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Three measures of opportunities for continued education are the high school graduation rate, the average spending per student, and the high school graduation rate of economically disadvantaged students. All counties except Seneca and Yates exceed the New York State average percent of adults over age 25 with a high school diploma or equivalent. A quality education may improve the economic prosperity of residents by allowing them to obtain better compensated employment which increases their economic stability. (Table 21)</w:t>
      </w:r>
    </w:p>
    <w:p>
      <w:pPr>
        <w:spacing w:before="224" w:after="201" w:line="180" w:lineRule="exact"/>
        <w:ind w:right="0" w:left="1440" w:firstLine="0"/>
        <w:jc w:val="left"/>
        <w:textAlignment w:val="baseline"/>
        <w:rPr>
          <w:rFonts w:ascii="Calibri" w:hAnsi="Calibri" w:eastAsia="Calibri"/>
          <w:i w:val="true"/>
          <w:color w:val="0E2841"/>
          <w:spacing w:val="-1"/>
          <w:w w:val="100"/>
          <w:sz w:val="18"/>
          <w:vertAlign w:val="baseline"/>
          <w:lang w:val="en-US"/>
        </w:rPr>
      </w:pPr>
      <w:r>
        <w:rPr>
          <w:rFonts w:ascii="Calibri" w:hAnsi="Calibri" w:eastAsia="Calibri"/>
          <w:i w:val="true"/>
          <w:color w:val="0E2841"/>
          <w:spacing w:val="-1"/>
          <w:w w:val="100"/>
          <w:sz w:val="18"/>
          <w:vertAlign w:val="baseline"/>
          <w:lang w:val="en-US"/>
        </w:rPr>
        <w:t xml:space="preserve">Table 21: Education Indicators</w:t>
      </w:r>
    </w:p>
    <w:tbl>
      <w:tblPr>
        <w:jc w:val="left"/>
        <w:tblInd w:w="1440" w:type="dxa"/>
        <w:tblLayout w:type="fixed"/>
        <w:tblCellMar>
          <w:left w:w="0" w:type="dxa"/>
          <w:right w:w="0" w:type="dxa"/>
        </w:tblCellMar>
      </w:tblPr>
      <w:tblGrid>
        <w:gridCol w:w="2338"/>
        <w:gridCol w:w="2342"/>
        <w:gridCol w:w="2338"/>
        <w:gridCol w:w="2342"/>
      </w:tblGrid>
      <w:tr>
        <w:trPr>
          <w:trHeight w:val="1627" w:hRule="exact"/>
        </w:trPr>
        <w:tc>
          <w:tcPr>
            <w:tcW w:w="2338"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709" w:after="690" w:line="22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County</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128" w:after="0" w:line="269" w:lineRule="exact"/>
              <w:ind w:right="0" w:left="360" w:hanging="144"/>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Percent of adults over age 25 with a high school diploma or equivalent (2023)</w:t>
            </w:r>
          </w:p>
          <w:p>
            <w:pPr>
              <w:spacing w:before="43" w:after="155" w:line="224"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(NYS = 88)</w:t>
            </w:r>
          </w:p>
        </w:tc>
        <w:tc>
          <w:tcPr>
            <w:tcW w:w="233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21" w:line="267"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Average gap ($)</w:t>
              <w:br/>
            </w:r>
            <w:r>
              <w:rPr>
                <w:rFonts w:ascii="Calibri" w:hAnsi="Calibri" w:eastAsia="Calibri"/>
                <w:b w:val="true"/>
                <w:color w:val="FFFFFF"/>
                <w:spacing w:val="0"/>
                <w:w w:val="100"/>
                <w:sz w:val="22"/>
                <w:vertAlign w:val="baseline"/>
                <w:lang w:val="en-US"/>
              </w:rPr>
              <w:t xml:space="preserve">between actual and</w:t>
              <w:br/>
            </w:r>
            <w:r>
              <w:rPr>
                <w:rFonts w:ascii="Calibri" w:hAnsi="Calibri" w:eastAsia="Calibri"/>
                <w:b w:val="true"/>
                <w:color w:val="FFFFFF"/>
                <w:spacing w:val="0"/>
                <w:w w:val="100"/>
                <w:sz w:val="22"/>
                <w:vertAlign w:val="baseline"/>
                <w:lang w:val="en-US"/>
              </w:rPr>
              <w:t xml:space="preserve">required spending in</w:t>
              <w:br/>
            </w:r>
            <w:r>
              <w:rPr>
                <w:rFonts w:ascii="Calibri" w:hAnsi="Calibri" w:eastAsia="Calibri"/>
                <w:b w:val="true"/>
                <w:color w:val="FFFFFF"/>
                <w:spacing w:val="0"/>
                <w:w w:val="100"/>
                <w:sz w:val="22"/>
                <w:vertAlign w:val="baseline"/>
                <w:lang w:val="en-US"/>
              </w:rPr>
              <w:t xml:space="preserve">public school districts</w:t>
              <w:br/>
            </w:r>
            <w:r>
              <w:rPr>
                <w:rFonts w:ascii="Calibri" w:hAnsi="Calibri" w:eastAsia="Calibri"/>
                <w:b w:val="true"/>
                <w:color w:val="FFFFFF"/>
                <w:spacing w:val="0"/>
                <w:w w:val="100"/>
                <w:sz w:val="22"/>
                <w:vertAlign w:val="baseline"/>
                <w:lang w:val="en-US"/>
              </w:rPr>
              <w:t xml:space="preserve">(2022)</w:t>
              <w:br/>
            </w:r>
            <w:r>
              <w:rPr>
                <w:rFonts w:ascii="Calibri" w:hAnsi="Calibri" w:eastAsia="Calibri"/>
                <w:b w:val="true"/>
                <w:color w:val="FFFFFF"/>
                <w:spacing w:val="0"/>
                <w:w w:val="100"/>
                <w:sz w:val="22"/>
                <w:vertAlign w:val="baseline"/>
                <w:lang w:val="en-US"/>
              </w:rPr>
              <w:t xml:space="preserve">(NYS = $12,754)</w:t>
            </w:r>
          </w:p>
        </w:tc>
        <w:tc>
          <w:tcPr>
            <w:tcW w:w="2342"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126" w:after="155" w:line="269"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Graduation rate of</w:t>
              <w:br/>
            </w:r>
            <w:r>
              <w:rPr>
                <w:rFonts w:ascii="Calibri" w:hAnsi="Calibri" w:eastAsia="Calibri"/>
                <w:b w:val="true"/>
                <w:color w:val="FFFFFF"/>
                <w:spacing w:val="0"/>
                <w:w w:val="100"/>
                <w:sz w:val="22"/>
                <w:vertAlign w:val="baseline"/>
                <w:lang w:val="en-US"/>
              </w:rPr>
              <w:t xml:space="preserve">economically</w:t>
              <w:br/>
            </w:r>
            <w:r>
              <w:rPr>
                <w:rFonts w:ascii="Calibri" w:hAnsi="Calibri" w:eastAsia="Calibri"/>
                <w:b w:val="true"/>
                <w:color w:val="FFFFFF"/>
                <w:spacing w:val="0"/>
                <w:w w:val="100"/>
                <w:sz w:val="22"/>
                <w:vertAlign w:val="baseline"/>
                <w:lang w:val="en-US"/>
              </w:rPr>
              <w:t xml:space="preserve">disadvantaged</w:t>
              <w:br/>
            </w:r>
            <w:r>
              <w:rPr>
                <w:rFonts w:ascii="Calibri" w:hAnsi="Calibri" w:eastAsia="Calibri"/>
                <w:b w:val="true"/>
                <w:color w:val="FFFFFF"/>
                <w:spacing w:val="0"/>
                <w:w w:val="100"/>
                <w:sz w:val="22"/>
                <w:vertAlign w:val="baseline"/>
                <w:lang w:val="en-US"/>
              </w:rPr>
              <w:t xml:space="preserve">students (2023)</w:t>
              <w:br/>
            </w:r>
            <w:r>
              <w:rPr>
                <w:rFonts w:ascii="Calibri" w:hAnsi="Calibri" w:eastAsia="Calibri"/>
                <w:b w:val="true"/>
                <w:color w:val="FFFFFF"/>
                <w:spacing w:val="0"/>
                <w:w w:val="100"/>
                <w:sz w:val="22"/>
                <w:vertAlign w:val="baseline"/>
                <w:lang w:val="en-US"/>
              </w:rPr>
              <w:t xml:space="preserve">(NYS = 82)</w:t>
            </w:r>
          </w:p>
        </w:tc>
      </w:tr>
      <w:tr>
        <w:trPr>
          <w:trHeight w:val="307"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2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Chemung</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91</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9,909</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8"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Livingston</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11,626</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87</w:t>
            </w:r>
          </w:p>
        </w:tc>
      </w:tr>
      <w:tr>
        <w:trPr>
          <w:trHeight w:val="308"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31"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Ontario</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12,784</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85</w:t>
            </w:r>
          </w:p>
        </w:tc>
      </w:tr>
      <w:tr>
        <w:trPr>
          <w:trHeight w:val="312"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51" w:after="33" w:line="227"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Schuyler</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1"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91</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51"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11,955</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1" w:after="4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w:t>
            </w:r>
          </w:p>
        </w:tc>
      </w:tr>
      <w:tr>
        <w:trPr>
          <w:trHeight w:val="321" w:hRule="exact"/>
        </w:trPr>
        <w:tc>
          <w:tcPr>
            <w:tcW w:w="233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47" w:after="45" w:line="224"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Seneca</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85</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4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13,399</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w:t>
            </w:r>
          </w:p>
        </w:tc>
      </w:tr>
    </w:tbl>
    <w:p>
      <w:pPr>
        <w:spacing w:before="0" w:after="266" w:line="20" w:lineRule="exact"/>
      </w:pPr>
    </w:p>
    <w:p>
      <w:pPr>
        <w:spacing w:before="93" w:after="58" w:line="247"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84.7pt" to="216.3pt,684.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30</w:t>
      </w:r>
      <w:r>
        <w:rPr>
          <w:rFonts w:ascii="Calibri" w:hAnsi="Calibri" w:eastAsia="Calibri"/>
          <w:color w:val="000000"/>
          <w:spacing w:val="0"/>
          <w:w w:val="100"/>
          <w:sz w:val="20"/>
          <w:vertAlign w:val="baseline"/>
          <w:lang w:val="en-US"/>
        </w:rPr>
        <w:t xml:space="preserve"> Source: New York’s Stubbornly High Rates of Chronic Absenteeism. October 2024.</w:t>
        <w:br/>
      </w:r>
      <w:hyperlink r:id="dhId22">
        <w:r>
          <w:rPr>
            <w:rFonts w:ascii="Calibri" w:hAnsi="Calibri" w:eastAsia="Calibri"/>
            <w:color w:val="0000FF"/>
            <w:spacing w:val="0"/>
            <w:w w:val="100"/>
            <w:sz w:val="20"/>
            <w:u w:val="single"/>
            <w:vertAlign w:val="baseline"/>
            <w:lang w:val="en-US"/>
          </w:rPr>
          <w:t xml:space="preserve">https://www.osc.ny.gov/files/reports/pdf/missing-school-ny-chronic-absenteeism.pdf</w:t>
        </w:r>
      </w:hyperlink>
      <w:r>
        <w:rPr>
          <w:rFonts w:ascii="Calibri" w:hAnsi="Calibri" w:eastAsia="Calibri"/>
          <w:color w:val="000000"/>
          <w:spacing w:val="0"/>
          <w:w w:val="100"/>
          <w:sz w:val="20"/>
          <w:vertAlign w:val="baseline"/>
          <w:lang w:val="en-US"/>
        </w:rPr>
        <w:t xml:space="preserve">
</w:t>
      </w:r>
    </w:p>
    <w:p>
      <w:pPr>
        <w:tabs>
          <w:tab w:val="left" w:leader="none" w:pos="6768"/>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1pt" to="612.05pt,1pt" style="position:absolute;mso-position-horizontal-relative:text;mso-position-vertical-relative:text;">
            <v:stroke dashstyle="solid"/>
          </v:line>
        </w:pict>
      </w:r>
      <w:r>
        <w:rPr>
          <w:rFonts w:ascii="Calibri" w:hAnsi="Calibri" w:eastAsia="Calibri"/>
          <w:b w:val="true"/>
          <w:color w:val="145F82"/>
          <w:spacing w:val="0"/>
          <w:w w:val="100"/>
          <w:sz w:val="24"/>
          <w:vertAlign w:val="baseline"/>
          <w:lang w:val="en-US"/>
        </w:rPr>
        <w:t xml:space="preserve">Page 65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35" w:after="196"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Comprehensive Regional Community Health Assessment</w:t>
      </w:r>
    </w:p>
    <w:p>
      <w:pPr>
        <w:spacing w:before="180" w:after="0" w:line="20" w:lineRule="exact"/>
      </w:pPr>
      <w:r>
        <w:pict>
          <v:line strokeweight="1.7pt" strokecolor="#145F82" from="0pt,62.9pt" to="612.05pt,62.9pt" style="position:absolute;mso-position-horizontal-relative:page;mso-position-vertical-relative:page;">
            <v:stroke dashstyle="solid"/>
          </v:line>
        </w:pict>
      </w:r>
    </w:p>
    <w:tbl>
      <w:tblPr>
        <w:jc w:val="left"/>
        <w:tblInd w:w="1440" w:type="dxa"/>
        <w:tblLayout w:type="fixed"/>
        <w:tblCellMar>
          <w:left w:w="0" w:type="dxa"/>
          <w:right w:w="0" w:type="dxa"/>
        </w:tblCellMar>
      </w:tblPr>
      <w:tblGrid>
        <w:gridCol w:w="2338"/>
        <w:gridCol w:w="2342"/>
        <w:gridCol w:w="2338"/>
        <w:gridCol w:w="2342"/>
      </w:tblGrid>
      <w:tr>
        <w:trPr>
          <w:trHeight w:val="312" w:hRule="exact"/>
        </w:trPr>
        <w:tc>
          <w:tcPr>
            <w:tcW w:w="2338" w:type="dxa"/>
            <w:tcBorders>
              <w:top w:val="single" w:sz="5" w:color="000000"/>
              <w:left w:val="single" w:sz="5" w:color="000000"/>
              <w:bottom w:val="single" w:sz="5" w:color="000000"/>
              <w:right w:val="single" w:sz="5" w:color="000000"/>
            </w:tcBorders>
            <w:shd w:val="clear" w:color="BFE1FB" w:fill="BFE1FB"/>
            <w:textDirection w:val="lrTb"/>
            <w:vAlign w:val="center"/>
          </w:tcPr>
          <w:p>
            <w:pPr>
              <w:spacing w:before="52" w:after="24"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Steuben</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92</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5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12,721</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85</w:t>
            </w:r>
          </w:p>
        </w:tc>
      </w:tr>
      <w:tr>
        <w:trPr>
          <w:trHeight w:val="312" w:hRule="exact"/>
        </w:trPr>
        <w:tc>
          <w:tcPr>
            <w:tcW w:w="2338" w:type="dxa"/>
            <w:tcBorders>
              <w:top w:val="single" w:sz="5" w:color="000000"/>
              <w:left w:val="single" w:sz="5" w:color="000000"/>
              <w:bottom w:val="single" w:sz="5" w:color="000000"/>
              <w:right w:val="single" w:sz="5" w:color="000000"/>
            </w:tcBorders>
            <w:shd w:val="clear" w:color="BFE1FB" w:fill="BFE1FB"/>
            <w:textDirection w:val="lrTb"/>
            <w:vAlign w:val="center"/>
          </w:tcPr>
          <w:p>
            <w:pPr>
              <w:spacing w:before="52" w:after="2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Wayne</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91</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12,785</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52" w:after="3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w:t>
            </w:r>
          </w:p>
        </w:tc>
      </w:tr>
      <w:tr>
        <w:trPr>
          <w:trHeight w:val="317" w:hRule="exact"/>
        </w:trPr>
        <w:tc>
          <w:tcPr>
            <w:tcW w:w="2338" w:type="dxa"/>
            <w:tcBorders>
              <w:top w:val="single" w:sz="5" w:color="000000"/>
              <w:left w:val="single" w:sz="5" w:color="000000"/>
              <w:bottom w:val="single" w:sz="5" w:color="000000"/>
              <w:right w:val="single" w:sz="5" w:color="000000"/>
            </w:tcBorders>
            <w:shd w:val="clear" w:color="BFE1FB" w:fill="BFE1FB"/>
            <w:textDirection w:val="lrTb"/>
            <w:vAlign w:val="center"/>
          </w:tcPr>
          <w:p>
            <w:pPr>
              <w:spacing w:before="47" w:after="39" w:line="226" w:lineRule="exact"/>
              <w:ind w:right="0" w:left="0" w:firstLine="0"/>
              <w:jc w:val="center"/>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Yates</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84</w:t>
            </w:r>
          </w:p>
        </w:tc>
        <w:tc>
          <w:tcPr>
            <w:tcW w:w="2338"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9,915</w:t>
            </w:r>
          </w:p>
        </w:tc>
        <w:tc>
          <w:tcPr>
            <w:tcW w:w="2342" w:type="dxa"/>
            <w:tcBorders>
              <w:top w:val="single" w:sz="5" w:color="000000"/>
              <w:left w:val="single" w:sz="5" w:color="000000"/>
              <w:bottom w:val="single" w:sz="5" w:color="000000"/>
              <w:right w:val="single" w:sz="5" w:color="000000"/>
            </w:tcBorders>
            <w:textDirection w:val="lrTb"/>
            <w:vAlign w:val="center"/>
          </w:tcPr>
          <w:p>
            <w:pPr>
              <w:spacing w:before="47" w:after="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w:t>
            </w:r>
          </w:p>
        </w:tc>
      </w:tr>
    </w:tbl>
    <w:p>
      <w:pPr>
        <w:spacing w:before="8" w:after="0" w:line="179"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Source: U.S. Census Bureau, ACS, NYSED</w:t>
      </w:r>
    </w:p>
    <w:p>
      <w:pPr>
        <w:spacing w:before="156"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findings in this Community Health Assessment show that health in the Finger Lakes region is shaped by intersecting social and economic conditions, including poverty, food and housing insecurity, transportation barriers, provider shortages, and educational opportunity. These challenges are not experienced equally: older adults, children, people living in rural and higher deprivation ZIP codes, and residents from historically marginalized groups often face higher risks and fewer resources, leading to persistent health inequities across the region. At the same time, strong community assets—including collaborative public health and health care systems, engaged community organizations, and dedicated residents—provide a foundation for collective action.</w:t>
      </w:r>
    </w:p>
    <w:p>
      <w:pPr>
        <w:spacing w:before="167" w:after="235"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accompanying county chapter build on this regional picture by highlighting the county’s specific strengths, challenges, and priority populations. Together, the regional and county -level assessment will guide the development of Community Health Improvement Plans that focus on advancing health equity, strengthening the conditions where people live, learn, work, and age, and improving health outcomes for all residents of the Finger Lakes region.</w:t>
      </w:r>
    </w:p>
    <w:p>
      <w:pPr>
        <w:spacing w:before="0" w:after="84" w:line="240" w:lineRule="auto"/>
        <w:ind w:right="0" w:left="0"/>
        <w:jc w:val="left"/>
        <w:textAlignment w:val="baseline"/>
      </w:pPr>
      <w:r>
        <w:drawing>
          <wp:inline>
            <wp:extent cx="7772400" cy="4071620"/>
            <wp:docPr name="Picture" id="86"/>
            <a:graphic>
              <a:graphicData uri="http://schemas.openxmlformats.org/drawingml/2006/picture">
                <pic:pic>
                  <pic:nvPicPr>
                    <pic:cNvPr id="86" name="Picture"/>
                    <pic:cNvPicPr preferRelativeResize="false"/>
                  </pic:nvPicPr>
                  <pic:blipFill>
                    <a:blip r:embed="prId86"/>
                    <a:stretch>
                      <a:fillRect/>
                    </a:stretch>
                  </pic:blipFill>
                  <pic:spPr>
                    <a:xfrm>
                      <a:off x="0" y="0"/>
                      <a:ext cx="7772400" cy="4071620"/>
                    </a:xfrm>
                    <a:prstGeom prst="rect"/>
                  </pic:spPr>
                </pic:pic>
              </a:graphicData>
            </a:graphic>
          </wp:inline>
        </w:drawing>
      </w:r>
    </w:p>
    <w:p>
      <w:pPr>
        <w:spacing w:before="20" w:after="734" w:line="180" w:lineRule="exact"/>
        <w:ind w:right="0" w:left="216" w:firstLine="0"/>
        <w:jc w:val="left"/>
        <w:textAlignment w:val="baseline"/>
        <w:rPr>
          <w:rFonts w:ascii="Calibri" w:hAnsi="Calibri" w:eastAsia="Calibri"/>
          <w:i w:val="true"/>
          <w:color w:val="10273F"/>
          <w:spacing w:val="0"/>
          <w:w w:val="100"/>
          <w:sz w:val="18"/>
          <w:vertAlign w:val="baseline"/>
          <w:lang w:val="en-US"/>
        </w:rPr>
      </w:pPr>
      <w:r>
        <w:rPr>
          <w:rFonts w:ascii="Calibri" w:hAnsi="Calibri" w:eastAsia="Calibri"/>
          <w:i w:val="true"/>
          <w:color w:val="10273F"/>
          <w:spacing w:val="0"/>
          <w:w w:val="100"/>
          <w:sz w:val="18"/>
          <w:vertAlign w:val="baseline"/>
          <w:lang w:val="en-US"/>
        </w:rPr>
        <w:t xml:space="preserve">Farm overlooking Keuka Lake, Courtesy of Steuben County</w:t>
      </w:r>
    </w:p>
    <w:p>
      <w:pPr>
        <w:tabs>
          <w:tab w:val="left" w:leader="none" w:pos="6768"/>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66	</w:t>
      </w:r>
      <w:r>
        <w:rPr>
          <w:rFonts w:ascii="Calibri" w:hAnsi="Calibri" w:eastAsia="Calibri"/>
          <w:b w:val="true"/>
          <w:color w:val="145F82"/>
          <w:spacing w:val="0"/>
          <w:w w:val="100"/>
          <w:sz w:val="24"/>
          <w:vertAlign w:val="baseline"/>
          <w:lang w:val="en-US"/>
        </w:rPr>
        <w:t xml:space="preserve">Regional Community Health Assessment</w:t>
      </w:r>
    </w:p>
    <w:p>
      <w:pPr>
        <w:sectPr>
          <w:type w:val="nextPage"/>
          <w:pgSz w:w="12240" w:h="15840" w:orient="portrait"/>
          <w:pgMar w:bottom="604" w:top="720" w:right="0" w:left="0" w:header="720" w:footer="720"/>
          <w:titlePg w:val="false"/>
          <w:textDirection w:val="lrTb"/>
        </w:sectPr>
      </w:pPr>
    </w:p>
    <w:p>
      <w:pPr>
        <w:spacing w:before="20" w:after="230" w:line="180" w:lineRule="exact"/>
        <w:ind w:right="0" w:left="216" w:firstLine="0"/>
        <w:jc w:val="left"/>
        <w:textAlignment w:val="baseline"/>
        <w:rPr>
          <w:rFonts w:ascii="Calibri" w:hAnsi="Calibri" w:eastAsia="Calibri"/>
          <w:i w:val="true"/>
          <w:color w:val="050F15"/>
          <w:spacing w:val="0"/>
          <w:w w:val="100"/>
          <w:sz w:val="18"/>
          <w:vertAlign w:val="baseline"/>
          <w:lang w:val="en-US"/>
        </w:rPr>
      </w:pPr>
      <w:r>
        <w:pict>
          <v:shapetype id="_x0000_t373" coordsize="21600,21600" o:spt="202" path="m,l,21600r21600,l21600,xe">
            <v:stroke joinstyle="miter"/>
            <v:path gradientshapeok="t" o:connecttype="rect"/>
          </v:shapetype>
          <v:shape id="_x0000_s372" type="#_x0000_t373" filled="f" stroked="f" style="position:absolute;width:612pt;height:629.8pt;z-index:-1;margin-left:0pt;margin-top:65.2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74" coordsize="21600,21600" o:spt="202" path="m,l,21600r21600,l21600,xe">
            <v:stroke joinstyle="miter"/>
            <v:path gradientshapeok="t" o:connecttype="rect"/>
          </v:shapetype>
          <v:shape id="_x0000_s373" type="#_x0000_t374" filled="f" stroked="f" style="position:absolute;width:586.3pt;height:56.25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81" w:hRule="exact"/>
                    </w:trPr>
                    <w:tc>
                      <w:tcPr>
                        <w:tcW w:w="1108" w:type="dxa"/>
                        <w:tcBorders>
                          <w:top w:val="none"/>
                          <w:left w:val="none"/>
                          <w:bottom w:val="none"/>
                          <w:right w:val="none"/>
                        </w:tcBorders>
                        <w:textDirection w:val="lrTb"/>
                        <w:vAlign w:val="top"/>
                      </w:tcPr>
                      <w:p>
                        <w:pPr>
                          <w:spacing w:before="12" w:after="9" w:line="240" w:lineRule="auto"/>
                          <w:ind w:right="0" w:left="0"/>
                          <w:jc w:val="center"/>
                          <w:textAlignment w:val="baseline"/>
                        </w:pPr>
                        <w:r>
                          <w:drawing>
                            <wp:inline>
                              <wp:extent cx="703580" cy="609600"/>
                              <wp:docPr name="Picture" id="87"/>
                              <a:graphic>
                                <a:graphicData uri="http://schemas.openxmlformats.org/drawingml/2006/picture">
                                  <pic:pic>
                                    <pic:nvPicPr>
                                      <pic:cNvPr id="87" name="Picture"/>
                                      <pic:cNvPicPr preferRelativeResize="false"/>
                                    </pic:nvPicPr>
                                    <pic:blipFill>
                                      <a:blip r:embed="prId87"/>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75"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9" w:line="240" w:lineRule="auto"/>
                          <w:ind w:right="0" w:left="0"/>
                          <w:jc w:val="center"/>
                          <w:textAlignment w:val="baseline"/>
                        </w:pPr>
                        <w:r>
                          <w:drawing>
                            <wp:inline>
                              <wp:extent cx="554990" cy="576580"/>
                              <wp:docPr name="Picture" id="88"/>
                              <a:graphic>
                                <a:graphicData uri="http://schemas.openxmlformats.org/drawingml/2006/picture">
                                  <pic:pic>
                                    <pic:nvPicPr>
                                      <pic:cNvPr id="88" name="Picture"/>
                                      <pic:cNvPicPr preferRelativeResize="false"/>
                                    </pic:nvPicPr>
                                    <pic:blipFill>
                                      <a:blip r:embed="prId88"/>
                                      <a:stretch>
                                        <a:fillRect/>
                                      </a:stretch>
                                    </pic:blipFill>
                                    <pic:spPr>
                                      <a:xfrm>
                                        <a:off x="0" y="0"/>
                                        <a:ext cx="554990" cy="576580"/>
                                      </a:xfrm>
                                      <a:prstGeom prst="rect"/>
                                    </pic:spPr>
                                  </pic:pic>
                                </a:graphicData>
                              </a:graphic>
                            </wp:inline>
                          </w:drawing>
                        </w:r>
                      </w:p>
                    </w:tc>
                  </w:tr>
                </w:tbl>
                <w:p>
                  <w:pPr>
                    <w:spacing w:before="0" w:after="124" w:line="20" w:lineRule="exact"/>
                  </w:pPr>
                </w:p>
              </w:txbxContent>
            </v:textbox>
          </v:shape>
        </w:pict>
      </w:r>
      <w:r>
        <w:pict>
          <v:shapetype id="_x0000_t375" coordsize="21600,21600" o:spt="202" path="m,l,21600r21600,l21600,xe">
            <v:stroke joinstyle="miter"/>
            <v:path gradientshapeok="t" o:connecttype="rect"/>
          </v:shapetype>
          <v:shape id="_x0000_s374" type="#_x0000_t375" filled="f" stroked="f" style="position:absolute;width:611.5pt;height:628.85pt;z-index:-1;margin-left:0pt;margin-top:65.2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7986395"/>
                        <wp:docPr name="Picture" id="89"/>
                        <a:graphic>
                          <a:graphicData uri="http://schemas.openxmlformats.org/drawingml/2006/picture">
                            <pic:pic>
                              <pic:nvPicPr>
                                <pic:cNvPr id="89" name="Picture"/>
                                <pic:cNvPicPr preferRelativeResize="false"/>
                              </pic:nvPicPr>
                              <pic:blipFill>
                                <a:blip r:embed="prId89"/>
                                <a:stretch>
                                  <a:fillRect/>
                                </a:stretch>
                              </pic:blipFill>
                              <pic:spPr>
                                <a:xfrm>
                                  <a:off x="0" y="0"/>
                                  <a:ext cx="7766050" cy="7986395"/>
                                </a:xfrm>
                                <a:prstGeom prst="rect"/>
                              </pic:spPr>
                            </pic:pic>
                          </a:graphicData>
                        </a:graphic>
                      </wp:inline>
                    </w:drawing>
                  </w:r>
                </w:p>
              </w:txbxContent>
            </v:textbox>
          </v:shape>
        </w:pict>
      </w:r>
      <w:r>
        <w:pict>
          <v:shapetype id="_x0000_t376" coordsize="21600,21600" o:spt="202" path="m,l,21600r21600,l21600,xe">
            <v:stroke joinstyle="miter"/>
            <v:path gradientshapeok="t" o:connecttype="rect"/>
          </v:shapetype>
          <v:shape id="_x0000_s375" type="#_x0000_t376" filled="f" stroked="f" style="position:absolute;width:174.7pt;height:66.05pt;z-index:-1;margin-left:72pt;margin-top:134.75pt;mso-wrap-distance-left:0pt;mso-wrap-distance-right:0pt;mso-position-horizontal-relative:page;mso-position-vertical-relative:page">
            <w10:wrap type="square" side="both"/>
            <v:fill opacity="1" o:opacity2="1" recolor="f" rotate="f" type="solid"/>
            <v:textbox inset="0pt, 0pt, 0pt, 0pt">
              <w:txbxContent>
                <w:p>
                  <w:pPr>
                    <w:spacing w:before="26" w:after="0" w:line="226" w:lineRule="exact"/>
                    <w:ind w:right="0" w:left="0" w:firstLine="0"/>
                    <w:jc w:val="left"/>
                    <w:textAlignment w:val="baseline"/>
                    <w:rPr>
                      <w:rFonts w:ascii="Calibri" w:hAnsi="Calibri" w:eastAsia="Calibri"/>
                      <w:b w:val="true"/>
                      <w:color w:val="050F15"/>
                      <w:spacing w:val="-1"/>
                      <w:w w:val="100"/>
                      <w:sz w:val="22"/>
                      <w:vertAlign w:val="baseline"/>
                      <w:lang w:val="en-US"/>
                    </w:rPr>
                  </w:pPr>
                  <w:r>
                    <w:rPr>
                      <w:rFonts w:ascii="Calibri" w:hAnsi="Calibri" w:eastAsia="Calibri"/>
                      <w:b w:val="true"/>
                      <w:color w:val="050F15"/>
                      <w:spacing w:val="-1"/>
                      <w:w w:val="100"/>
                      <w:sz w:val="22"/>
                      <w:vertAlign w:val="baseline"/>
                      <w:lang w:val="en-US"/>
                    </w:rPr>
                    <w:t xml:space="preserve">Yates County Public Health</w:t>
                  </w:r>
                </w:p>
                <w:p>
                  <w:pPr>
                    <w:spacing w:before="43" w:after="0" w:line="221" w:lineRule="exact"/>
                    <w:ind w:right="0" w:left="0" w:firstLine="0"/>
                    <w:jc w:val="left"/>
                    <w:textAlignment w:val="baseline"/>
                    <w:rPr>
                      <w:rFonts w:ascii="Calibri" w:hAnsi="Calibri" w:eastAsia="Calibri"/>
                      <w:color w:val="050F15"/>
                      <w:spacing w:val="0"/>
                      <w:w w:val="100"/>
                      <w:sz w:val="22"/>
                      <w:vertAlign w:val="baseline"/>
                      <w:lang w:val="en-US"/>
                    </w:rPr>
                  </w:pPr>
                  <w:r>
                    <w:rPr>
                      <w:rFonts w:ascii="Calibri" w:hAnsi="Calibri" w:eastAsia="Calibri"/>
                      <w:color w:val="050F15"/>
                      <w:spacing w:val="0"/>
                      <w:w w:val="100"/>
                      <w:sz w:val="22"/>
                      <w:vertAlign w:val="baseline"/>
                      <w:lang w:val="en-US"/>
                    </w:rPr>
                    <w:t xml:space="preserve">Alyssa Broome-Quissimisse</w:t>
                  </w:r>
                </w:p>
                <w:p>
                  <w:pPr>
                    <w:spacing w:before="48" w:after="0" w:line="220" w:lineRule="exact"/>
                    <w:ind w:right="0" w:left="0" w:firstLine="0"/>
                    <w:jc w:val="left"/>
                    <w:textAlignment w:val="baseline"/>
                    <w:rPr>
                      <w:rFonts w:ascii="Calibri" w:hAnsi="Calibri" w:eastAsia="Calibri"/>
                      <w:color w:val="050F15"/>
                      <w:spacing w:val="-1"/>
                      <w:w w:val="100"/>
                      <w:sz w:val="22"/>
                      <w:vertAlign w:val="baseline"/>
                      <w:lang w:val="en-US"/>
                    </w:rPr>
                  </w:pPr>
                  <w:r>
                    <w:rPr>
                      <w:rFonts w:ascii="Calibri" w:hAnsi="Calibri" w:eastAsia="Calibri"/>
                      <w:color w:val="050F15"/>
                      <w:spacing w:val="-1"/>
                      <w:w w:val="100"/>
                      <w:sz w:val="22"/>
                      <w:vertAlign w:val="baseline"/>
                      <w:lang w:val="en-US"/>
                    </w:rPr>
                    <w:t xml:space="preserve">Director of Public Health</w:t>
                  </w:r>
                </w:p>
                <w:p>
                  <w:pPr>
                    <w:spacing w:before="48" w:after="0" w:line="222" w:lineRule="exact"/>
                    <w:ind w:right="0" w:left="0" w:firstLine="0"/>
                    <w:jc w:val="left"/>
                    <w:textAlignment w:val="baseline"/>
                    <w:rPr>
                      <w:rFonts w:ascii="Calibri" w:hAnsi="Calibri" w:eastAsia="Calibri"/>
                      <w:color w:val="4B788F"/>
                      <w:spacing w:val="-4"/>
                      <w:w w:val="100"/>
                      <w:sz w:val="22"/>
                      <w:u w:val="single"/>
                      <w:vertAlign w:val="baseline"/>
                      <w:lang w:val="en-US"/>
                    </w:rPr>
                  </w:pPr>
                  <w:hyperlink r:id="dhId23">
                    <w:r>
                      <w:rPr>
                        <w:rFonts w:ascii="Calibri" w:hAnsi="Calibri" w:eastAsia="Calibri"/>
                        <w:color w:val="0000FF"/>
                        <w:spacing w:val="-4"/>
                        <w:w w:val="100"/>
                        <w:sz w:val="22"/>
                        <w:u w:val="single"/>
                        <w:vertAlign w:val="baseline"/>
                        <w:lang w:val="en-US"/>
                      </w:rPr>
                      <w:t xml:space="preserve">Alyssa.Quissimisse@yatescountyny.gov</w:t>
                    </w:r>
                  </w:hyperlink>
                  <w:r>
                    <w:rPr>
                      <w:rFonts w:ascii="Calibri" w:hAnsi="Calibri" w:eastAsia="Calibri"/>
                      <w:color w:val="4B788F"/>
                      <w:spacing w:val="-4"/>
                      <w:w w:val="100"/>
                      <w:sz w:val="22"/>
                      <w:vertAlign w:val="baseline"/>
                      <w:lang w:val="en-US"/>
                    </w:rPr>
                    <w:t xml:space="preserve">
</w:t>
                  </w:r>
                </w:p>
                <w:p>
                  <w:pPr>
                    <w:spacing w:before="47" w:after="0" w:line="207" w:lineRule="exact"/>
                    <w:ind w:right="0" w:left="0" w:firstLine="0"/>
                    <w:jc w:val="left"/>
                    <w:textAlignment w:val="baseline"/>
                    <w:rPr>
                      <w:rFonts w:ascii="Calibri" w:hAnsi="Calibri" w:eastAsia="Calibri"/>
                      <w:color w:val="050F15"/>
                      <w:spacing w:val="-1"/>
                      <w:w w:val="100"/>
                      <w:sz w:val="22"/>
                      <w:vertAlign w:val="baseline"/>
                      <w:lang w:val="en-US"/>
                    </w:rPr>
                  </w:pPr>
                  <w:r>
                    <w:rPr>
                      <w:rFonts w:ascii="Calibri" w:hAnsi="Calibri" w:eastAsia="Calibri"/>
                      <w:color w:val="050F15"/>
                      <w:spacing w:val="-1"/>
                      <w:w w:val="100"/>
                      <w:sz w:val="22"/>
                      <w:vertAlign w:val="baseline"/>
                      <w:lang w:val="en-US"/>
                    </w:rPr>
                    <w:t xml:space="preserve">315-536-5160</w:t>
                  </w:r>
                </w:p>
              </w:txbxContent>
            </v:textbox>
          </v:shape>
        </w:pict>
      </w:r>
      <w:r>
        <w:pict>
          <v:shapetype id="_x0000_t377" coordsize="21600,21600" o:spt="202" path="m,l,21600r21600,l21600,xe">
            <v:stroke joinstyle="miter"/>
            <v:path gradientshapeok="t" o:connecttype="rect"/>
          </v:shapetype>
          <v:shape id="_x0000_s376" type="#_x0000_t377" filled="f" stroked="f" style="position:absolute;width:240pt;height:92.95pt;z-index:-1;margin-left:72.25pt;margin-top:215.15pt;mso-wrap-distance-left:0pt;mso-wrap-distance-right:0pt;mso-position-horizontal-relative:page;mso-position-vertical-relative:page">
            <w10:wrap type="square" side="both"/>
            <v:fill opacity="1" o:opacity2="1" recolor="f" rotate="f" type="solid"/>
            <v:textbox inset="0pt, 0pt, 0pt, 0pt">
              <w:txbxContent>
                <w:p>
                  <w:pPr>
                    <w:spacing w:before="26" w:after="0" w:line="226" w:lineRule="exact"/>
                    <w:ind w:right="0" w:left="0" w:firstLine="0"/>
                    <w:jc w:val="left"/>
                    <w:textAlignment w:val="baseline"/>
                    <w:rPr>
                      <w:rFonts w:ascii="Calibri" w:hAnsi="Calibri" w:eastAsia="Calibri"/>
                      <w:b w:val="true"/>
                      <w:color w:val="050F15"/>
                      <w:spacing w:val="-3"/>
                      <w:w w:val="100"/>
                      <w:sz w:val="22"/>
                      <w:vertAlign w:val="baseline"/>
                      <w:lang w:val="en-US"/>
                    </w:rPr>
                  </w:pPr>
                  <w:r>
                    <w:rPr>
                      <w:rFonts w:ascii="Calibri" w:hAnsi="Calibri" w:eastAsia="Calibri"/>
                      <w:b w:val="true"/>
                      <w:color w:val="050F15"/>
                      <w:spacing w:val="-3"/>
                      <w:w w:val="100"/>
                      <w:sz w:val="22"/>
                      <w:vertAlign w:val="baseline"/>
                      <w:lang w:val="en-US"/>
                    </w:rPr>
                    <w:t xml:space="preserve">UR Medicine Finger Lakes Health Soldiers and Sailors</w:t>
                  </w:r>
                </w:p>
                <w:p>
                  <w:pPr>
                    <w:spacing w:before="48" w:after="0" w:line="226" w:lineRule="exact"/>
                    <w:ind w:right="0" w:left="0" w:firstLine="0"/>
                    <w:jc w:val="left"/>
                    <w:textAlignment w:val="baseline"/>
                    <w:rPr>
                      <w:rFonts w:ascii="Calibri" w:hAnsi="Calibri" w:eastAsia="Calibri"/>
                      <w:b w:val="true"/>
                      <w:color w:val="050F15"/>
                      <w:spacing w:val="-1"/>
                      <w:w w:val="100"/>
                      <w:sz w:val="22"/>
                      <w:vertAlign w:val="baseline"/>
                      <w:lang w:val="en-US"/>
                    </w:rPr>
                  </w:pPr>
                  <w:r>
                    <w:rPr>
                      <w:rFonts w:ascii="Calibri" w:hAnsi="Calibri" w:eastAsia="Calibri"/>
                      <w:b w:val="true"/>
                      <w:color w:val="050F15"/>
                      <w:spacing w:val="-1"/>
                      <w:w w:val="100"/>
                      <w:sz w:val="22"/>
                      <w:vertAlign w:val="baseline"/>
                      <w:lang w:val="en-US"/>
                    </w:rPr>
                    <w:t xml:space="preserve">Memorial Hospital</w:t>
                  </w:r>
                </w:p>
                <w:p>
                  <w:pPr>
                    <w:spacing w:before="42" w:after="0" w:line="222" w:lineRule="exact"/>
                    <w:ind w:right="0" w:left="0" w:firstLine="0"/>
                    <w:jc w:val="left"/>
                    <w:textAlignment w:val="baseline"/>
                    <w:rPr>
                      <w:rFonts w:ascii="Calibri" w:hAnsi="Calibri" w:eastAsia="Calibri"/>
                      <w:color w:val="050F15"/>
                      <w:spacing w:val="-1"/>
                      <w:w w:val="100"/>
                      <w:sz w:val="22"/>
                      <w:vertAlign w:val="baseline"/>
                      <w:lang w:val="en-US"/>
                    </w:rPr>
                  </w:pPr>
                  <w:r>
                    <w:rPr>
                      <w:rFonts w:ascii="Calibri" w:hAnsi="Calibri" w:eastAsia="Calibri"/>
                      <w:color w:val="050F15"/>
                      <w:spacing w:val="-1"/>
                      <w:w w:val="100"/>
                      <w:sz w:val="22"/>
                      <w:vertAlign w:val="baseline"/>
                      <w:lang w:val="en-US"/>
                    </w:rPr>
                    <w:t xml:space="preserve">Kimberly Ilacqua</w:t>
                  </w:r>
                </w:p>
                <w:p>
                  <w:pPr>
                    <w:spacing w:before="42" w:after="0" w:line="222" w:lineRule="exact"/>
                    <w:ind w:right="0" w:left="0" w:firstLine="0"/>
                    <w:jc w:val="left"/>
                    <w:textAlignment w:val="baseline"/>
                    <w:rPr>
                      <w:rFonts w:ascii="Calibri" w:hAnsi="Calibri" w:eastAsia="Calibri"/>
                      <w:color w:val="050F15"/>
                      <w:spacing w:val="0"/>
                      <w:w w:val="100"/>
                      <w:sz w:val="22"/>
                      <w:vertAlign w:val="baseline"/>
                      <w:lang w:val="en-US"/>
                    </w:rPr>
                  </w:pPr>
                  <w:r>
                    <w:rPr>
                      <w:rFonts w:ascii="Calibri" w:hAnsi="Calibri" w:eastAsia="Calibri"/>
                      <w:color w:val="050F15"/>
                      <w:spacing w:val="0"/>
                      <w:w w:val="100"/>
                      <w:sz w:val="22"/>
                      <w:vertAlign w:val="baseline"/>
                      <w:lang w:val="en-US"/>
                    </w:rPr>
                    <w:t xml:space="preserve">Vice President, Community Services</w:t>
                  </w:r>
                </w:p>
                <w:p>
                  <w:pPr>
                    <w:spacing w:before="52" w:after="0" w:line="221" w:lineRule="exact"/>
                    <w:ind w:right="0" w:left="0" w:firstLine="0"/>
                    <w:jc w:val="left"/>
                    <w:textAlignment w:val="baseline"/>
                    <w:rPr>
                      <w:rFonts w:ascii="Calibri" w:hAnsi="Calibri" w:eastAsia="Calibri"/>
                      <w:color w:val="050F15"/>
                      <w:spacing w:val="-1"/>
                      <w:w w:val="100"/>
                      <w:sz w:val="22"/>
                      <w:vertAlign w:val="baseline"/>
                      <w:lang w:val="en-US"/>
                    </w:rPr>
                  </w:pPr>
                  <w:r>
                    <w:rPr>
                      <w:rFonts w:ascii="Calibri" w:hAnsi="Calibri" w:eastAsia="Calibri"/>
                      <w:color w:val="050F15"/>
                      <w:spacing w:val="-1"/>
                      <w:w w:val="100"/>
                      <w:sz w:val="22"/>
                      <w:vertAlign w:val="baseline"/>
                      <w:lang w:val="en-US"/>
                    </w:rPr>
                    <w:t xml:space="preserve">Executive Director, Finger Lakes Health Foundation</w:t>
                  </w:r>
                </w:p>
                <w:p>
                  <w:pPr>
                    <w:spacing w:before="48" w:after="0" w:line="221" w:lineRule="exact"/>
                    <w:ind w:right="0" w:left="0" w:firstLine="0"/>
                    <w:jc w:val="left"/>
                    <w:textAlignment w:val="baseline"/>
                    <w:rPr>
                      <w:rFonts w:ascii="Calibri" w:hAnsi="Calibri" w:eastAsia="Calibri"/>
                      <w:color w:val="4B788F"/>
                      <w:spacing w:val="-2"/>
                      <w:w w:val="100"/>
                      <w:sz w:val="22"/>
                      <w:u w:val="single"/>
                      <w:vertAlign w:val="baseline"/>
                      <w:lang w:val="en-US"/>
                    </w:rPr>
                  </w:pPr>
                  <w:hyperlink r:id="dhId24">
                    <w:r>
                      <w:rPr>
                        <w:rFonts w:ascii="Calibri" w:hAnsi="Calibri" w:eastAsia="Calibri"/>
                        <w:color w:val="0000FF"/>
                        <w:spacing w:val="-2"/>
                        <w:w w:val="100"/>
                        <w:sz w:val="22"/>
                        <w:u w:val="single"/>
                        <w:vertAlign w:val="baseline"/>
                        <w:lang w:val="en-US"/>
                      </w:rPr>
                      <w:t xml:space="preserve">Kimberly.Ilacqua@flhealth.org</w:t>
                    </w:r>
                  </w:hyperlink>
                  <w:r>
                    <w:rPr>
                      <w:rFonts w:ascii="Calibri" w:hAnsi="Calibri" w:eastAsia="Calibri"/>
                      <w:color w:val="050F15"/>
                      <w:spacing w:val="-2"/>
                      <w:w w:val="100"/>
                      <w:sz w:val="22"/>
                      <w:vertAlign w:val="baseline"/>
                      <w:lang w:val="en-US"/>
                    </w:rPr>
                    <w:t xml:space="preserve"> </w:t>
                  </w:r>
                </w:p>
                <w:p>
                  <w:pPr>
                    <w:spacing w:before="43" w:after="0" w:line="206" w:lineRule="exact"/>
                    <w:ind w:right="0" w:left="0" w:firstLine="0"/>
                    <w:jc w:val="left"/>
                    <w:textAlignment w:val="baseline"/>
                    <w:rPr>
                      <w:rFonts w:ascii="Calibri" w:hAnsi="Calibri" w:eastAsia="Calibri"/>
                      <w:color w:val="050F15"/>
                      <w:spacing w:val="-1"/>
                      <w:w w:val="100"/>
                      <w:sz w:val="22"/>
                      <w:vertAlign w:val="baseline"/>
                      <w:lang w:val="en-US"/>
                    </w:rPr>
                  </w:pPr>
                  <w:r>
                    <w:rPr>
                      <w:rFonts w:ascii="Calibri" w:hAnsi="Calibri" w:eastAsia="Calibri"/>
                      <w:color w:val="050F15"/>
                      <w:spacing w:val="-1"/>
                      <w:w w:val="100"/>
                      <w:sz w:val="22"/>
                      <w:vertAlign w:val="baseline"/>
                      <w:lang w:val="en-US"/>
                    </w:rPr>
                    <w:t xml:space="preserve">315-787-4053</w:t>
                  </w:r>
                </w:p>
              </w:txbxContent>
            </v:textbox>
          </v:shape>
        </w:pict>
      </w:r>
      <w:r>
        <w:pict>
          <v:shapetype id="_x0000_t378" coordsize="21600,21600" o:spt="202" path="m,l,21600r21600,l21600,xe">
            <v:stroke joinstyle="miter"/>
            <v:path gradientshapeok="t" o:connecttype="rect"/>
          </v:shapetype>
          <v:shape id="_x0000_s377" type="#_x0000_t378" filled="f" stroked="f" style="position:absolute;width:145.95pt;height:54.55pt;z-index:-1;margin-left:72.7pt;margin-top:322.65pt;mso-wrap-distance-left:0pt;mso-wrap-distance-right:0pt;mso-position-horizontal-relative:page;mso-position-vertical-relative:page">
            <w10:wrap type="square" side="both"/>
            <v:fill opacity="1" o:opacity2="1" recolor="f" rotate="f" type="solid"/>
            <v:textbox inset="0pt, 0pt, 0pt, 0pt">
              <w:txbxContent>
                <w:p>
                  <w:pPr>
                    <w:spacing w:before="0" w:after="0" w:line="257" w:lineRule="exact"/>
                    <w:ind w:right="0" w:left="0" w:firstLine="0"/>
                    <w:jc w:val="left"/>
                    <w:textAlignment w:val="baseline"/>
                    <w:rPr>
                      <w:rFonts w:ascii="Calibri" w:hAnsi="Calibri" w:eastAsia="Calibri"/>
                      <w:b w:val="true"/>
                      <w:color w:val="050F15"/>
                      <w:spacing w:val="-2"/>
                      <w:w w:val="100"/>
                      <w:sz w:val="22"/>
                      <w:vertAlign w:val="baseline"/>
                      <w:lang w:val="en-US"/>
                    </w:rPr>
                  </w:pPr>
                  <w:r>
                    <w:rPr>
                      <w:rFonts w:ascii="Calibri" w:hAnsi="Calibri" w:eastAsia="Calibri"/>
                      <w:b w:val="true"/>
                      <w:color w:val="050F15"/>
                      <w:spacing w:val="-2"/>
                      <w:w w:val="100"/>
                      <w:sz w:val="22"/>
                      <w:vertAlign w:val="baseline"/>
                      <w:lang w:val="en-US"/>
                    </w:rPr>
                    <w:t xml:space="preserve">Pivital Public Health Partnership </w:t>
                  </w:r>
                  <w:r>
                    <w:rPr>
                      <w:rFonts w:ascii="Calibri" w:hAnsi="Calibri" w:eastAsia="Calibri"/>
                      <w:color w:val="050F15"/>
                      <w:spacing w:val="-2"/>
                      <w:w w:val="100"/>
                      <w:sz w:val="22"/>
                      <w:vertAlign w:val="baseline"/>
                      <w:lang w:val="en-US"/>
                    </w:rPr>
                    <w:t xml:space="preserve">Michele Foster</w:t>
                  </w:r>
                </w:p>
                <w:p>
                  <w:pPr>
                    <w:spacing w:before="5" w:after="24" w:line="267" w:lineRule="exact"/>
                    <w:ind w:right="0" w:left="0" w:firstLine="0"/>
                    <w:jc w:val="left"/>
                    <w:textAlignment w:val="baseline"/>
                    <w:rPr>
                      <w:rFonts w:ascii="Calibri" w:hAnsi="Calibri" w:eastAsia="Calibri"/>
                      <w:color w:val="050F15"/>
                      <w:spacing w:val="0"/>
                      <w:w w:val="100"/>
                      <w:sz w:val="22"/>
                      <w:vertAlign w:val="baseline"/>
                      <w:lang w:val="en-US"/>
                    </w:rPr>
                  </w:pPr>
                  <w:r>
                    <w:rPr>
                      <w:rFonts w:ascii="Calibri" w:hAnsi="Calibri" w:eastAsia="Calibri"/>
                      <w:color w:val="050F15"/>
                      <w:spacing w:val="0"/>
                      <w:w w:val="100"/>
                      <w:sz w:val="22"/>
                      <w:vertAlign w:val="baseline"/>
                      <w:lang w:val="en-US"/>
                    </w:rPr>
                    <w:t xml:space="preserve">Executive Director </w:t>
                  </w:r>
                  <w:hyperlink r:id="dhId25">
                    <w:r>
                      <w:rPr>
                        <w:rFonts w:ascii="Calibri" w:hAnsi="Calibri" w:eastAsia="Calibri"/>
                        <w:color w:val="0000FF"/>
                        <w:spacing w:val="0"/>
                        <w:w w:val="100"/>
                        <w:sz w:val="22"/>
                        <w:u w:val="single"/>
                        <w:vertAlign w:val="baseline"/>
                        <w:lang w:val="en-US"/>
                      </w:rPr>
                      <w:t xml:space="preserve">MFoster@pivitalphp.org</w:t>
                    </w:r>
                  </w:hyperlink>
                  <w:r>
                    <w:rPr>
                      <w:rFonts w:ascii="Calibri" w:hAnsi="Calibri" w:eastAsia="Calibri"/>
                      <w:color w:val="050F15"/>
                      <w:spacing w:val="0"/>
                      <w:w w:val="100"/>
                      <w:sz w:val="22"/>
                      <w:vertAlign w:val="baseline"/>
                      <w:lang w:val="en-US"/>
                    </w:rPr>
                    <w:t xml:space="preserve"> </w:t>
                  </w:r>
                </w:p>
              </w:txbxContent>
            </v:textbox>
          </v:shape>
        </w:pict>
      </w:r>
      <w:r>
        <w:pict>
          <v:shapetype id="_x0000_t379" coordsize="21600,21600" o:spt="202" path="m,l,21600r21600,l21600,xe">
            <v:stroke joinstyle="miter"/>
            <v:path gradientshapeok="t" o:connecttype="rect"/>
          </v:shapetype>
          <v:shape id="_x0000_s378" type="#_x0000_t379" filled="f" stroked="f" style="position:absolute;width:611.5pt;height:35.8pt;z-index:-1;margin-left:0pt;margin-top:71.5pt;mso-wrap-distance-left:0pt;mso-wrap-distance-right:0pt;mso-position-horizontal-relative:page;mso-position-vertical-relative:page">
            <w10:wrap type="square" side="both"/>
            <v:fill opacity="1" o:opacity2="1" recolor="f" rotate="f" type="solid"/>
            <v:textbox inset="0pt, 0pt, 0pt, 0pt">
              <w:txbxContent>
                <w:p>
                  <w:pPr>
                    <w:spacing w:before="134" w:after="197" w:line="370" w:lineRule="exact"/>
                    <w:ind w:right="0" w:left="0" w:firstLine="0"/>
                    <w:jc w:val="center"/>
                    <w:textAlignment w:val="baseline"/>
                    <w:rPr>
                      <w:rFonts w:ascii="Calibri" w:hAnsi="Calibri" w:eastAsia="Calibri"/>
                      <w:b w:val="true"/>
                      <w:color w:val="FFFFFF"/>
                      <w:spacing w:val="0"/>
                      <w:w w:val="95"/>
                      <w:sz w:val="36"/>
                      <w:shd w:val="solid" w:color="145F82" w:fill="145F82"/>
                      <w:vertAlign w:val="baseline"/>
                      <w:lang w:val="en-US"/>
                    </w:rPr>
                  </w:pPr>
                  <w:r>
                    <w:rPr>
                      <w:rFonts w:ascii="Calibri" w:hAnsi="Calibri" w:eastAsia="Calibri"/>
                      <w:b w:val="true"/>
                      <w:color w:val="FFFFFF"/>
                      <w:spacing w:val="0"/>
                      <w:w w:val="95"/>
                      <w:sz w:val="36"/>
                      <w:shd w:val="solid" w:color="145F82" w:fill="145F82"/>
                      <w:vertAlign w:val="baseline"/>
                      <w:lang w:val="en-US"/>
                    </w:rPr>
                    <w:t xml:space="preserve">Yates County</w:t>
                  </w:r>
                </w:p>
              </w:txbxContent>
            </v:textbox>
          </v:shape>
        </w:pict>
      </w:r>
      <w:r>
        <w:pict>
          <v:line strokeweight="0.7pt" strokecolor="#09273C" from="0pt,107.3pt" to="611.5pt,107.3pt" style="position:absolute;mso-position-horizontal-relative:page;mso-position-vertical-relative:page;">
            <v:stroke dashstyle="solid"/>
          </v:line>
        </w:pict>
      </w:r>
      <w:r>
        <w:rPr>
          <w:rFonts w:ascii="Calibri" w:hAnsi="Calibri" w:eastAsia="Calibri"/>
          <w:i w:val="true"/>
          <w:color w:val="050F15"/>
          <w:spacing w:val="0"/>
          <w:w w:val="100"/>
          <w:sz w:val="18"/>
          <w:vertAlign w:val="baseline"/>
          <w:lang w:val="en-US"/>
        </w:rPr>
        <w:t xml:space="preserve">Courtesy of Yates County Chamber of Commerce</w:t>
      </w:r>
    </w:p>
    <w:p>
      <w:pPr>
        <w:tabs>
          <w:tab w:val="left" w:leader="none" w:pos="9504"/>
        </w:tabs>
        <w:spacing w:before="263"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7pt" strokecolor="#145F82" from="0pt,717.1pt" to="612.05pt,717.1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67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388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80" coordsize="21600,21600" o:spt="202" path="m,l,21600r21600,l21600,xe">
            <v:stroke joinstyle="miter"/>
            <v:path gradientshapeok="t" o:connecttype="rect"/>
          </v:shapetype>
          <v:shape id="_x0000_s379" type="#_x0000_t380" filled="f" stroked="f" style="position:absolute;width:586.3pt;height:48pt;z-index:-1;margin-left:13.7pt;margin-top: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60" w:hRule="exact"/>
                    </w:trPr>
                    <w:tc>
                      <w:tcPr>
                        <w:tcW w:w="1118"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709930" cy="609600"/>
                              <wp:docPr name="Picture" id="90"/>
                              <a:graphic>
                                <a:graphicData uri="http://schemas.openxmlformats.org/drawingml/2006/picture">
                                  <pic:pic>
                                    <pic:nvPicPr>
                                      <pic:cNvPr id="90" name="Picture"/>
                                      <pic:cNvPicPr preferRelativeResize="false"/>
                                    </pic:nvPicPr>
                                    <pic:blipFill>
                                      <a:blip r:embed="prId90"/>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63"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54990" cy="576580"/>
                              <wp:docPr name="Picture" id="91"/>
                              <a:graphic>
                                <a:graphicData uri="http://schemas.openxmlformats.org/drawingml/2006/picture">
                                  <pic:pic>
                                    <pic:nvPicPr>
                                      <pic:cNvPr id="91" name="Picture"/>
                                      <pic:cNvPicPr preferRelativeResize="false"/>
                                    </pic:nvPicPr>
                                    <pic:blipFill>
                                      <a:blip r:embed="prId91"/>
                                      <a:stretch>
                                        <a:fillRect/>
                                      </a:stretch>
                                    </pic:blipFill>
                                    <pic:spPr>
                                      <a:xfrm>
                                        <a:off x="0" y="0"/>
                                        <a:ext cx="554990" cy="576580"/>
                                      </a:xfrm>
                                      <a:prstGeom prst="rect"/>
                                    </pic:spPr>
                                  </pic:pic>
                                </a:graphicData>
                              </a:graphic>
                            </wp:inline>
                          </w:drawing>
                        </w:r>
                      </w:p>
                    </w:tc>
                  </w:tr>
                </w:tbl>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611.5pt;height:34.6pt;z-index:-1;margin-left:0pt;margin-top:83.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9420"/>
                        <wp:docPr name="Picture" id="92"/>
                        <a:graphic>
                          <a:graphicData uri="http://schemas.openxmlformats.org/drawingml/2006/picture">
                            <pic:pic>
                              <pic:nvPicPr>
                                <pic:cNvPr id="92" name="Picture"/>
                                <pic:cNvPicPr preferRelativeResize="false"/>
                              </pic:nvPicPr>
                              <pic:blipFill>
                                <a:blip r:embed="prId92"/>
                                <a:stretch>
                                  <a:fillRect/>
                                </a:stretch>
                              </pic:blipFill>
                              <pic:spPr>
                                <a:xfrm>
                                  <a:off x="0" y="0"/>
                                  <a:ext cx="7766050" cy="439420"/>
                                </a:xfrm>
                                <a:prstGeom prst="rect"/>
                              </pic:spPr>
                            </pic:pic>
                          </a:graphicData>
                        </a:graphic>
                      </wp:inline>
                    </w:drawing>
                  </w:r>
                </w:p>
              </w:txbxContent>
            </v:textbox>
          </v:shape>
        </w:pict>
      </w:r>
      <w:r>
        <w:pict>
          <v:shapetype id="_x0000_t382" coordsize="21600,21600" o:spt="202" path="m,l,21600r21600,l21600,xe">
            <v:stroke joinstyle="miter"/>
            <v:path gradientshapeok="t" o:connecttype="rect"/>
          </v:shapetype>
          <v:shape id="_x0000_s381" type="#_x0000_t382" filled="f" stroked="f" style="position:absolute;width:100.3pt;height:16pt;z-index:-1;margin-left:262.8pt;margin-top:88.15pt;mso-wrap-distance-left:0pt;mso-wrap-distance-right:0pt;mso-position-horizontal-relative:page;mso-position-vertical-relative:page">
            <w10:wrap type="square" side="both"/>
            <v:fill opacity="1" o:opacity2="1" recolor="f" rotate="f" type="solid"/>
            <v:textbox inset="0pt, 0pt, 0pt, 0pt">
              <w:txbxContent>
                <w:p>
                  <w:pPr>
                    <w:spacing w:before="33" w:after="0" w:line="277" w:lineRule="exact"/>
                    <w:ind w:right="0" w:left="0" w:firstLine="0"/>
                    <w:jc w:val="center"/>
                    <w:textAlignment w:val="baseline"/>
                    <w:rPr>
                      <w:rFonts w:ascii="Calibri" w:hAnsi="Calibri" w:eastAsia="Calibri"/>
                      <w:b w:val="true"/>
                      <w:color w:val="FFFFFF"/>
                      <w:spacing w:val="-8"/>
                      <w:w w:val="100"/>
                      <w:sz w:val="28"/>
                      <w:vertAlign w:val="baseline"/>
                      <w:lang w:val="en-US"/>
                    </w:rPr>
                  </w:pPr>
                  <w:r>
                    <w:rPr>
                      <w:rFonts w:ascii="Calibri" w:hAnsi="Calibri" w:eastAsia="Calibri"/>
                      <w:b w:val="true"/>
                      <w:color w:val="FFFFFF"/>
                      <w:spacing w:val="-8"/>
                      <w:w w:val="100"/>
                      <w:sz w:val="28"/>
                      <w:vertAlign w:val="baseline"/>
                      <w:lang w:val="en-US"/>
                    </w:rPr>
                    <w:t xml:space="preserve">Table of Contents</w:t>
                  </w:r>
                </w:p>
              </w:txbxContent>
            </v:textbox>
          </v:shape>
        </w:pict>
      </w:r>
      <w:r>
        <w:pict>
          <v:line strokeweight="1.7pt" strokecolor="#145F82" from="0pt,62.9pt" to="611.55pt,62.9pt" style="position:absolute;mso-position-horizontal-relative:page;mso-position-vertical-relative:page;">
            <v:stroke dashstyle="solid"/>
          </v:line>
        </w:pict>
      </w:r>
    </w:p>
    <w:tbl>
      <w:tblPr>
        <w:jc w:val="left"/>
        <w:tblInd w:w="1440" w:type="dxa"/>
        <w:tblLayout w:type="fixed"/>
        <w:tblCellMar>
          <w:left w:w="0" w:type="dxa"/>
          <w:right w:w="0" w:type="dxa"/>
        </w:tblCellMar>
      </w:tblPr>
      <w:tblGrid>
        <w:gridCol w:w="8549"/>
        <w:gridCol w:w="998"/>
      </w:tblGrid>
      <w:tr>
        <w:trPr>
          <w:trHeight w:val="322" w:hRule="exact"/>
        </w:trPr>
        <w:tc>
          <w:tcPr>
            <w:tcW w:w="9547" w:type="dxa"/>
            <w:gridSpan w:val="2"/>
            <w:tcBorders>
              <w:top w:val="none"/>
              <w:left w:val="none"/>
              <w:bottom w:val="none"/>
              <w:right w:val="none"/>
            </w:tcBorders>
            <w:shd w:val="clear" w:color="145F82" w:fill="145F82"/>
            <w:textDirection w:val="lrTb"/>
            <w:vAlign w:val="center"/>
          </w:tcPr>
          <w:p>
            <w:pPr>
              <w:tabs>
                <w:tab w:val="left" w:leader="none" w:pos="8640"/>
              </w:tabs>
              <w:spacing w:before="34" w:after="57" w:line="230" w:lineRule="exact"/>
              <w:ind w:right="0" w:left="110"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Executive Summary	</w:t>
            </w:r>
            <w:r>
              <w:rPr>
                <w:rFonts w:ascii="Calibri" w:hAnsi="Calibri" w:eastAsia="Calibri"/>
                <w:b w:val="true"/>
                <w:color w:val="FFFFFF"/>
                <w:spacing w:val="0"/>
                <w:w w:val="100"/>
                <w:sz w:val="23"/>
                <w:vertAlign w:val="baseline"/>
                <w:lang w:val="en-US"/>
              </w:rPr>
              <w:t xml:space="preserve">69</w:t>
            </w:r>
          </w:p>
        </w:tc>
      </w:tr>
      <w:tr>
        <w:trPr>
          <w:trHeight w:val="302" w:hRule="exact"/>
        </w:trPr>
        <w:tc>
          <w:tcPr>
            <w:tcW w:w="8549" w:type="dxa"/>
            <w:tcBorders>
              <w:top w:val="none"/>
              <w:left w:val="none"/>
              <w:bottom w:val="single" w:sz="5" w:color="000000"/>
              <w:right w:val="single" w:sz="5" w:color="000000"/>
            </w:tcBorders>
            <w:shd w:val="clear" w:color="C1E3F5" w:fill="C1E3F5"/>
            <w:textDirection w:val="lrTb"/>
            <w:vAlign w:val="center"/>
          </w:tcPr>
          <w:p>
            <w:pPr>
              <w:spacing w:before="0" w:after="47" w:line="230"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Community Description</w:t>
            </w:r>
          </w:p>
        </w:tc>
        <w:tc>
          <w:tcPr>
            <w:tcW w:w="998" w:type="dxa"/>
            <w:tcBorders>
              <w:top w:val="none"/>
              <w:left w:val="single" w:sz="5" w:color="000000"/>
              <w:bottom w:val="single" w:sz="5" w:color="000000"/>
              <w:right w:val="single" w:sz="5" w:color="000000"/>
            </w:tcBorders>
            <w:shd w:val="clear" w:color="C1E3F5" w:fill="C1E3F5"/>
            <w:textDirection w:val="lrTb"/>
            <w:vAlign w:val="center"/>
          </w:tcPr>
          <w:p>
            <w:pPr>
              <w:spacing w:before="0"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Service Area</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7"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Demographic Summary</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1"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71</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38"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Health Status Description</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Specific Methodology</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76</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3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County Health Rankings</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NYS Prevention Agenda</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58"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Priority Areas</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0" w:after="4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103</w:t>
            </w:r>
          </w:p>
        </w:tc>
      </w:tr>
      <w:tr>
        <w:trPr>
          <w:trHeight w:val="308"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8"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Community Assets and Resources</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104</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53" w:line="229" w:lineRule="exact"/>
              <w:ind w:right="0" w:left="11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Appendix 1: Participating Partners and Community Representation</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2" w:after="3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107</w:t>
            </w:r>
          </w:p>
        </w:tc>
      </w:tr>
      <w:tr>
        <w:trPr>
          <w:trHeight w:val="307" w:hRule="exact"/>
        </w:trPr>
        <w:tc>
          <w:tcPr>
            <w:tcW w:w="8549" w:type="dxa"/>
            <w:tcBorders>
              <w:top w:val="single" w:sz="5" w:color="000000"/>
              <w:left w:val="none"/>
              <w:bottom w:val="single" w:sz="5" w:color="000000"/>
              <w:right w:val="single" w:sz="5" w:color="000000"/>
            </w:tcBorders>
            <w:shd w:val="clear" w:color="145F82" w:fill="145F82"/>
            <w:textDirection w:val="lrTb"/>
            <w:vAlign w:val="center"/>
          </w:tcPr>
          <w:p>
            <w:pPr>
              <w:spacing w:before="0" w:after="43" w:line="229" w:lineRule="exact"/>
              <w:ind w:right="0" w:left="110"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List of Tables:</w:t>
            </w:r>
          </w:p>
        </w:tc>
        <w:tc>
          <w:tcPr>
            <w:tcW w:w="99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5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Y1: Causes of Death</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2" w:after="3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w:t>
            </w:r>
          </w:p>
        </w:tc>
      </w:tr>
      <w:tr>
        <w:trPr>
          <w:trHeight w:val="307"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2" w:line="230"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Y2: NYS Prevention Agenda 2025-2030 Domains and Priorities</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52"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Y3: Rates of Age-Adjusted Causes of Death</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36"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93</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Y4: Emergency Department Visits</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95</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47"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Y5: 4:3:1:3:3:1:4 Schedule</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31"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Y6: Enrolled School-Age Population</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101</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4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Table Y7: County Resources to Accomplish CHA/CHIP Goals</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105</w:t>
            </w:r>
          </w:p>
        </w:tc>
      </w:tr>
      <w:tr>
        <w:trPr>
          <w:trHeight w:val="312" w:hRule="exact"/>
        </w:trPr>
        <w:tc>
          <w:tcPr>
            <w:tcW w:w="8549" w:type="dxa"/>
            <w:tcBorders>
              <w:top w:val="single" w:sz="5" w:color="000000"/>
              <w:left w:val="none"/>
              <w:bottom w:val="single" w:sz="5" w:color="000000"/>
              <w:right w:val="single" w:sz="5" w:color="000000"/>
            </w:tcBorders>
            <w:shd w:val="clear" w:color="145F82" w:fill="145F82"/>
            <w:textDirection w:val="lrTb"/>
            <w:vAlign w:val="center"/>
          </w:tcPr>
          <w:p>
            <w:pPr>
              <w:spacing w:before="0" w:after="43" w:line="229" w:lineRule="exact"/>
              <w:ind w:right="0" w:left="110"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List of Maps:</w:t>
            </w:r>
          </w:p>
        </w:tc>
        <w:tc>
          <w:tcPr>
            <w:tcW w:w="99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5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Y1: Population Density in Yates County</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0" w:after="3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72</w:t>
            </w:r>
          </w:p>
        </w:tc>
      </w:tr>
      <w:tr>
        <w:trPr>
          <w:trHeight w:val="308"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Y2: Overall Poverty Rate in Yates County</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0"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4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Y3: Food Insecurity Rate</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2"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82</w:t>
            </w:r>
          </w:p>
        </w:tc>
      </w:tr>
      <w:tr>
        <w:trPr>
          <w:trHeight w:val="307"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3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Y4: Poor Mental Health Days</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2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86</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47" w:line="230"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Y5: ED Visit Rate by Zip Code</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2"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94</w:t>
            </w:r>
          </w:p>
        </w:tc>
      </w:tr>
      <w:tr>
        <w:trPr>
          <w:trHeight w:val="307"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38" w:line="230"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Map Y6: Preventable Hospitalizations by Zip Code</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2" w:after="23"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94</w:t>
            </w:r>
          </w:p>
        </w:tc>
      </w:tr>
      <w:tr>
        <w:trPr>
          <w:trHeight w:val="312" w:hRule="exact"/>
        </w:trPr>
        <w:tc>
          <w:tcPr>
            <w:tcW w:w="8549" w:type="dxa"/>
            <w:tcBorders>
              <w:top w:val="single" w:sz="5" w:color="000000"/>
              <w:left w:val="none"/>
              <w:bottom w:val="single" w:sz="5" w:color="000000"/>
              <w:right w:val="single" w:sz="5" w:color="000000"/>
            </w:tcBorders>
            <w:shd w:val="clear" w:color="145F82" w:fill="145F82"/>
            <w:textDirection w:val="lrTb"/>
            <w:vAlign w:val="center"/>
          </w:tcPr>
          <w:p>
            <w:pPr>
              <w:spacing w:before="0" w:after="47" w:line="229" w:lineRule="exact"/>
              <w:ind w:right="0" w:left="110"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List of Figures:</w:t>
            </w:r>
          </w:p>
        </w:tc>
        <w:tc>
          <w:tcPr>
            <w:tcW w:w="99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52"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Y1: Population Projections in Yates County</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6"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72</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Y2: Population by Age and Sex</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73</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52"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Y3: County Health Rankings Health and Well-Being</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6"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w:t>
            </w:r>
          </w:p>
        </w:tc>
      </w:tr>
      <w:tr>
        <w:trPr>
          <w:trHeight w:val="307" w:hRule="exact"/>
        </w:trPr>
        <w:tc>
          <w:tcPr>
            <w:tcW w:w="8549" w:type="dxa"/>
            <w:tcBorders>
              <w:top w:val="single" w:sz="5" w:color="000000"/>
              <w:left w:val="none"/>
              <w:bottom w:val="single" w:sz="5" w:color="000000"/>
              <w:right w:val="single" w:sz="5" w:color="000000"/>
            </w:tcBorders>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Y4: County Health Rankings Community Conditions/SDOH</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78</w:t>
            </w:r>
          </w:p>
        </w:tc>
      </w:tr>
      <w:tr>
        <w:trPr>
          <w:trHeight w:val="312"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5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Y5: Unemployment Rate</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w:t>
            </w:r>
          </w:p>
        </w:tc>
      </w:tr>
      <w:tr>
        <w:trPr>
          <w:trHeight w:val="312" w:hRule="exact"/>
        </w:trPr>
        <w:tc>
          <w:tcPr>
            <w:tcW w:w="8549" w:type="dxa"/>
            <w:tcBorders>
              <w:top w:val="single" w:sz="5" w:color="000000"/>
              <w:left w:val="none"/>
              <w:bottom w:val="single" w:sz="5" w:color="000000"/>
              <w:right w:val="single" w:sz="5" w:color="000000"/>
            </w:tcBorders>
            <w:textDirection w:val="lrTb"/>
            <w:vAlign w:val="center"/>
          </w:tcPr>
          <w:p>
            <w:pPr>
              <w:spacing w:before="0" w:after="43"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Y6: Residents to Healthcare Provider Ratio</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3" w:after="27"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96</w:t>
            </w:r>
          </w:p>
        </w:tc>
      </w:tr>
      <w:tr>
        <w:trPr>
          <w:trHeight w:val="308" w:hRule="exact"/>
        </w:trPr>
        <w:tc>
          <w:tcPr>
            <w:tcW w:w="8549" w:type="dxa"/>
            <w:tcBorders>
              <w:top w:val="single" w:sz="5" w:color="000000"/>
              <w:left w:val="none"/>
              <w:bottom w:val="single" w:sz="5" w:color="000000"/>
              <w:right w:val="single" w:sz="5" w:color="000000"/>
            </w:tcBorders>
            <w:shd w:val="clear" w:color="C1E3F5" w:fill="C1E3F5"/>
            <w:textDirection w:val="lrTb"/>
            <w:vAlign w:val="center"/>
          </w:tcPr>
          <w:p>
            <w:pPr>
              <w:spacing w:before="0" w:after="4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Y7: Immunization Rates 2025</w:t>
            </w:r>
          </w:p>
        </w:tc>
        <w:tc>
          <w:tcPr>
            <w:tcW w:w="998" w:type="dxa"/>
            <w:tcBorders>
              <w:top w:val="single" w:sz="5" w:color="000000"/>
              <w:left w:val="single" w:sz="5" w:color="000000"/>
              <w:bottom w:val="single" w:sz="5" w:color="000000"/>
              <w:right w:val="single" w:sz="5" w:color="000000"/>
            </w:tcBorders>
            <w:shd w:val="clear" w:color="C1E3F5" w:fill="C1E3F5"/>
            <w:textDirection w:val="lrTb"/>
            <w:vAlign w:val="center"/>
          </w:tcPr>
          <w:p>
            <w:pPr>
              <w:spacing w:before="33" w:after="3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99</w:t>
            </w:r>
          </w:p>
        </w:tc>
      </w:tr>
      <w:tr>
        <w:trPr>
          <w:trHeight w:val="316" w:hRule="exact"/>
        </w:trPr>
        <w:tc>
          <w:tcPr>
            <w:tcW w:w="8549" w:type="dxa"/>
            <w:tcBorders>
              <w:top w:val="single" w:sz="5" w:color="000000"/>
              <w:left w:val="none"/>
              <w:bottom w:val="single" w:sz="5" w:color="000000"/>
              <w:right w:val="single" w:sz="5" w:color="000000"/>
            </w:tcBorders>
            <w:textDirection w:val="lrTb"/>
            <w:vAlign w:val="center"/>
          </w:tcPr>
          <w:p>
            <w:pPr>
              <w:spacing w:before="0" w:after="58" w:line="229" w:lineRule="exact"/>
              <w:ind w:right="0" w:left="830" w:firstLine="0"/>
              <w:jc w:val="left"/>
              <w:textAlignment w:val="baseline"/>
              <w:rPr>
                <w:rFonts w:ascii="Calibri" w:hAnsi="Calibri" w:eastAsia="Calibri"/>
                <w:b w:val="true"/>
                <w:color w:val="000000"/>
                <w:spacing w:val="0"/>
                <w:w w:val="100"/>
                <w:sz w:val="23"/>
                <w:vertAlign w:val="baseline"/>
                <w:lang w:val="en-US"/>
              </w:rPr>
            </w:pPr>
            <w:r>
              <w:rPr>
                <w:rFonts w:ascii="Calibri" w:hAnsi="Calibri" w:eastAsia="Calibri"/>
                <w:b w:val="true"/>
                <w:color w:val="000000"/>
                <w:spacing w:val="0"/>
                <w:w w:val="100"/>
                <w:sz w:val="23"/>
                <w:vertAlign w:val="baseline"/>
                <w:lang w:val="en-US"/>
              </w:rPr>
              <w:t xml:space="preserve">Figure Y8: Preventive Services – Lead Screening</w:t>
            </w:r>
          </w:p>
        </w:tc>
        <w:tc>
          <w:tcPr>
            <w:tcW w:w="998" w:type="dxa"/>
            <w:tcBorders>
              <w:top w:val="single" w:sz="5" w:color="000000"/>
              <w:left w:val="single" w:sz="5" w:color="000000"/>
              <w:bottom w:val="single" w:sz="5" w:color="000000"/>
              <w:right w:val="single" w:sz="5" w:color="000000"/>
            </w:tcBorders>
            <w:textDirection w:val="lrTb"/>
            <w:vAlign w:val="center"/>
          </w:tcPr>
          <w:p>
            <w:pPr>
              <w:spacing w:before="32" w:after="42" w:line="242" w:lineRule="exact"/>
              <w:ind w:right="450"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100</w:t>
            </w:r>
          </w:p>
        </w:tc>
      </w:tr>
    </w:tbl>
    <w:p>
      <w:pPr>
        <w:spacing w:before="0" w:after="493" w:line="20" w:lineRule="exact"/>
      </w:pP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68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2948" w:right="0" w:left="0" w:header="720" w:footer="720"/>
          <w:titlePg w:val="false"/>
          <w:textDirection w:val="lrTb"/>
        </w:sectPr>
      </w:pPr>
    </w:p>
    <w:p>
      <w:pPr>
        <w:spacing w:before="26" w:after="0" w:line="221" w:lineRule="exact"/>
        <w:ind w:right="0" w:left="1440" w:firstLine="0"/>
        <w:jc w:val="left"/>
        <w:textAlignment w:val="baseline"/>
        <w:rPr>
          <w:rFonts w:ascii="Calibri" w:hAnsi="Calibri" w:eastAsia="Calibri"/>
          <w:color w:val="000000"/>
          <w:spacing w:val="0"/>
          <w:w w:val="100"/>
          <w:sz w:val="22"/>
          <w:vertAlign w:val="baseline"/>
          <w:lang w:val="en-US"/>
        </w:rPr>
      </w:pPr>
      <w:r>
        <w:pict>
          <v:shapetype id="_x0000_t383" coordsize="21600,21600" o:spt="202" path="m,l,21600r21600,l21600,xe">
            <v:stroke joinstyle="miter"/>
            <v:path gradientshapeok="t" o:connecttype="rect"/>
          </v:shapetype>
          <v:shape id="_x0000_s382" type="#_x0000_t383" filled="f" stroked="f" style="position:absolute;width:586.3pt;height:48pt;z-index:-1;margin-left:13.7pt;margin-top: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60" w:hRule="exact"/>
                    </w:trPr>
                    <w:tc>
                      <w:tcPr>
                        <w:tcW w:w="1118"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709930" cy="609600"/>
                              <wp:docPr name="Picture" id="93"/>
                              <a:graphic>
                                <a:graphicData uri="http://schemas.openxmlformats.org/drawingml/2006/picture">
                                  <pic:pic>
                                    <pic:nvPicPr>
                                      <pic:cNvPr id="93" name="Picture"/>
                                      <pic:cNvPicPr preferRelativeResize="false"/>
                                    </pic:nvPicPr>
                                    <pic:blipFill>
                                      <a:blip r:embed="prId9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63"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54990" cy="567055"/>
                              <wp:docPr name="Picture" id="94"/>
                              <a:graphic>
                                <a:graphicData uri="http://schemas.openxmlformats.org/drawingml/2006/picture">
                                  <pic:pic>
                                    <pic:nvPicPr>
                                      <pic:cNvPr id="94" name="Picture"/>
                                      <pic:cNvPicPr preferRelativeResize="false"/>
                                    </pic:nvPicPr>
                                    <pic:blipFill>
                                      <a:blip r:embed="prId94"/>
                                      <a:stretch>
                                        <a:fillRect/>
                                      </a:stretch>
                                    </pic:blipFill>
                                    <pic:spPr>
                                      <a:xfrm>
                                        <a:off x="0" y="0"/>
                                        <a:ext cx="554990" cy="567055"/>
                                      </a:xfrm>
                                      <a:prstGeom prst="rect"/>
                                    </pic:spPr>
                                  </pic:pic>
                                </a:graphicData>
                              </a:graphic>
                            </wp:inline>
                          </w:drawing>
                        </w:r>
                      </w:p>
                    </w:tc>
                  </w:tr>
                </w:tbl>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611.5pt;height:34.55pt;z-index:-1;margin-left:0pt;margin-top:76.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95"/>
                        <a:graphic>
                          <a:graphicData uri="http://schemas.openxmlformats.org/drawingml/2006/picture">
                            <pic:pic>
                              <pic:nvPicPr>
                                <pic:cNvPr id="95" name="Picture"/>
                                <pic:cNvPicPr preferRelativeResize="false"/>
                              </pic:nvPicPr>
                              <pic:blipFill>
                                <a:blip r:embed="prId95"/>
                                <a:stretch>
                                  <a:fillRect/>
                                </a:stretch>
                              </pic:blipFill>
                              <pic:spPr>
                                <a:xfrm>
                                  <a:off x="0" y="0"/>
                                  <a:ext cx="7766050" cy="438785"/>
                                </a:xfrm>
                                <a:prstGeom prst="rect"/>
                              </pic:spPr>
                            </pic:pic>
                          </a:graphicData>
                        </a:graphic>
                      </wp:inline>
                    </w:drawing>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112.8pt;height:16.2pt;z-index:-1;margin-left:254.9pt;margin-top:80.75pt;mso-wrap-distance-left:0pt;mso-wrap-distance-right:0pt;mso-position-horizontal-relative:page;mso-position-vertical-relative:page">
            <w10:wrap type="square" side="both"/>
            <v:fill opacity="1" o:opacity2="1" recolor="f" rotate="f" type="solid"/>
            <v:textbox inset="0pt, 0pt, 0pt, 0pt">
              <w:txbxContent>
                <w:p>
                  <w:pPr>
                    <w:spacing w:before="33" w:after="0" w:line="281" w:lineRule="exact"/>
                    <w:ind w:right="0" w:left="0" w:firstLine="0"/>
                    <w:jc w:val="center"/>
                    <w:textAlignment w:val="baseline"/>
                    <w:rPr>
                      <w:rFonts w:ascii="Calibri" w:hAnsi="Calibri" w:eastAsia="Calibri"/>
                      <w:b w:val="true"/>
                      <w:color w:val="FFFFFF"/>
                      <w:spacing w:val="-8"/>
                      <w:w w:val="100"/>
                      <w:sz w:val="28"/>
                      <w:vertAlign w:val="baseline"/>
                      <w:lang w:val="en-US"/>
                    </w:rPr>
                  </w:pPr>
                  <w:r>
                    <w:rPr>
                      <w:rFonts w:ascii="Calibri" w:hAnsi="Calibri" w:eastAsia="Calibri"/>
                      <w:b w:val="true"/>
                      <w:color w:val="FFFFFF"/>
                      <w:spacing w:val="-8"/>
                      <w:w w:val="100"/>
                      <w:sz w:val="28"/>
                      <w:vertAlign w:val="baseline"/>
                      <w:lang w:val="en-US"/>
                    </w:rPr>
                    <w:t xml:space="preserve">Executive Summary</w:t>
                  </w:r>
                </w:p>
              </w:txbxContent>
            </v:textbox>
          </v:shape>
        </w:pict>
      </w:r>
      <w:r>
        <w:pict>
          <v:line strokeweight="1.7pt" strokecolor="#145F82" from="0pt,62.9pt" to="611.5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Yates County has identified three priority areas for this Community Health Assessment (CHA). They are:</w:t>
      </w:r>
    </w:p>
    <w:p>
      <w:pPr>
        <w:numPr>
          <w:ilvl w:val="0"/>
          <w:numId w:val="2"/>
        </w:numPr>
        <w:tabs>
          <w:tab w:val="clear" w:pos="360"/>
          <w:tab w:val="left" w:pos="2160"/>
        </w:tabs>
        <w:spacing w:before="228"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p>
      <w:pPr>
        <w:numPr>
          <w:ilvl w:val="0"/>
          <w:numId w:val="2"/>
        </w:numPr>
        <w:tabs>
          <w:tab w:val="clear" w:pos="360"/>
          <w:tab w:val="left" w:pos="2160"/>
        </w:tabs>
        <w:spacing w:before="69" w:after="0" w:line="232"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 Control</w:t>
      </w:r>
    </w:p>
    <w:p>
      <w:pPr>
        <w:numPr>
          <w:ilvl w:val="0"/>
          <w:numId w:val="2"/>
        </w:numPr>
        <w:tabs>
          <w:tab w:val="clear" w:pos="360"/>
          <w:tab w:val="left" w:pos="2160"/>
        </w:tabs>
        <w:spacing w:before="70"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and Stress</w:t>
      </w:r>
    </w:p>
    <w:p>
      <w:pPr>
        <w:spacing w:before="230" w:after="0" w:line="226" w:lineRule="exact"/>
        <w:ind w:right="0" w:left="1440" w:firstLine="0"/>
        <w:jc w:val="left"/>
        <w:textAlignment w:val="baseline"/>
        <w:rPr>
          <w:rFonts w:ascii="Calibri" w:hAnsi="Calibri" w:eastAsia="Calibri"/>
          <w:b w:val="true"/>
          <w:color w:val="000000"/>
          <w:spacing w:val="-1"/>
          <w:w w:val="100"/>
          <w:sz w:val="22"/>
          <w:vertAlign w:val="baseline"/>
          <w:lang w:val="en-US"/>
        </w:rPr>
      </w:pPr>
      <w:r>
        <w:rPr>
          <w:rFonts w:ascii="Calibri" w:hAnsi="Calibri" w:eastAsia="Calibri"/>
          <w:b w:val="true"/>
          <w:color w:val="000000"/>
          <w:spacing w:val="-1"/>
          <w:w w:val="100"/>
          <w:sz w:val="22"/>
          <w:vertAlign w:val="baseline"/>
          <w:lang w:val="en-US"/>
        </w:rPr>
        <w:t xml:space="preserve">Data Sources</w:t>
      </w:r>
    </w:p>
    <w:p>
      <w:pPr>
        <w:spacing w:before="151" w:after="0" w:line="291"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County’s CHA incorporated a blend of quantitative and qualitative data sources, including secondary data from the New York State Behavioral Risk Factor Surveillance System, County Health Rankings and Roadmaps, the National Center for Health Statistics, the American Community Survey, the U.S. Census, the NYS Medicaid Program, and local performance reports.</w:t>
      </w:r>
    </w:p>
    <w:p>
      <w:pPr>
        <w:spacing w:before="225" w:after="0" w:line="226" w:lineRule="exact"/>
        <w:ind w:right="0" w:left="1440" w:firstLine="0"/>
        <w:jc w:val="left"/>
        <w:textAlignment w:val="baseline"/>
        <w:rPr>
          <w:rFonts w:ascii="Calibri" w:hAnsi="Calibri" w:eastAsia="Calibri"/>
          <w:b w:val="true"/>
          <w:color w:val="000000"/>
          <w:spacing w:val="-1"/>
          <w:w w:val="100"/>
          <w:sz w:val="22"/>
          <w:vertAlign w:val="baseline"/>
          <w:lang w:val="en-US"/>
        </w:rPr>
      </w:pPr>
      <w:r>
        <w:rPr>
          <w:rFonts w:ascii="Calibri" w:hAnsi="Calibri" w:eastAsia="Calibri"/>
          <w:b w:val="true"/>
          <w:color w:val="000000"/>
          <w:spacing w:val="-1"/>
          <w:w w:val="100"/>
          <w:sz w:val="22"/>
          <w:vertAlign w:val="baseline"/>
          <w:lang w:val="en-US"/>
        </w:rPr>
        <w:t xml:space="preserve">Partners and Roles</w:t>
      </w:r>
    </w:p>
    <w:p>
      <w:pPr>
        <w:spacing w:before="156"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Choose Health Yates Committee was integral in the development of the CHA, along with the participating partners and community representation listed in Appendix 1. Yates County community members were invited to attend the Choose Health Yates meetings through local radio announcements and meeting dates published on the local health department’s website. During the CHA development, Choose Health Yates met regularly to develop and integrate information collected through use of the MAPP 2.0 framework.</w:t>
      </w:r>
    </w:p>
    <w:p>
      <w:pPr>
        <w:spacing w:before="163"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Valuable organizational data and community insights were compiled to create a comprehensive county profile. Gathering this information was completed using three assessments: the Community Partner Assessment (CPA), Community Context Assessment (CCA), and Community Status Assessment (CSA). Throughout the process, partners and community members participated in regular Choose Health Yates meetings where findings from the assessments mentioned above were presented. These sessions encouraged questions, feedback, and shared interpretation of the data. The full committee collaboratively reviewed and discussed the triangulated results of all three assessments, allowing partners to validate findings and identify key health themes, leading to the selection of priorities.</w:t>
      </w:r>
    </w:p>
    <w:p>
      <w:pPr>
        <w:spacing w:before="230" w:after="0" w:line="226"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Summary of Findings</w:t>
      </w:r>
    </w:p>
    <w:p>
      <w:pPr>
        <w:spacing w:before="181" w:after="763" w:line="268"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faces a complex mix of social, economic, and health challenges that influence the overall well-being of its residents. Poverty has increased to 14.1%, with the highest concentrations in the southern part of the county, and older adults have experienced a particularly sharp rise in financial hardship. Median household income remains below the state average, and while unemployment is relatively low, wages are not keeping pace with the cost of living, creating economic stress for many families. Even though homeownership rates are high compared to NYS, households have experienced 1 of 4 housing problems (overcrowding, high housing costs, and/or lack of kitchen or plumbing facilities) at higher rates since 2020. Nutrition security appears stable, with most residents having access to healthy food, but gaps in physical activity opportunities, walkable spaces, and community amenities highlight barriers to healthy lifestyles.</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69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234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86" coordsize="21600,21600" o:spt="202" path="m,l,21600r21600,l21600,xe">
            <v:stroke joinstyle="miter"/>
            <v:path gradientshapeok="t" o:connecttype="rect"/>
          </v:shapetype>
          <v:shape id="_x0000_s385" type="#_x0000_t386"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96"/>
                              <a:graphic>
                                <a:graphicData uri="http://schemas.openxmlformats.org/drawingml/2006/picture">
                                  <pic:pic>
                                    <pic:nvPicPr>
                                      <pic:cNvPr id="96" name="Picture"/>
                                      <pic:cNvPicPr preferRelativeResize="false"/>
                                    </pic:nvPicPr>
                                    <pic:blipFill>
                                      <a:blip r:embed="prId9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97"/>
                              <a:graphic>
                                <a:graphicData uri="http://schemas.openxmlformats.org/drawingml/2006/picture">
                                  <pic:pic>
                                    <pic:nvPicPr>
                                      <pic:cNvPr id="97" name="Picture"/>
                                      <pic:cNvPicPr preferRelativeResize="false"/>
                                    </pic:nvPicPr>
                                    <pic:blipFill>
                                      <a:blip r:embed="prId97"/>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387" coordsize="21600,21600" o:spt="202" path="m,l,21600r21600,l21600,xe">
            <v:stroke joinstyle="miter"/>
            <v:path gradientshapeok="t" o:connecttype="rect"/>
          </v:shapetype>
          <v:shape id="_x0000_s386" type="#_x0000_t387" filled="f" stroked="f" style="position:absolute;width:612pt;height:646.8pt;z-index:-1;margin-left:0pt;margin-top:70.05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1584"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Mental health is a growing concern. Rates of adults reporting poor mental health and depression, along with elevated suicide rates, exceed state averages, signaling rising stress, anxiety, and unmet behavioral health needs. Substance use and overdose trends have decreased, along with the percentage of adults who are current smokers.</w:t>
                  </w:r>
                </w:p>
                <w:p>
                  <w:pPr>
                    <w:spacing w:before="165" w:after="0" w:line="289" w:lineRule="exact"/>
                    <w:ind w:right="201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healthcare is strained by provider shortages, geographic barriers, and declining insurance coverage for adults and children. Preventive care indicators, including screenings, dental care, immunizations, and lead testing, show lower completion rates among Medicaid enrollees and low-income populations.</w:t>
                  </w:r>
                </w:p>
                <w:p>
                  <w:pPr>
                    <w:spacing w:before="162" w:after="0" w:line="289"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High school completion and post-secondary enrollment lag state averages, and the four-year graduation rate is lower than the state average. School funding gaps have slightly worsened, limiting resources and programming that support student success. However, students who are economically disadvantaged have shown a promising upward trend in graduation rates. Civic engagement and social cohesion are moderate, with relatively strong organizational participation and voter turnout, but social vulnerability remains elevated, particularly for those facing economic, transportation, or housing barriers.</w:t>
                  </w:r>
                </w:p>
                <w:p>
                  <w:pPr>
                    <w:spacing w:before="227" w:after="0" w:line="229" w:lineRule="exact"/>
                    <w:ind w:right="0" w:left="1440" w:firstLine="0"/>
                    <w:jc w:val="left"/>
                    <w:textAlignment w:val="baseline"/>
                    <w:rPr>
                      <w:rFonts w:ascii="Calibri" w:hAnsi="Calibri" w:eastAsia="Calibri"/>
                      <w:b w:val="true"/>
                      <w:color w:val="000000"/>
                      <w:spacing w:val="-4"/>
                      <w:w w:val="100"/>
                      <w:sz w:val="23"/>
                      <w:vertAlign w:val="baseline"/>
                      <w:lang w:val="en-US"/>
                    </w:rPr>
                  </w:pPr>
                  <w:r>
                    <w:rPr>
                      <w:rFonts w:ascii="Calibri" w:hAnsi="Calibri" w:eastAsia="Calibri"/>
                      <w:b w:val="true"/>
                      <w:color w:val="000000"/>
                      <w:spacing w:val="-4"/>
                      <w:w w:val="100"/>
                      <w:sz w:val="23"/>
                      <w:vertAlign w:val="baseline"/>
                      <w:lang w:val="en-US"/>
                    </w:rPr>
                    <w:t xml:space="preserve">Interventions, Strategies, and Disparities</w:t>
                  </w:r>
                </w:p>
                <w:p>
                  <w:pPr>
                    <w:spacing w:before="162"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residents who are older adults, children, of low-income status, and live with a mental health and/or substance use disorder face the greatest health disparities. Yates County Public Health has chosen to submit the Community Health Improvement Plan (CHIP) for June 2026 where more information about specific health disparities will be included. Choose Health Yates and the local hospital, Soldiers and Sailors Memorial Hospital, will continue to work collaboratively in selecting the objectives and interventions for the chosen priorities.</w:t>
                  </w:r>
                </w:p>
                <w:p>
                  <w:pPr>
                    <w:spacing w:before="222" w:after="0" w:line="224" w:lineRule="exact"/>
                    <w:ind w:right="0" w:left="1440" w:firstLine="0"/>
                    <w:jc w:val="left"/>
                    <w:textAlignment w:val="baseline"/>
                    <w:rPr>
                      <w:rFonts w:ascii="Calibri" w:hAnsi="Calibri" w:eastAsia="Calibri"/>
                      <w:b w:val="true"/>
                      <w:color w:val="000000"/>
                      <w:spacing w:val="-5"/>
                      <w:w w:val="100"/>
                      <w:sz w:val="23"/>
                      <w:vertAlign w:val="baseline"/>
                      <w:lang w:val="en-US"/>
                    </w:rPr>
                  </w:pPr>
                  <w:r>
                    <w:rPr>
                      <w:rFonts w:ascii="Calibri" w:hAnsi="Calibri" w:eastAsia="Calibri"/>
                      <w:b w:val="true"/>
                      <w:color w:val="000000"/>
                      <w:spacing w:val="-5"/>
                      <w:w w:val="100"/>
                      <w:sz w:val="23"/>
                      <w:vertAlign w:val="baseline"/>
                      <w:lang w:val="en-US"/>
                    </w:rPr>
                    <w:t xml:space="preserve">Measures and Evaluation</w:t>
                  </w:r>
                </w:p>
                <w:p>
                  <w:pPr>
                    <w:spacing w:before="168" w:after="3854"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Choose Health Yates continues to meet regularly to improve the health of Yates residents and to oversee CHIP implementation. Attendees at these meetings will routinely review the progress of the chosen priorities, objectives, and interventions. Once the interventions have been selected, group members will identify and implement mid-course corrections to interventions and processes. These meetings will serve as continued program evaluation and a means to keep the community and partners apprised of the CHIP progress.</w:t>
                  </w:r>
                </w:p>
              </w:txbxContent>
            </v:textbox>
          </v:shape>
        </w:pict>
      </w:r>
      <w:r>
        <w:pict>
          <v:shapetype id="_x0000_t388" coordsize="21600,21600" o:spt="202" path="m,l,21600r21600,l21600,xe">
            <v:stroke joinstyle="miter"/>
            <v:path gradientshapeok="t" o:connecttype="rect"/>
          </v:shapetype>
          <v:shape id="_x0000_s387" type="#_x0000_t388"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70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89" coordsize="21600,21600" o:spt="202" path="m,l,21600r21600,l21600,xe">
            <v:stroke joinstyle="miter"/>
            <v:path gradientshapeok="t" o:connecttype="rect"/>
          </v:shapetype>
          <v:shape id="_x0000_s388" type="#_x0000_t389" filled="f" stroked="f" style="position:absolute;width:586.3pt;height:48pt;z-index:-1;margin-left:13.7pt;margin-top: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60" w:hRule="exact"/>
                    </w:trPr>
                    <w:tc>
                      <w:tcPr>
                        <w:tcW w:w="1118"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709930" cy="609600"/>
                              <wp:docPr name="Picture" id="98"/>
                              <a:graphic>
                                <a:graphicData uri="http://schemas.openxmlformats.org/drawingml/2006/picture">
                                  <pic:pic>
                                    <pic:nvPicPr>
                                      <pic:cNvPr id="98" name="Picture"/>
                                      <pic:cNvPicPr preferRelativeResize="false"/>
                                    </pic:nvPicPr>
                                    <pic:blipFill>
                                      <a:blip r:embed="prId9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63"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54990" cy="567055"/>
                              <wp:docPr name="Picture" id="99"/>
                              <a:graphic>
                                <a:graphicData uri="http://schemas.openxmlformats.org/drawingml/2006/picture">
                                  <pic:pic>
                                    <pic:nvPicPr>
                                      <pic:cNvPr id="99" name="Picture"/>
                                      <pic:cNvPicPr preferRelativeResize="false"/>
                                    </pic:nvPicPr>
                                    <pic:blipFill>
                                      <a:blip r:embed="prId99"/>
                                      <a:stretch>
                                        <a:fillRect/>
                                      </a:stretch>
                                    </pic:blipFill>
                                    <pic:spPr>
                                      <a:xfrm>
                                        <a:off x="0" y="0"/>
                                        <a:ext cx="554990" cy="567055"/>
                                      </a:xfrm>
                                      <a:prstGeom prst="rect"/>
                                    </pic:spPr>
                                  </pic:pic>
                                </a:graphicData>
                              </a:graphic>
                            </wp:inline>
                          </w:drawing>
                        </w:r>
                      </w:p>
                    </w:tc>
                  </w:tr>
                </w:tbl>
              </w:txbxContent>
            </v:textbox>
          </v:shape>
        </w:pict>
      </w:r>
      <w:r>
        <w:pict>
          <v:shapetype id="_x0000_t390" coordsize="21600,21600" o:spt="202" path="m,l,21600r21600,l21600,xe">
            <v:stroke joinstyle="miter"/>
            <v:path gradientshapeok="t" o:connecttype="rect"/>
          </v:shapetype>
          <v:shape id="_x0000_s389" type="#_x0000_t390" filled="f" stroked="f" style="position:absolute;width:611.5pt;height:34.55pt;z-index:-1;margin-left:0pt;margin-top:93.8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100"/>
                        <a:graphic>
                          <a:graphicData uri="http://schemas.openxmlformats.org/drawingml/2006/picture">
                            <pic:pic>
                              <pic:nvPicPr>
                                <pic:cNvPr id="100" name="Picture"/>
                                <pic:cNvPicPr preferRelativeResize="false"/>
                              </pic:nvPicPr>
                              <pic:blipFill>
                                <a:blip r:embed="prId100"/>
                                <a:stretch>
                                  <a:fillRect/>
                                </a:stretch>
                              </pic:blipFill>
                              <pic:spPr>
                                <a:xfrm>
                                  <a:off x="0" y="0"/>
                                  <a:ext cx="7766050" cy="438785"/>
                                </a:xfrm>
                                <a:prstGeom prst="rect"/>
                              </pic:spPr>
                            </pic:pic>
                          </a:graphicData>
                        </a:graphic>
                      </wp:inline>
                    </w:drawing>
                  </w:r>
                </w:p>
              </w:txbxContent>
            </v:textbox>
          </v:shape>
        </w:pict>
      </w:r>
      <w:r>
        <w:pict>
          <v:shapetype id="_x0000_t391" coordsize="21600,21600" o:spt="202" path="m,l,21600r21600,l21600,xe">
            <v:stroke joinstyle="miter"/>
            <v:path gradientshapeok="t" o:connecttype="rect"/>
          </v:shapetype>
          <v:shape id="_x0000_s390" type="#_x0000_t391" filled="f" stroked="f" style="position:absolute;width:136.35pt;height:16.25pt;z-index:-1;margin-left:237.35pt;margin-top:98.25pt;mso-wrap-distance-left:0pt;mso-wrap-distance-right:0pt;mso-position-horizontal-relative:page;mso-position-vertical-relative:page">
            <w10:wrap type="square" side="both"/>
            <v:fill opacity="1" o:opacity2="1" recolor="f" rotate="f" type="solid"/>
            <v:textbox inset="0pt, 0pt, 0pt, 0pt">
              <w:txbxContent>
                <w:p>
                  <w:pPr>
                    <w:spacing w:before="33" w:after="4" w:line="287" w:lineRule="exact"/>
                    <w:ind w:right="0" w:left="0" w:firstLine="0"/>
                    <w:jc w:val="center"/>
                    <w:textAlignment w:val="baseline"/>
                    <w:rPr>
                      <w:rFonts w:ascii="Calibri" w:hAnsi="Calibri" w:eastAsia="Calibri"/>
                      <w:b w:val="true"/>
                      <w:color w:val="FFFFFF"/>
                      <w:spacing w:val="-6"/>
                      <w:w w:val="100"/>
                      <w:sz w:val="28"/>
                      <w:vertAlign w:val="baseline"/>
                      <w:lang w:val="en-US"/>
                    </w:rPr>
                  </w:pPr>
                  <w:r>
                    <w:rPr>
                      <w:rFonts w:ascii="Calibri" w:hAnsi="Calibri" w:eastAsia="Calibri"/>
                      <w:b w:val="true"/>
                      <w:color w:val="FFFFFF"/>
                      <w:spacing w:val="-6"/>
                      <w:w w:val="100"/>
                      <w:sz w:val="28"/>
                      <w:vertAlign w:val="baseline"/>
                      <w:lang w:val="en-US"/>
                    </w:rPr>
                    <w:t xml:space="preserve">Community Description</w:t>
                  </w:r>
                </w:p>
              </w:txbxContent>
            </v:textbox>
          </v:shape>
        </w:pict>
      </w:r>
      <w:r>
        <w:pict>
          <v:shapetype id="_x0000_t392" coordsize="21600,21600" o:spt="202" path="m,l,21600r21600,l21600,xe">
            <v:stroke joinstyle="miter"/>
            <v:path gradientshapeok="t" o:connecttype="rect"/>
          </v:shapetype>
          <v:shape id="_x0000_s391" type="#_x0000_t392" filled="f" stroked="f" style="position:absolute;width:612pt;height:577.3pt;z-index:-1;margin-left:0pt;margin-top:139.55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1440" w:firstLine="0"/>
                    <w:jc w:val="left"/>
                    <w:textAlignment w:val="baseline"/>
                    <w:rPr>
                      <w:rFonts w:ascii="Calibri" w:hAnsi="Calibri" w:eastAsia="Calibri"/>
                      <w:b w:val="true"/>
                      <w:color w:val="000000"/>
                      <w:spacing w:val="-1"/>
                      <w:w w:val="100"/>
                      <w:sz w:val="28"/>
                      <w:vertAlign w:val="baseline"/>
                      <w:lang w:val="en-US"/>
                    </w:rPr>
                  </w:pPr>
                  <w:r>
                    <w:rPr>
                      <w:rFonts w:ascii="Calibri" w:hAnsi="Calibri" w:eastAsia="Calibri"/>
                      <w:b w:val="true"/>
                      <w:color w:val="000000"/>
                      <w:spacing w:val="-1"/>
                      <w:w w:val="100"/>
                      <w:sz w:val="28"/>
                      <w:vertAlign w:val="baseline"/>
                      <w:lang w:val="en-US"/>
                    </w:rPr>
                    <w:t xml:space="preserve">Service Area</w:t>
                  </w:r>
                </w:p>
                <w:p>
                  <w:pPr>
                    <w:spacing w:before="174"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is a small, predominantly rural county located in the Finger Lakes region of New York State, covering approximately 376 square miles. The service area encompasses a mix of village centers, lakeside communities, and widely dispersed agricultural areas. With one of the smallest populations in the state, the county is characterized by low population density, limited public transportation, and long travel distances to healthcare and social services. The community includes a growing older-adult population, families living in or near poverty, and several culturally distinct groups, including a sizable Amish and Mennonite population whose health needs, access patterns, and service utilization differ from the general population.</w:t>
                  </w:r>
                </w:p>
                <w:p>
                  <w:pPr>
                    <w:spacing w:before="160"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Healthcare services within the county are provided primarily by a small number of clinics, primary care practices, and one critical access hospital, with many residents traveling outside the county for specialty care, behavioral health services, and advanced medical treatment. Economic conditions, geographic isolation, seasonal employment, and transportation barriers all shape the community’s health needs and influence how residents access care.</w:t>
                  </w:r>
                </w:p>
                <w:p>
                  <w:pPr>
                    <w:spacing w:before="163"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Overall, the Yates County service area reflects the unique challenges and strengths of a rural community—tight-knit and resourceful, yet facing persistent barriers related to access, affordability, and availability of healthcare and support services.</w:t>
                  </w:r>
                </w:p>
                <w:p>
                  <w:pPr>
                    <w:spacing w:before="236" w:after="0" w:line="287"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Demographic Summary</w:t>
                  </w:r>
                </w:p>
                <w:p>
                  <w:pPr>
                    <w:spacing w:before="169" w:after="367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Demographic information is essential in public and community health as it identifies who lives in a community, how their needs differ, and where health disparities exist. By understanding factors such as age, race, income, education, and poverty, organizations can target resources, design effective programs, and allocate funding where it will have the greatest impact. Demographic data provides the foundation for equitable planning, informed decision-making, and improved health outcomes for all community members.</w:t>
                  </w:r>
                </w:p>
              </w:txbxContent>
            </v:textbox>
          </v:shape>
        </w:pict>
      </w:r>
      <w:r>
        <w:pict>
          <v:shapetype id="_x0000_t393" coordsize="21600,21600" o:spt="202" path="m,l,21600r21600,l21600,xe">
            <v:stroke joinstyle="miter"/>
            <v:path gradientshapeok="t" o:connecttype="rect"/>
          </v:shapetype>
          <v:shape id="_x0000_s392" type="#_x0000_t39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71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1.5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319" w:top="18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94" coordsize="21600,21600" o:spt="202" path="m,l,21600r21600,l21600,xe">
            <v:stroke joinstyle="miter"/>
            <v:path gradientshapeok="t" o:connecttype="rect"/>
          </v:shapetype>
          <v:shape id="_x0000_s393" type="#_x0000_t394" filled="f" stroked="f" style="position:absolute;width:344.4pt;height:254pt;z-index:-1;margin-left:266.65pt;margin-top:92.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395" coordsize="21600,21600" o:spt="202" path="m,l,21600r21600,l21600,xe">
            <v:stroke joinstyle="miter"/>
            <v:path gradientshapeok="t" o:connecttype="rect"/>
          </v:shapetype>
          <v:shape id="_x0000_s394" type="#_x0000_t395"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3"/>
                    <w:gridCol w:w="9739"/>
                    <w:gridCol w:w="874"/>
                  </w:tblGrid>
                  <w:tr>
                    <w:trPr>
                      <w:trHeight w:val="988" w:hRule="exact"/>
                    </w:trPr>
                    <w:tc>
                      <w:tcPr>
                        <w:tcW w:w="1113"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6755" cy="609600"/>
                              <wp:docPr name="Picture" id="101"/>
                              <a:graphic>
                                <a:graphicData uri="http://schemas.openxmlformats.org/drawingml/2006/picture">
                                  <pic:pic>
                                    <pic:nvPicPr>
                                      <pic:cNvPr id="101" name="Picture"/>
                                      <pic:cNvPicPr preferRelativeResize="false"/>
                                    </pic:nvPicPr>
                                    <pic:blipFill>
                                      <a:blip r:embed="prId101"/>
                                      <a:stretch>
                                        <a:fillRect/>
                                      </a:stretch>
                                    </pic:blipFill>
                                    <pic:spPr>
                                      <a:xfrm>
                                        <a:off x="0" y="0"/>
                                        <a:ext cx="706755" cy="609600"/>
                                      </a:xfrm>
                                      <a:prstGeom prst="rect"/>
                                    </pic:spPr>
                                  </pic:pic>
                                </a:graphicData>
                              </a:graphic>
                            </wp:inline>
                          </w:drawing>
                        </w:r>
                      </w:p>
                    </w:tc>
                    <w:tc>
                      <w:tcPr>
                        <w:tcW w:w="9739"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02"/>
                              <a:graphic>
                                <a:graphicData uri="http://schemas.openxmlformats.org/drawingml/2006/picture">
                                  <pic:pic>
                                    <pic:nvPicPr>
                                      <pic:cNvPr id="102" name="Picture"/>
                                      <pic:cNvPicPr preferRelativeResize="false"/>
                                    </pic:nvPicPr>
                                    <pic:blipFill>
                                      <a:blip r:embed="prId102"/>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396" coordsize="21600,21600" o:spt="202" path="m,l,21600r21600,l21600,xe">
            <v:stroke joinstyle="miter"/>
            <v:path gradientshapeok="t" o:connecttype="rect"/>
          </v:shapetype>
          <v:shape id="_x0000_s395" type="#_x0000_t396" filled="f" stroked="f" style="position:absolute;width:185pt;height:336.9pt;z-index:1;margin-left:72pt;margin-top:72.05pt;mso-wrap-distance-left:0pt;mso-wrap-distance-right:0pt;mso-position-horizontal-relative:page;mso-position-vertical-relative:page">
            <w10:wrap anchorx="page" anchory="page"/>
            <v:fill opacity="1" o:opacity2="1" recolor="f" rotate="f" type="solid"/>
            <v:textbox inset="0pt, 0pt, 0pt, 0pt">
              <w:txbxContent>
                <w:p>
                  <w:pPr>
                    <w:spacing w:before="27" w:after="0" w:line="246" w:lineRule="exact"/>
                    <w:ind w:right="0" w:left="0" w:firstLine="0"/>
                    <w:jc w:val="left"/>
                    <w:textAlignment w:val="baseline"/>
                    <w:rPr>
                      <w:rFonts w:ascii="Calibri" w:hAnsi="Calibri" w:eastAsia="Calibri"/>
                      <w:b w:val="true"/>
                      <w:color w:val="000000"/>
                      <w:spacing w:val="-2"/>
                      <w:w w:val="100"/>
                      <w:sz w:val="24"/>
                      <w:vertAlign w:val="baseline"/>
                      <w:lang w:val="en-US"/>
                    </w:rPr>
                  </w:pPr>
                  <w:r>
                    <w:rPr>
                      <w:rFonts w:ascii="Calibri" w:hAnsi="Calibri" w:eastAsia="Calibri"/>
                      <w:b w:val="true"/>
                      <w:color w:val="000000"/>
                      <w:spacing w:val="-2"/>
                      <w:w w:val="100"/>
                      <w:sz w:val="24"/>
                      <w:vertAlign w:val="baseline"/>
                      <w:lang w:val="en-US"/>
                    </w:rPr>
                    <w:t xml:space="preserve">Population</w:t>
                  </w:r>
                </w:p>
                <w:p>
                  <w:pPr>
                    <w:spacing w:before="173" w:after="0" w:line="289" w:lineRule="exact"/>
                    <w:ind w:right="0" w:left="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Yates County is in the heart of the Finger Lakes Region and is bordered by Steuben, Seneca, Ontario, and Schuyler counties. While Yates County includes parts of Canandaigua Lake and Seneca Lake, it is home to the popular Keuka Lake. The beautiful scenery, agriculture, and recreational water activities make it an ideal vacation spot for tourists from April to October. There are 24,774 residents across Yates County, with the densest population areas in Penn Yan and Dundee, as shown in Map Y1. The county is considered very rural, with 68.6% of residents living outside population-dense areas.</w:t>
                  </w:r>
                  <w:r>
                    <w:rPr>
                      <w:rFonts w:ascii="Calibri" w:hAnsi="Calibri" w:eastAsia="Calibri"/>
                      <w:color w:val="000000"/>
                      <w:spacing w:val="-1"/>
                      <w:w w:val="100"/>
                      <w:sz w:val="22"/>
                      <w:vertAlign w:val="superscript"/>
                      <w:lang w:val="en-US"/>
                    </w:rPr>
                    <w:t xml:space="preserve">31</w:t>
                  </w:r>
                  <w:r>
                    <w:rPr>
                      <w:rFonts w:ascii="Calibri" w:hAnsi="Calibri" w:eastAsia="Calibri"/>
                      <w:color w:val="000000"/>
                      <w:spacing w:val="-1"/>
                      <w:w w:val="100"/>
                      <w:sz w:val="22"/>
                      <w:vertAlign w:val="baseline"/>
                      <w:lang w:val="en-US"/>
                    </w:rPr>
                    <w:t xml:space="preserve"> The population of Yates County is expected to hold relatively steady over the next decade before increasing. (Figure Y1)</w:t>
                  </w:r>
                </w:p>
                <w:p>
                  <w:pPr>
                    <w:spacing w:before="309" w:after="297" w:line="180"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Figure Y1: Population Projections- Yates County</w:t>
                  </w:r>
                </w:p>
              </w:txbxContent>
            </v:textbox>
          </v:shape>
        </w:pict>
      </w:r>
      <w:r>
        <w:pict>
          <v:shapetype id="_x0000_t397" coordsize="21600,21600" o:spt="202" path="m,l,21600r21600,l21600,xe">
            <v:stroke joinstyle="miter"/>
            <v:path gradientshapeok="t" o:connecttype="rect"/>
          </v:shapetype>
          <v:shape id="_x0000_s396" type="#_x0000_t397" filled="f" stroked="f" style="position:absolute;width:344.4pt;height:250.8pt;z-index:-1;margin-left:266.65pt;margin-top:94.8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373880" cy="3185160"/>
                        <wp:docPr name="Picture" id="103"/>
                        <a:graphic>
                          <a:graphicData uri="http://schemas.openxmlformats.org/drawingml/2006/picture">
                            <pic:pic>
                              <pic:nvPicPr>
                                <pic:cNvPr id="103" name="Picture"/>
                                <pic:cNvPicPr preferRelativeResize="false"/>
                              </pic:nvPicPr>
                              <pic:blipFill>
                                <a:blip r:embed="prId103"/>
                                <a:stretch>
                                  <a:fillRect/>
                                </a:stretch>
                              </pic:blipFill>
                              <pic:spPr>
                                <a:xfrm>
                                  <a:off x="0" y="0"/>
                                  <a:ext cx="4373880" cy="3185160"/>
                                </a:xfrm>
                                <a:prstGeom prst="rect"/>
                              </pic:spPr>
                            </pic:pic>
                          </a:graphicData>
                        </a:graphic>
                      </wp:inline>
                    </w:drawing>
                  </w: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158.9pt;height:10.2pt;z-index:-1;margin-left:267.35pt;margin-top:92.5pt;mso-wrap-distance-left:0pt;mso-wrap-distance-right:0pt;mso-position-horizontal-relative:page;mso-position-vertical-relative:page">
            <w10:wrap type="square" side="both"/>
            <v:fill opacity="1" o:opacity2="1" recolor="f" rotate="f" type="solid"/>
            <v:textbox inset="0pt, 0pt, 0pt, 0pt">
              <w:txbxContent>
                <w:p>
                  <w:pPr>
                    <w:spacing w:before="20" w:after="0" w:line="174" w:lineRule="exact"/>
                    <w:ind w:right="0" w:left="0" w:firstLine="0"/>
                    <w:jc w:val="left"/>
                    <w:textAlignment w:val="baseline"/>
                    <w:rPr>
                      <w:rFonts w:ascii="Calibri" w:hAnsi="Calibri" w:eastAsia="Calibri"/>
                      <w:i w:val="true"/>
                      <w:color w:val="0E2841"/>
                      <w:spacing w:val="-3"/>
                      <w:w w:val="100"/>
                      <w:sz w:val="18"/>
                      <w:vertAlign w:val="baseline"/>
                      <w:lang w:val="en-US"/>
                    </w:rPr>
                  </w:pPr>
                  <w:r>
                    <w:rPr>
                      <w:rFonts w:ascii="Calibri" w:hAnsi="Calibri" w:eastAsia="Calibri"/>
                      <w:i w:val="true"/>
                      <w:color w:val="0E2841"/>
                      <w:spacing w:val="-3"/>
                      <w:w w:val="100"/>
                      <w:sz w:val="18"/>
                      <w:vertAlign w:val="baseline"/>
                      <w:lang w:val="en-US"/>
                    </w:rPr>
                    <w:t xml:space="preserve">Map Y1: Population Density of Yates County</w:t>
                  </w:r>
                </w:p>
              </w:txbxContent>
            </v:textbox>
          </v:shape>
        </w:pict>
      </w:r>
      <w:r>
        <w:pict>
          <v:shapetype id="_x0000_t399" coordsize="21600,21600" o:spt="202" path="m,l,21600r21600,l21600,xe">
            <v:stroke joinstyle="miter"/>
            <v:path gradientshapeok="t" o:connecttype="rect"/>
          </v:shapetype>
          <v:shape id="_x0000_s398" type="#_x0000_t399" filled="f" stroked="f" style="position:absolute;width:265.65pt;height:10.25pt;z-index:-1;margin-left:266.9pt;margin-top:335.35pt;mso-wrap-distance-left:0pt;mso-wrap-distance-right:0pt;mso-position-horizontal-relative:page;mso-position-vertical-relative:page">
            <w10:wrap type="square" side="both"/>
            <v:fill opacity="1" o:opacity2="1" recolor="f" rotate="f" type="solid"/>
            <v:textbox inset="0pt, 0pt, 0pt, 0pt">
              <w:txbxContent>
                <w:p>
                  <w:pPr>
                    <w:spacing w:before="20" w:after="5" w:line="180" w:lineRule="exact"/>
                    <w:ind w:right="0" w:left="0" w:firstLine="0"/>
                    <w:jc w:val="left"/>
                    <w:textAlignment w:val="baseline"/>
                    <w:rPr>
                      <w:rFonts w:ascii="Calibri" w:hAnsi="Calibri" w:eastAsia="Calibri"/>
                      <w:i w:val="true"/>
                      <w:color w:val="0E2841"/>
                      <w:spacing w:val="-2"/>
                      <w:w w:val="100"/>
                      <w:sz w:val="18"/>
                      <w:vertAlign w:val="baseline"/>
                      <w:lang w:val="en-US"/>
                    </w:rPr>
                  </w:pPr>
                  <w:r>
                    <w:rPr>
                      <w:rFonts w:ascii="Calibri" w:hAnsi="Calibri" w:eastAsia="Calibri"/>
                      <w:i w:val="true"/>
                      <w:color w:val="0E2841"/>
                      <w:spacing w:val="-2"/>
                      <w:w w:val="100"/>
                      <w:sz w:val="18"/>
                      <w:vertAlign w:val="baseline"/>
                      <w:lang w:val="en-US"/>
                    </w:rPr>
                    <w:t xml:space="preserve">Source: Cornell Program on Applied Demographics 2024; US Census 2020</w:t>
                  </w:r>
                </w:p>
              </w:txbxContent>
            </v:textbox>
          </v:shape>
        </w:pict>
      </w:r>
      <w:r>
        <w:pict>
          <v:shapetype id="_x0000_t400" coordsize="21600,21600" o:spt="202" path="m,l,21600r21600,l21600,xe">
            <v:stroke joinstyle="miter"/>
            <v:path gradientshapeok="t" o:connecttype="rect"/>
          </v:shapetype>
          <v:shape id="_x0000_s399" type="#_x0000_t400" filled="f" stroked="f" style="position:absolute;width:459.35pt;height:239.75pt;z-index:-1;margin-left:76.1pt;margin-top:408.9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5833745" cy="3044825"/>
                        <wp:docPr name="Picture" id="104"/>
                        <a:graphic>
                          <a:graphicData uri="http://schemas.openxmlformats.org/drawingml/2006/picture">
                            <pic:pic>
                              <pic:nvPicPr>
                                <pic:cNvPr id="104" name="Picture"/>
                                <pic:cNvPicPr preferRelativeResize="false"/>
                              </pic:nvPicPr>
                              <pic:blipFill>
                                <a:blip r:embed="prId104"/>
                                <a:stretch>
                                  <a:fillRect/>
                                </a:stretch>
                              </pic:blipFill>
                              <pic:spPr>
                                <a:xfrm>
                                  <a:off x="0" y="0"/>
                                  <a:ext cx="5833745" cy="3044825"/>
                                </a:xfrm>
                                <a:prstGeom prst="rect"/>
                              </pic:spPr>
                            </pic:pic>
                          </a:graphicData>
                        </a:graphic>
                      </wp:inline>
                    </w:drawing>
                  </w:r>
                </w:p>
              </w:txbxContent>
            </v:textbox>
          </v:shape>
        </w:pict>
      </w:r>
      <w:r>
        <w:pict>
          <v:shapetype id="_x0000_t401" coordsize="21600,21600" o:spt="202" path="m,l,21600r21600,l21600,xe">
            <v:stroke joinstyle="miter"/>
            <v:path gradientshapeok="t" o:connecttype="rect"/>
          </v:shapetype>
          <v:shape id="_x0000_s400" type="#_x0000_t401" filled="f" stroked="f" style="position:absolute;width:210.75pt;height:16.25pt;z-index:-1;margin-left:201.1pt;margin-top:417.2pt;mso-wrap-distance-left:0pt;mso-wrap-distance-right:0pt;mso-position-horizontal-relative:page;mso-position-vertical-relative:page">
            <w10:wrap type="square" side="both"/>
            <v:fill opacity="1" o:opacity2="1" recolor="f" rotate="f" type="solid"/>
            <v:textbox inset="0pt, 0pt, 0pt, 0pt">
              <w:txbxContent>
                <w:p>
                  <w:pPr>
                    <w:spacing w:before="33" w:after="4" w:line="287" w:lineRule="exact"/>
                    <w:ind w:right="0" w:left="0" w:firstLine="0"/>
                    <w:jc w:val="center"/>
                    <w:textAlignment w:val="baseline"/>
                    <w:rPr>
                      <w:rFonts w:ascii="Calibri" w:hAnsi="Calibri" w:eastAsia="Calibri"/>
                      <w:color w:val="585858"/>
                      <w:spacing w:val="-5"/>
                      <w:w w:val="100"/>
                      <w:sz w:val="28"/>
                      <w:vertAlign w:val="baseline"/>
                      <w:lang w:val="en-US"/>
                    </w:rPr>
                  </w:pPr>
                  <w:r>
                    <w:rPr>
                      <w:rFonts w:ascii="Calibri" w:hAnsi="Calibri" w:eastAsia="Calibri"/>
                      <w:color w:val="585858"/>
                      <w:spacing w:val="-5"/>
                      <w:w w:val="100"/>
                      <w:sz w:val="28"/>
                      <w:vertAlign w:val="baseline"/>
                      <w:lang w:val="en-US"/>
                    </w:rPr>
                    <w:t xml:space="preserve">Population Projections - Yates County</w:t>
                  </w:r>
                </w:p>
              </w:txbxContent>
            </v:textbox>
          </v:shape>
        </w:pict>
      </w:r>
      <w:r>
        <w:pict>
          <v:shapetype id="_x0000_t402" coordsize="21600,21600" o:spt="202" path="m,l,21600r21600,l21600,xe">
            <v:stroke joinstyle="miter"/>
            <v:path gradientshapeok="t" o:connecttype="rect"/>
          </v:shapetype>
          <v:shape id="_x0000_s401" type="#_x0000_t402" filled="f" stroked="f" style="position:absolute;width:34.15pt;height:28.45pt;z-index:-1;margin-left:78.55pt;margin-top:422.5pt;mso-wrap-distance-left:0pt;mso-wrap-distance-right:0pt;mso-position-horizontal-relative:page;mso-position-vertical-relative:page">
            <w10:wrap type="square" side="both"/>
            <v:fill opacity="1" o:opacity2="1" recolor="f" rotate="f" type="solid"/>
            <v:textbox inset="0pt, 0pt, 0pt, 0pt">
              <w:txbxContent>
                <w:p>
                  <w:pPr>
                    <w:spacing w:before="385"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25,100</w:t>
                  </w:r>
                </w:p>
              </w:txbxContent>
            </v:textbox>
          </v:shape>
        </w:pict>
      </w:r>
      <w:r>
        <w:pict>
          <v:shapetype id="_x0000_t403" coordsize="21600,21600" o:spt="202" path="m,l,21600r21600,l21600,xe">
            <v:stroke joinstyle="miter"/>
            <v:path gradientshapeok="t" o:connecttype="rect"/>
          </v:shapetype>
          <v:shape id="_x0000_s402" type="#_x0000_t403" filled="f" stroked="f" style="position:absolute;width:34.15pt;height:28.35pt;z-index:-1;margin-left:78.55pt;margin-top:450.95pt;mso-wrap-distance-left:0pt;mso-wrap-distance-right:0pt;mso-position-horizontal-relative:page;mso-position-vertical-relative:page">
            <w10:wrap type="square" side="both"/>
            <v:fill opacity="1" o:opacity2="1" recolor="f" rotate="f" type="solid"/>
            <v:textbox inset="0pt, 0pt, 0pt, 0pt">
              <w:txbxContent>
                <w:p>
                  <w:pPr>
                    <w:spacing w:before="382"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25,000</w:t>
                  </w:r>
                </w:p>
              </w:txbxContent>
            </v:textbox>
          </v:shape>
        </w:pict>
      </w:r>
      <w:r>
        <w:pict>
          <v:shapetype id="_x0000_t404" coordsize="21600,21600" o:spt="202" path="m,l,21600r21600,l21600,xe">
            <v:stroke joinstyle="miter"/>
            <v:path gradientshapeok="t" o:connecttype="rect"/>
          </v:shapetype>
          <v:shape id="_x0000_s403" type="#_x0000_t404" filled="f" stroked="f" style="position:absolute;width:34.15pt;height:28.05pt;z-index:-1;margin-left:78.55pt;margin-top:479.3pt;mso-wrap-distance-left:0pt;mso-wrap-distance-right:0pt;mso-position-horizontal-relative:page;mso-position-vertical-relative:page">
            <w10:wrap type="square" side="both"/>
            <v:fill opacity="1" o:opacity2="1" recolor="f" rotate="f" type="solid"/>
            <v:textbox inset="0pt, 0pt, 0pt, 0pt">
              <w:txbxContent>
                <w:p>
                  <w:pPr>
                    <w:spacing w:before="377" w:after="0" w:line="17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24,900</w:t>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34.15pt;height:28.35pt;z-index:-1;margin-left:78.55pt;margin-top:507.35pt;mso-wrap-distance-left:0pt;mso-wrap-distance-right:0pt;mso-position-horizontal-relative:page;mso-position-vertical-relative:page">
            <w10:wrap type="square" side="both"/>
            <v:fill opacity="1" o:opacity2="1" recolor="f" rotate="f" type="solid"/>
            <v:textbox inset="0pt, 0pt, 0pt, 0pt">
              <w:txbxContent>
                <w:p>
                  <w:pPr>
                    <w:spacing w:before="382" w:after="4"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24,800</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34.15pt;height:28.05pt;z-index:-1;margin-left:78.55pt;margin-top:535.7pt;mso-wrap-distance-left:0pt;mso-wrap-distance-right:0pt;mso-position-horizontal-relative:page;mso-position-vertical-relative:page">
            <w10:wrap type="square" side="both"/>
            <v:fill opacity="1" o:opacity2="1" recolor="f" rotate="f" type="solid"/>
            <v:textbox inset="0pt, 0pt, 0pt, 0pt">
              <w:txbxContent>
                <w:p>
                  <w:pPr>
                    <w:spacing w:before="377" w:after="0" w:line="16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24,700</w:t>
                  </w:r>
                </w:p>
              </w:txbxContent>
            </v:textbox>
          </v:shape>
        </w:pict>
      </w:r>
      <w:r>
        <w:pict>
          <v:shapetype id="_x0000_t407" coordsize="21600,21600" o:spt="202" path="m,l,21600r21600,l21600,xe">
            <v:stroke joinstyle="miter"/>
            <v:path gradientshapeok="t" o:connecttype="rect"/>
          </v:shapetype>
          <v:shape id="_x0000_s406" type="#_x0000_t407" filled="f" stroked="f" style="position:absolute;width:34.15pt;height:28.35pt;z-index:-1;margin-left:78.55pt;margin-top:563.75pt;mso-wrap-distance-left:0pt;mso-wrap-distance-right:0pt;mso-position-horizontal-relative:page;mso-position-vertical-relative:page">
            <w10:wrap type="square" side="both"/>
            <v:fill opacity="1" o:opacity2="1" recolor="f" rotate="f" type="solid"/>
            <v:textbox inset="0pt, 0pt, 0pt, 0pt">
              <w:txbxContent>
                <w:p>
                  <w:pPr>
                    <w:spacing w:before="382"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24,600</w:t>
                  </w:r>
                </w:p>
              </w:txbxContent>
            </v:textbox>
          </v:shape>
        </w:pict>
      </w:r>
      <w:r>
        <w:pict>
          <v:shapetype id="_x0000_t408" coordsize="21600,21600" o:spt="202" path="m,l,21600r21600,l21600,xe">
            <v:stroke joinstyle="miter"/>
            <v:path gradientshapeok="t" o:connecttype="rect"/>
          </v:shapetype>
          <v:shape id="_x0000_s407" type="#_x0000_t408" filled="f" stroked="f" style="position:absolute;width:34.15pt;height:28.05pt;z-index:-1;margin-left:78.55pt;margin-top:592.1pt;mso-wrap-distance-left:0pt;mso-wrap-distance-right:0pt;mso-position-horizontal-relative:page;mso-position-vertical-relative:page">
            <w10:wrap type="square" side="both"/>
            <v:fill opacity="1" o:opacity2="1" recolor="f" rotate="f" type="solid"/>
            <v:textbox inset="0pt, 0pt, 0pt, 0pt">
              <w:txbxContent>
                <w:p>
                  <w:pPr>
                    <w:spacing w:before="377"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24,500</w:t>
                  </w:r>
                </w:p>
              </w:txbxContent>
            </v:textbox>
          </v:shape>
        </w:pict>
      </w:r>
      <w:r>
        <w:pict>
          <v:shapetype id="_x0000_t409" coordsize="21600,21600" o:spt="202" path="m,l,21600r21600,l21600,xe">
            <v:stroke joinstyle="miter"/>
            <v:path gradientshapeok="t" o:connecttype="rect"/>
          </v:shapetype>
          <v:shape id="_x0000_s408" type="#_x0000_t409" filled="f" stroked="f" style="position:absolute;width:612pt;height:42.2pt;z-index:1;margin-left:0pt;margin-top:654.1pt;mso-wrap-distance-left:0pt;mso-wrap-distance-right:0pt;mso-position-horizontal-relative:page;mso-position-vertical-relative:page">
            <w10:wrap anchorx="page" anchory="page"/>
            <v:fill opacity="1" o:opacity2="1" recolor="f" rotate="f" type="solid"/>
            <v:textbox inset="0pt, 0pt, 0pt, 0pt">
              <w:txbxContent>
                <w:p>
                  <w:pPr>
                    <w:spacing w:before="20" w:after="642"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Cornell Program on Applied Demographics</w:t>
                  </w:r>
                </w:p>
              </w:txbxContent>
            </v:textbox>
          </v:shape>
        </w:pict>
      </w:r>
      <w:r>
        <w:pict>
          <v:shapetype id="_x0000_t410" coordsize="21600,21600" o:spt="202" path="m,l,21600r21600,l21600,xe">
            <v:stroke joinstyle="miter"/>
            <v:path gradientshapeok="t" o:connecttype="rect"/>
          </v:shapetype>
          <v:shape id="_x0000_s409" type="#_x0000_t410" filled="f" stroked="f" style="position:absolute;width:612pt;height:20.55pt;z-index:1;margin-left:0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3" w:after="58"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31</w:t>
                  </w:r>
                  <w:r>
                    <w:rPr>
                      <w:rFonts w:ascii="Calibri" w:hAnsi="Calibri" w:eastAsia="Calibri"/>
                      <w:color w:val="000000"/>
                      <w:spacing w:val="0"/>
                      <w:w w:val="100"/>
                      <w:sz w:val="20"/>
                      <w:vertAlign w:val="baseline"/>
                      <w:lang w:val="en-US"/>
                    </w:rPr>
                    <w:t xml:space="preserve"> Source: County Health Rankings, U.S. Census</w:t>
                  </w:r>
                </w:p>
              </w:txbxContent>
            </v:textbox>
          </v:shape>
        </w:pict>
      </w:r>
      <w:r>
        <w:pict>
          <v:shapetype id="_x0000_t411" coordsize="21600,21600" o:spt="202" path="m,l,21600r21600,l21600,xe">
            <v:stroke joinstyle="miter"/>
            <v:path gradientshapeok="t" o:connecttype="rect"/>
          </v:shapetype>
          <v:shape id="_x0000_s410" type="#_x0000_t411"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72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228" w:after="0" w:line="246" w:lineRule="exact"/>
        <w:ind w:right="0" w:left="1440" w:firstLine="0"/>
        <w:jc w:val="left"/>
        <w:textAlignment w:val="baseline"/>
        <w:rPr>
          <w:rFonts w:ascii="Calibri" w:hAnsi="Calibri" w:eastAsia="Calibri"/>
          <w:b w:val="true"/>
          <w:color w:val="000000"/>
          <w:spacing w:val="0"/>
          <w:w w:val="100"/>
          <w:sz w:val="24"/>
          <w:vertAlign w:val="baseline"/>
          <w:lang w:val="en-US"/>
        </w:rPr>
      </w:pPr>
      <w:r>
        <w:pict>
          <v:shapetype id="_x0000_t412" coordsize="21600,21600" o:spt="202" path="m,l,21600r21600,l21600,xe">
            <v:stroke joinstyle="miter"/>
            <v:path gradientshapeok="t" o:connecttype="rect"/>
          </v:shapetype>
          <v:shape id="_x0000_s411" type="#_x0000_t412"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13"/>
                    <w:gridCol w:w="9739"/>
                    <w:gridCol w:w="874"/>
                  </w:tblGrid>
                  <w:tr>
                    <w:trPr>
                      <w:trHeight w:val="988" w:hRule="exact"/>
                    </w:trPr>
                    <w:tc>
                      <w:tcPr>
                        <w:tcW w:w="1113"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6755" cy="609600"/>
                              <wp:docPr name="Picture" id="105"/>
                              <a:graphic>
                                <a:graphicData uri="http://schemas.openxmlformats.org/drawingml/2006/picture">
                                  <pic:pic>
                                    <pic:nvPicPr>
                                      <pic:cNvPr id="105" name="Picture"/>
                                      <pic:cNvPicPr preferRelativeResize="false"/>
                                    </pic:nvPicPr>
                                    <pic:blipFill>
                                      <a:blip r:embed="prId105"/>
                                      <a:stretch>
                                        <a:fillRect/>
                                      </a:stretch>
                                    </pic:blipFill>
                                    <pic:spPr>
                                      <a:xfrm>
                                        <a:off x="0" y="0"/>
                                        <a:ext cx="706755" cy="609600"/>
                                      </a:xfrm>
                                      <a:prstGeom prst="rect"/>
                                    </pic:spPr>
                                  </pic:pic>
                                </a:graphicData>
                              </a:graphic>
                            </wp:inline>
                          </w:drawing>
                        </w:r>
                      </w:p>
                    </w:tc>
                    <w:tc>
                      <w:tcPr>
                        <w:tcW w:w="9739"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06"/>
                              <a:graphic>
                                <a:graphicData uri="http://schemas.openxmlformats.org/drawingml/2006/picture">
                                  <pic:pic>
                                    <pic:nvPicPr>
                                      <pic:cNvPr id="106" name="Picture"/>
                                      <pic:cNvPicPr preferRelativeResize="false"/>
                                    </pic:nvPicPr>
                                    <pic:blipFill>
                                      <a:blip r:embed="prId106"/>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000000"/>
          <w:spacing w:val="0"/>
          <w:w w:val="100"/>
          <w:sz w:val="24"/>
          <w:vertAlign w:val="baseline"/>
          <w:lang w:val="en-US"/>
        </w:rPr>
        <w:t xml:space="preserve">Age and Sex</w:t>
      </w:r>
    </w:p>
    <w:p>
      <w:pPr>
        <w:spacing w:before="0" w:after="62" w:line="196" w:lineRule="exact"/>
        <w:ind w:right="0" w:left="5832" w:firstLine="0"/>
        <w:jc w:val="left"/>
        <w:textAlignment w:val="baseline"/>
        <w:rPr>
          <w:rFonts w:ascii="Calibri" w:hAnsi="Calibri" w:eastAsia="Calibri"/>
          <w:i w:val="true"/>
          <w:color w:val="000000"/>
          <w:spacing w:val="3"/>
          <w:w w:val="100"/>
          <w:sz w:val="19"/>
          <w:vertAlign w:val="baseline"/>
          <w:lang w:val="en-US"/>
        </w:rPr>
      </w:pPr>
      <w:r>
        <w:rPr>
          <w:rFonts w:ascii="Calibri" w:hAnsi="Calibri" w:eastAsia="Calibri"/>
          <w:i w:val="true"/>
          <w:color w:val="000000"/>
          <w:spacing w:val="3"/>
          <w:w w:val="100"/>
          <w:sz w:val="19"/>
          <w:vertAlign w:val="baseline"/>
          <w:lang w:val="en-US"/>
        </w:rPr>
        <w:t xml:space="preserve">Figure Y2: Population by Age and Sex</w:t>
      </w:r>
    </w:p>
    <w:tbl>
      <w:tblPr>
        <w:jc w:val="left"/>
        <w:tblLayout w:type="fixed"/>
        <w:tblCellMar>
          <w:left w:w="0" w:type="dxa"/>
          <w:right w:w="0" w:type="dxa"/>
        </w:tblCellMar>
      </w:tblPr>
      <w:tblGrid>
        <w:gridCol w:w="5813"/>
        <w:gridCol w:w="6427"/>
      </w:tblGrid>
      <w:tr>
        <w:trPr>
          <w:trHeight w:val="4584" w:hRule="exact"/>
        </w:trPr>
        <w:tc>
          <w:tcPr>
            <w:tcW w:w="5813" w:type="dxa"/>
            <w:vMerge w:val="restart"/>
            <w:tcBorders>
              <w:top w:val="none"/>
              <w:left w:val="none"/>
              <w:bottom w:val="none"/>
              <w:right w:val="none"/>
            </w:tcBorders>
            <w:textDirection w:val="lrTb"/>
            <w:vAlign w:val="top"/>
          </w:tcPr>
          <w:p>
            <w:pPr>
              <w:spacing w:before="0" w:after="0" w:line="279" w:lineRule="exact"/>
              <w:ind w:right="21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 better understand health needs, it is important to know the sex and age make-up of a community. Figure Y2 shows the number of county residents by sex and age. The median age in Yates County is 41.6 years, with one larger population group aged 50-79. Sex is relatively evenly split, with females accounting for 50.7% of the population. Individuals identifying as LGBTQ+ account for 5.8% of the population.</w:t>
            </w:r>
          </w:p>
          <w:p>
            <w:pPr>
              <w:spacing w:before="162" w:after="0" w:line="290" w:lineRule="exact"/>
              <w:ind w:right="216"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Youth (below 18 years of age) represent 22.7% of the population. However, 21.9% of the population is 65 years of age or older, with the largest age group of the older population being 65 to 74 years old, representing 13.4% of the total population. Aging populations often require the utilization of more health services, adding further strain to health infrastructure.</w:t>
            </w:r>
          </w:p>
          <w:p>
            <w:pPr>
              <w:spacing w:before="225" w:after="9"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Race and Ethnicity</w:t>
            </w:r>
          </w:p>
        </w:tc>
        <w:tc>
          <w:tcPr>
            <w:tcW w:w="6427" w:type="dxa"/>
            <w:tcBorders>
              <w:top w:val="none"/>
              <w:left w:val="none"/>
              <w:bottom w:val="none"/>
              <w:right w:val="none"/>
            </w:tcBorders>
            <w:textDirection w:val="lrTb"/>
            <w:vAlign w:val="top"/>
          </w:tcPr>
          <w:p>
            <w:pPr>
              <w:spacing w:before="0" w:after="0" w:line="240" w:lineRule="auto"/>
              <w:ind w:right="58" w:left="0"/>
              <w:jc w:val="center"/>
              <w:textAlignment w:val="baseline"/>
            </w:pPr>
            <w:r>
              <w:drawing>
                <wp:inline>
                  <wp:extent cx="4044315" cy="2859405"/>
                  <wp:docPr name="Picture" id="107"/>
                  <a:graphic>
                    <a:graphicData uri="http://schemas.openxmlformats.org/drawingml/2006/picture">
                      <pic:pic>
                        <pic:nvPicPr>
                          <pic:cNvPr id="107" name="Picture"/>
                          <pic:cNvPicPr preferRelativeResize="false"/>
                        </pic:nvPicPr>
                        <pic:blipFill>
                          <a:blip r:embed="prId107"/>
                          <a:stretch>
                            <a:fillRect/>
                          </a:stretch>
                        </pic:blipFill>
                        <pic:spPr>
                          <a:xfrm>
                            <a:off x="0" y="0"/>
                            <a:ext cx="4044315" cy="2859405"/>
                          </a:xfrm>
                          <a:prstGeom prst="rect"/>
                        </pic:spPr>
                      </pic:pic>
                    </a:graphicData>
                  </a:graphic>
                </wp:inline>
              </w:drawing>
            </w:r>
          </w:p>
        </w:tc>
      </w:tr>
      <w:tr>
        <w:trPr>
          <w:trHeight w:val="1183" w:hRule="exact"/>
        </w:trPr>
        <w:tc>
          <w:tcPr>
            <w:tcW w:w="5813" w:type="dxa"/>
            <w:vMerge w:val="continue"/>
            <w:tcBorders>
              <w:top w:val="none"/>
              <w:left w:val="none"/>
              <w:bottom w:val="none"/>
              <w:right w:val="none"/>
            </w:tcBorders>
            <w:textDirection w:val="lrTb"/>
            <w:vAlign w:val="top"/>
          </w:tcPr>
          <w:p/>
        </w:tc>
        <w:tc>
          <w:tcPr>
            <w:tcW w:w="6427" w:type="dxa"/>
            <w:tcBorders>
              <w:top w:val="none"/>
              <w:left w:val="none"/>
              <w:bottom w:val="none"/>
              <w:right w:val="none"/>
            </w:tcBorders>
            <w:textDirection w:val="lrTb"/>
            <w:vAlign w:val="top"/>
          </w:tcPr>
          <w:p>
            <w:pPr>
              <w:spacing w:before="109" w:after="841" w:line="220" w:lineRule="exact"/>
              <w:ind w:right="4190" w:left="0" w:firstLine="0"/>
              <w:jc w:val="right"/>
              <w:textAlignment w:val="baseline"/>
              <w:rPr>
                <w:rFonts w:ascii="Calibri" w:hAnsi="Calibri" w:eastAsia="Calibri"/>
                <w:color w:val="000000"/>
                <w:spacing w:val="-5"/>
                <w:w w:val="100"/>
                <w:sz w:val="22"/>
                <w:vertAlign w:val="baseline"/>
                <w:lang w:val="en-US"/>
              </w:rPr>
            </w:pPr>
            <w:r>
              <w:rPr>
                <w:rFonts w:ascii="Calibri" w:hAnsi="Calibri" w:eastAsia="Calibri"/>
                <w:color w:val="000000"/>
                <w:spacing w:val="-5"/>
                <w:w w:val="100"/>
                <w:sz w:val="22"/>
                <w:vertAlign w:val="baseline"/>
                <w:lang w:val="en-US"/>
              </w:rPr>
              <w:t xml:space="preserve">Source: U.S. Census 2020</w:t>
            </w:r>
          </w:p>
        </w:tc>
      </w:tr>
    </w:tbl>
    <w:p>
      <w:pPr>
        <w:spacing w:before="0" w:after="124" w:line="20" w:lineRule="exact"/>
      </w:pPr>
    </w:p>
    <w:p>
      <w:pPr>
        <w:spacing w:before="0"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Census data for Yates County indicate a largely white (93%) population followed by Hispanic or Latino (2.6%), Black or African American (0.7%), Asian (0.3%), and American Indian or Alaska Native (0.1%). The regional section of this CHA denotes additional population considerations, including Amish/Mennonite and migrant farmworkers.</w:t>
      </w:r>
    </w:p>
    <w:p>
      <w:pPr>
        <w:spacing w:before="164"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There is a large Mennonite community who reside in Yates County. The Groffdale Mennonites, commonly known as Horse-and-Buggy Mennonites, settled in Yates County around 1974, coming from Lancaster County, Pennsylvania. The 2025 Old Groffdale and Midwest Horse and Buggy maps show that there are approximately 877 Mennonite households across Ontario, Schuyler, Steuben, and Yates Counties, with the largest number residing in Yates County. Since 2022, the number of horse-and-buggy households has increased by 97. However, since their settlement, Mennonites continued to diversify into Driving Mennonites, expanding households even further around the Finger Lakes Region.</w:t>
      </w:r>
    </w:p>
    <w:p>
      <w:pPr>
        <w:spacing w:before="159" w:after="902"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Mennonites make a significant contribution to Yates County’s agriculture and economy. Additionally, it is important to note the cultural implications the population can have on local data, such as vaccination rates, uninsured rates, prenatal care, educational attainment, and unintentional injuries (e.g.., motor vehicle and farm accidents). The Mennonite community often resorts to homeopathic medicine and relies on experienced community members for health care. Community organizations and partners collaborate to host inclusive events that integrate Mennonite beliefs and values with evidence-based practices, providing the best opportunities for meaningful learning.</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73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24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13" coordsize="21600,21600" o:spt="202" path="m,l,21600r21600,l21600,xe">
            <v:stroke joinstyle="miter"/>
            <v:path gradientshapeok="t" o:connecttype="rect"/>
          </v:shapetype>
          <v:shape id="_x0000_s412" type="#_x0000_t413"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08"/>
                              <a:graphic>
                                <a:graphicData uri="http://schemas.openxmlformats.org/drawingml/2006/picture">
                                  <pic:pic>
                                    <pic:nvPicPr>
                                      <pic:cNvPr id="108" name="Picture"/>
                                      <pic:cNvPicPr preferRelativeResize="false"/>
                                    </pic:nvPicPr>
                                    <pic:blipFill>
                                      <a:blip r:embed="prId10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09"/>
                              <a:graphic>
                                <a:graphicData uri="http://schemas.openxmlformats.org/drawingml/2006/picture">
                                  <pic:pic>
                                    <pic:nvPicPr>
                                      <pic:cNvPr id="109" name="Picture"/>
                                      <pic:cNvPicPr preferRelativeResize="false"/>
                                    </pic:nvPicPr>
                                    <pic:blipFill>
                                      <a:blip r:embed="prId109"/>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414" coordsize="21600,21600" o:spt="202" path="m,l,21600r21600,l21600,xe">
            <v:stroke joinstyle="miter"/>
            <v:path gradientshapeok="t" o:connecttype="rect"/>
          </v:shapetype>
          <v:shape id="_x0000_s413" type="#_x0000_t414" filled="f" stroked="f" style="position:absolute;width:510pt;height:589.55pt;z-index:1;margin-left:72pt;margin-top:72.05pt;mso-wrap-distance-left:0pt;mso-wrap-distance-right:0pt;mso-position-horizontal-relative:page;mso-position-vertical-relative:page">
            <w10:wrap anchorx="page" anchory="page"/>
            <v:fill opacity="1" o:opacity2="1" recolor="f" rotate="f" type="solid"/>
            <v:textbox inset="0pt, 0pt, 0pt, 0pt">
              <w:txbxContent>
                <w:p>
                  <w:pPr>
                    <w:spacing w:before="27" w:after="0" w:line="246" w:lineRule="exact"/>
                    <w:ind w:right="0" w:left="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Veterans and People with Disabilities</w:t>
                  </w:r>
                </w:p>
                <w:p>
                  <w:pPr>
                    <w:spacing w:before="158" w:after="0" w:line="290" w:lineRule="exact"/>
                    <w:ind w:right="864"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Veterans often have distinct health needs, including higher rates of chronic conditions, mental health challenges, and service-related injuries. The Veteran population of Yates County accounts for 7.2% of the total population, which is higher than the NYS average (3.9%).</w:t>
                  </w:r>
                  <w:r>
                    <w:rPr>
                      <w:rFonts w:ascii="Calibri" w:hAnsi="Calibri" w:eastAsia="Calibri"/>
                      <w:color w:val="000000"/>
                      <w:spacing w:val="0"/>
                      <w:w w:val="100"/>
                      <w:sz w:val="22"/>
                      <w:vertAlign w:val="superscript"/>
                      <w:lang w:val="en-US"/>
                    </w:rPr>
                    <w:t xml:space="preserve">32</w:t>
                  </w:r>
                  <w:r>
                    <w:rPr>
                      <w:rFonts w:ascii="Calibri" w:hAnsi="Calibri" w:eastAsia="Calibri"/>
                      <w:color w:val="000000"/>
                      <w:spacing w:val="0"/>
                      <w:w w:val="100"/>
                      <w:sz w:val="22"/>
                      <w:vertAlign w:val="baseline"/>
                      <w:lang w:val="en-US"/>
                    </w:rPr>
                    <w:t xml:space="preserve"> Of that number 94% are male, and 6% are female.</w:t>
                  </w:r>
                </w:p>
                <w:p>
                  <w:pPr>
                    <w:spacing w:before="162" w:after="0" w:line="290" w:lineRule="exact"/>
                    <w:ind w:right="936"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People with disabilities may face heightened barriers to care, transportation, employment, housing, and healthy living. There are approximately 11.1% of the Yates County population who live with a disability. Comparatively, there is about 13.5% of the New York State population that lives with a disability. The most common disabilities are cognitive, independent living, and ambulatory difficulty.</w:t>
                  </w:r>
                </w:p>
                <w:p>
                  <w:pPr>
                    <w:spacing w:before="230" w:after="0" w:line="245" w:lineRule="exact"/>
                    <w:ind w:right="0" w:left="0" w:firstLine="0"/>
                    <w:jc w:val="left"/>
                    <w:textAlignment w:val="baseline"/>
                    <w:rPr>
                      <w:rFonts w:ascii="Calibri" w:hAnsi="Calibri" w:eastAsia="Calibri"/>
                      <w:b w:val="true"/>
                      <w:color w:val="000000"/>
                      <w:spacing w:val="-1"/>
                      <w:w w:val="100"/>
                      <w:sz w:val="24"/>
                      <w:vertAlign w:val="baseline"/>
                      <w:lang w:val="en-US"/>
                    </w:rPr>
                  </w:pPr>
                  <w:r>
                    <w:rPr>
                      <w:rFonts w:ascii="Calibri" w:hAnsi="Calibri" w:eastAsia="Calibri"/>
                      <w:b w:val="true"/>
                      <w:color w:val="000000"/>
                      <w:spacing w:val="-1"/>
                      <w:w w:val="100"/>
                      <w:sz w:val="24"/>
                      <w:vertAlign w:val="baseline"/>
                      <w:lang w:val="en-US"/>
                    </w:rPr>
                    <w:t xml:space="preserve">Language Spoken at Home</w:t>
                  </w:r>
                </w:p>
                <w:p>
                  <w:pPr>
                    <w:spacing w:before="161" w:after="0" w:line="290" w:lineRule="exact"/>
                    <w:ind w:right="1008"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Yates County, according to the U.S. Census, 16.8% of people speak a language other than English at home. This includes: 1.6% who speak Spanish; 14.5% who speak Indo-European languages; 0.8% who speak Asian and Pacific Island languages; and 0.2% percent who speak other languages. The notable share of Indo-European language speakers is likely influenced by the presence of Amish and Mennonite communities. Providing language assistance in health care improves the quality of care for all populations with limited English proficiency, thereby optimizing overall health literacy.</w:t>
                  </w:r>
                </w:p>
                <w:p>
                  <w:pPr>
                    <w:spacing w:before="225" w:after="0" w:line="245" w:lineRule="exact"/>
                    <w:ind w:right="0" w:left="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Leading Cause of Death and Life Expectancy</w:t>
                  </w:r>
                </w:p>
                <w:p>
                  <w:pPr>
                    <w:spacing w:before="159" w:after="0" w:line="290" w:lineRule="exact"/>
                    <w:ind w:right="1008"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average number of years a person in Yates County may expect to live is 78.1</w:t>
                  </w:r>
                  <w:r>
                    <w:rPr>
                      <w:rFonts w:ascii="Calibri" w:hAnsi="Calibri" w:eastAsia="Calibri"/>
                      <w:color w:val="000000"/>
                      <w:spacing w:val="0"/>
                      <w:w w:val="100"/>
                      <w:sz w:val="22"/>
                      <w:vertAlign w:val="superscript"/>
                      <w:lang w:val="en-US"/>
                    </w:rPr>
                    <w:t xml:space="preserve">3</w:t>
                  </w:r>
                  <w:r>
                    <w:rPr>
                      <w:rFonts w:ascii="Arial" w:hAnsi="Arial" w:eastAsia="Arial"/>
                      <w:color w:val="000000"/>
                      <w:spacing w:val="0"/>
                      <w:w w:val="100"/>
                      <w:sz w:val="22"/>
                      <w:vertAlign w:val="superscript"/>
                      <w:lang w:val="en-US"/>
                    </w:rPr>
                    <w:t xml:space="preserve">3</w:t>
                  </w:r>
                  <w:r>
                    <w:rPr>
                      <w:rFonts w:ascii="Calibri" w:hAnsi="Calibri" w:eastAsia="Calibri"/>
                      <w:color w:val="000000"/>
                      <w:spacing w:val="0"/>
                      <w:w w:val="100"/>
                      <w:sz w:val="22"/>
                      <w:vertAlign w:val="baseline"/>
                      <w:lang w:val="en-US"/>
                    </w:rPr>
                    <w:t xml:space="preserve">, with variation throughout the county as seen in Map Y2. This number is lower than the state average of 80.4, but greater than the national average of 77.6.</w:t>
                  </w:r>
                  <w:r>
                    <w:rPr>
                      <w:rFonts w:ascii="Calibri" w:hAnsi="Calibri" w:eastAsia="Calibri"/>
                      <w:color w:val="000000"/>
                      <w:spacing w:val="0"/>
                      <w:w w:val="100"/>
                      <w:sz w:val="22"/>
                      <w:vertAlign w:val="superscript"/>
                      <w:lang w:val="en-US"/>
                    </w:rPr>
                    <w:t xml:space="preserve">3</w:t>
                  </w:r>
                  <w:r>
                    <w:rPr>
                      <w:rFonts w:ascii="Arial" w:hAnsi="Arial" w:eastAsia="Arial"/>
                      <w:color w:val="000000"/>
                      <w:spacing w:val="0"/>
                      <w:w w:val="100"/>
                      <w:sz w:val="22"/>
                      <w:vertAlign w:val="superscript"/>
                      <w:lang w:val="en-US"/>
                    </w:rPr>
                    <w:t xml:space="preserve">3</w:t>
                  </w:r>
                  <w:r>
                    <w:rPr>
                      <w:rFonts w:ascii="Calibri" w:hAnsi="Calibri" w:eastAsia="Calibri"/>
                      <w:color w:val="000000"/>
                      <w:spacing w:val="0"/>
                      <w:w w:val="100"/>
                      <w:sz w:val="22"/>
                      <w:vertAlign w:val="baseline"/>
                      <w:lang w:val="en-US"/>
                    </w:rPr>
                    <w:t xml:space="preserve"> Life expectancy in Yates County is greater than three of its contingent counties (Steuben 76.6, Seneca 77.5, and Schuyler 75.8) and lower than only the remaining contingent county of Ontario (79.6)</w:t>
                  </w:r>
                  <w:r>
                    <w:rPr>
                      <w:rFonts w:ascii="Calibri" w:hAnsi="Calibri" w:eastAsia="Calibri"/>
                      <w:color w:val="000000"/>
                      <w:spacing w:val="0"/>
                      <w:w w:val="100"/>
                      <w:sz w:val="22"/>
                      <w:vertAlign w:val="superscript"/>
                      <w:lang w:val="en-US"/>
                    </w:rPr>
                    <w:t xml:space="preserve">3</w:t>
                  </w:r>
                  <w:r>
                    <w:rPr>
                      <w:rFonts w:ascii="Arial" w:hAnsi="Arial" w:eastAsia="Arial"/>
                      <w:color w:val="000000"/>
                      <w:spacing w:val="0"/>
                      <w:w w:val="100"/>
                      <w:sz w:val="22"/>
                      <w:vertAlign w:val="superscript"/>
                      <w:lang w:val="en-US"/>
                    </w:rPr>
                    <w:t xml:space="preserve">3</w:t>
                  </w:r>
                  <w:r>
                    <w:rPr>
                      <w:rFonts w:ascii="Calibri" w:hAnsi="Calibri" w:eastAsia="Calibri"/>
                      <w:color w:val="000000"/>
                      <w:spacing w:val="0"/>
                      <w:w w:val="100"/>
                      <w:sz w:val="22"/>
                      <w:vertAlign w:val="superscript"/>
                      <w:lang w:val="en-US"/>
                    </w:rPr>
                    <w:t xml:space="preserve">.</w:t>
                  </w:r>
                  <w:r>
                    <w:rPr>
                      <w:rFonts w:ascii="Calibri" w:hAnsi="Calibri" w:eastAsia="Calibri"/>
                      <w:color w:val="000000"/>
                      <w:spacing w:val="0"/>
                      <w:w w:val="100"/>
                      <w:sz w:val="22"/>
                      <w:vertAlign w:val="baseline"/>
                      <w:lang w:val="en-US"/>
                    </w:rPr>
                    <w:t xml:space="preserve"> Life expectancy in Yates County has remained relatively stable since 2018.</w:t>
                  </w:r>
                </w:p>
                <w:p>
                  <w:pPr>
                    <w:spacing w:before="163" w:after="0" w:line="290" w:lineRule="exact"/>
                    <w:ind w:right="1008"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Per NYSDOH 2025 data, the leading causes of death in Yates County are cancer, heart disease, and unintentional injury, respectively. The leading causes of cancer in the county include prostate, female breast, and lung cancers. At the state level, the leading causes of death are heart disease, cancer and COVID-19. The leading causes of premature death (before age 75) in Yates County are cancer, heart disease, and unintentional injury, reflecting state trends. The death rates for each indicator are noted in Tables Y1a and Y1b, along with NYS figures.</w:t>
                  </w:r>
                </w:p>
                <w:p>
                  <w:pPr>
                    <w:spacing w:before="158" w:after="609" w:line="290" w:lineRule="exact"/>
                    <w:ind w:right="864" w:left="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total deaths per 100,000 Yates County residents exceed state rates for both overall death (839.3 vs 679.6 per 100,000) and premature death (334.4 vs 309.3 per 100,000). This is largely due to a substantial increase in unintentional injury deaths. At the state level, unintentional injury accounts for 50.6 per 100,000 deaths and is the fourth leading cause of death. In Yates County, this rises to 86.8 per 100,000 and is the third leading cause of death. Rates of premature death due to unintentional injury show a</w:t>
                  </w:r>
                </w:p>
              </w:txbxContent>
            </v:textbox>
          </v:shape>
        </w:pict>
      </w:r>
      <w:r>
        <w:pict>
          <v:shapetype id="_x0000_t415" coordsize="21600,21600" o:spt="202" path="m,l,21600r21600,l21600,xe">
            <v:stroke joinstyle="miter"/>
            <v:path gradientshapeok="t" o:connecttype="rect"/>
          </v:shapetype>
          <v:shape id="_x0000_s414" type="#_x0000_t415" filled="f" stroked="f" style="position:absolute;width:510pt;height:55.25pt;z-index:1;margin-left:72pt;margin-top:661.6pt;mso-wrap-distance-left:0pt;mso-wrap-distance-right:0pt;mso-position-horizontal-relative:page;mso-position-vertical-relative:page">
            <w10:wrap anchorx="page" anchory="page"/>
            <v:fill opacity="1" o:opacity2="1" recolor="f" rotate="f" type="solid"/>
            <v:textbox inset="0pt, 0pt, 0pt, 0pt">
              <w:txbxContent>
                <w:p>
                  <w:pPr>
                    <w:spacing w:before="125" w:after="0" w:line="198" w:lineRule="exact"/>
                    <w:ind w:right="0" w:left="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32</w:t>
                  </w:r>
                  <w:r>
                    <w:rPr>
                      <w:rFonts w:ascii="Calibri" w:hAnsi="Calibri" w:eastAsia="Calibri"/>
                      <w:color w:val="000000"/>
                      <w:spacing w:val="0"/>
                      <w:w w:val="100"/>
                      <w:sz w:val="19"/>
                      <w:vertAlign w:val="baseline"/>
                      <w:lang w:val="en-US"/>
                    </w:rPr>
                    <w:t xml:space="preserve"> Source: U.S. Census, 2023</w:t>
                  </w:r>
                </w:p>
                <w:p>
                  <w:pPr>
                    <w:spacing w:before="0" w:after="240" w:line="266" w:lineRule="exact"/>
                    <w:ind w:right="0" w:left="0" w:firstLine="0"/>
                    <w:jc w:val="both"/>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w:t>
                  </w:r>
                  <w:r>
                    <w:rPr>
                      <w:rFonts w:ascii="Arial" w:hAnsi="Arial" w:eastAsia="Arial"/>
                      <w:color w:val="000000"/>
                      <w:spacing w:val="0"/>
                      <w:w w:val="100"/>
                      <w:sz w:val="13"/>
                      <w:vertAlign w:val="superscript"/>
                      <w:lang w:val="en-US"/>
                    </w:rPr>
                    <w:t xml:space="preserve">3</w:t>
                  </w:r>
                  <w:r>
                    <w:rPr>
                      <w:rFonts w:ascii="Calibri" w:hAnsi="Calibri" w:eastAsia="Calibri"/>
                      <w:color w:val="000000"/>
                      <w:spacing w:val="0"/>
                      <w:w w:val="100"/>
                      <w:sz w:val="19"/>
                      <w:vertAlign w:val="baseline"/>
                      <w:lang w:val="en-US"/>
                    </w:rPr>
                    <w:t xml:space="preserve"> Source: </w:t>
                  </w:r>
                  <w:r>
                    <w:rPr>
                      <w:rFonts w:ascii="Calibri" w:hAnsi="Calibri" w:eastAsia="Calibri"/>
                      <w:color w:val="000000"/>
                      <w:spacing w:val="0"/>
                      <w:w w:val="100"/>
                      <w:sz w:val="20"/>
                      <w:vertAlign w:val="baseline"/>
                      <w:lang w:val="en-US"/>
                    </w:rPr>
                    <w:t xml:space="preserve">University of Wisconsin Population Health Institute. (2025). Life expectancy: Yates County, New York. County Health Rankings &amp; </w:t>
                  </w:r>
                  <w:hyperlink r:id="dhId26">
                    <w:r>
                      <w:rPr>
                        <w:rFonts w:ascii="Calibri" w:hAnsi="Calibri" w:eastAsia="Calibri"/>
                        <w:color w:val="0000FF"/>
                        <w:spacing w:val="0"/>
                        <w:w w:val="100"/>
                        <w:sz w:val="20"/>
                        <w:u w:val="single"/>
                        <w:vertAlign w:val="baseline"/>
                        <w:lang w:val="en-US"/>
                      </w:rPr>
                      <w:t xml:space="preserve">Roadmaps. </w:t>
                    </w:r>
                  </w:hyperlink>
                  <w:hyperlink r:id="dhId26">
                    <w:r>
                      <w:rPr>
                        <w:rFonts w:ascii="Calibri" w:hAnsi="Calibri" w:eastAsia="Calibri"/>
                        <w:color w:val="0000FF"/>
                        <w:spacing w:val="0"/>
                        <w:w w:val="100"/>
                        <w:sz w:val="18"/>
                        <w:u w:val="single"/>
                        <w:vertAlign w:val="baseline"/>
                        <w:lang w:val="en-US"/>
                      </w:rPr>
                      <w:t xml:space="preserve">www.countyhealthrankings.org/health</w:t>
                    </w:r>
                  </w:hyperlink>
                  <w:r>
                    <w:rPr>
                      <w:rFonts w:ascii="Calibri" w:hAnsi="Calibri" w:eastAsia="Calibri"/>
                      <w:color w:val="000000"/>
                      <w:spacing w:val="0"/>
                      <w:w w:val="100"/>
                      <w:sz w:val="18"/>
                      <w:vertAlign w:val="baseline"/>
                      <w:lang w:val="en-US"/>
                    </w:rPr>
                    <w:t xml:space="preserve">‐data/population‐health‐and‐well‐being/length‐of‐life</w:t>
                  </w:r>
                </w:p>
              </w:txbxContent>
            </v:textbox>
          </v:shape>
        </w:pict>
      </w:r>
      <w:r>
        <w:pict>
          <v:shapetype id="_x0000_t416" coordsize="21600,21600" o:spt="202" path="m,l,21600r21600,l21600,xe">
            <v:stroke joinstyle="miter"/>
            <v:path gradientshapeok="t" o:connecttype="rect"/>
          </v:shapetype>
          <v:shape id="_x0000_s415" type="#_x0000_t41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74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62.15pt" to="216.3pt,662.1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17" coordsize="21600,21600" o:spt="202" path="m,l,21600r21600,l21600,xe">
            <v:stroke joinstyle="miter"/>
            <v:path gradientshapeok="t" o:connecttype="rect"/>
          </v:shapetype>
          <v:shape id="_x0000_s416" type="#_x0000_t41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10"/>
                              <a:graphic>
                                <a:graphicData uri="http://schemas.openxmlformats.org/drawingml/2006/picture">
                                  <pic:pic>
                                    <pic:nvPicPr>
                                      <pic:cNvPr id="110" name="Picture"/>
                                      <pic:cNvPicPr preferRelativeResize="false"/>
                                    </pic:nvPicPr>
                                    <pic:blipFill>
                                      <a:blip r:embed="prId110"/>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11"/>
                              <a:graphic>
                                <a:graphicData uri="http://schemas.openxmlformats.org/drawingml/2006/picture">
                                  <pic:pic>
                                    <pic:nvPicPr>
                                      <pic:cNvPr id="111" name="Picture"/>
                                      <pic:cNvPicPr preferRelativeResize="false"/>
                                    </pic:nvPicPr>
                                    <pic:blipFill>
                                      <a:blip r:embed="prId111"/>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418" coordsize="21600,21600" o:spt="202" path="m,l,21600r21600,l21600,xe">
            <v:stroke joinstyle="miter"/>
            <v:path gradientshapeok="t" o:connecttype="rect"/>
          </v:shapetype>
          <v:shape id="_x0000_s417" type="#_x0000_t418" filled="f" stroked="f" style="position:absolute;width:511pt;height:56.1pt;z-index:1;margin-left:62.15pt;margin-top:72.1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68" w:lineRule="exact"/>
                    <w:ind w:right="936"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similar trend. Statewide, unintentional injury accounts for 44.8 premature deaths per 100,000 while in Yates County this figure jumps to 70.4 per 100,000.</w:t>
                  </w:r>
                </w:p>
                <w:p>
                  <w:pPr>
                    <w:spacing w:before="223" w:after="182" w:line="180" w:lineRule="exact"/>
                    <w:ind w:right="0" w:left="144"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Table Y1a: Causes of Death (measured per 100,000 population)</w:t>
                  </w:r>
                </w:p>
              </w:txbxContent>
            </v:textbox>
          </v:shape>
        </w:pict>
      </w:r>
      <w:r>
        <w:pict>
          <v:shapetype id="_x0000_t419" coordsize="21600,21600" o:spt="202" path="m,l,21600r21600,l21600,xe">
            <v:stroke joinstyle="miter"/>
            <v:path gradientshapeok="t" o:connecttype="rect"/>
          </v:shapetype>
          <v:shape id="_x0000_s418" type="#_x0000_t419" filled="f" stroked="f" style="position:absolute;width:511pt;height:91.4pt;z-index:1;margin-left:62.15pt;margin-top:128.2pt;mso-wrap-distance-left:0pt;mso-wrap-distance-right:0pt;mso-position-horizontal-relative:page;mso-position-vertical-relative:page">
            <w10:wrap anchorx="page" anchory="page"/>
            <v:fill opacity="1" o:opacity2="1" recolor="f" rotate="f" type="solid"/>
            <v:textbox inset="0pt, 0pt, 0pt, 0pt">
              <w:txbxContent>
                <w:tbl>
                  <w:tblPr>
                    <w:jc w:val="left"/>
                    <w:tblInd w:w="197" w:type="dxa"/>
                    <w:tblLayout w:type="fixed"/>
                    <w:tblCellMar>
                      <w:left w:w="0" w:type="dxa"/>
                      <w:right w:w="0" w:type="dxa"/>
                    </w:tblCellMar>
                  </w:tblPr>
                  <w:tblGrid>
                    <w:gridCol w:w="2611"/>
                    <w:gridCol w:w="3327"/>
                    <w:gridCol w:w="4060"/>
                  </w:tblGrid>
                  <w:tr>
                    <w:trPr>
                      <w:trHeight w:val="552" w:hRule="exact"/>
                    </w:trPr>
                    <w:tc>
                      <w:tcPr>
                        <w:tcW w:w="2611"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49" w:line="22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Cause of Death</w:t>
                        </w:r>
                      </w:p>
                    </w:tc>
                    <w:tc>
                      <w:tcPr>
                        <w:tcW w:w="332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4" w:line="26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Ages, Age-Sex Adjusted Yates</w:t>
                          <w:br/>
                        </w:r>
                        <w:r>
                          <w:rPr>
                            <w:rFonts w:ascii="Calibri" w:hAnsi="Calibri" w:eastAsia="Calibri"/>
                            <w:b w:val="true"/>
                            <w:color w:val="FFFFFF"/>
                            <w:spacing w:val="0"/>
                            <w:w w:val="100"/>
                            <w:sz w:val="22"/>
                            <w:vertAlign w:val="baseline"/>
                            <w:lang w:val="en-US"/>
                          </w:rPr>
                          <w:t xml:space="preserve">County</w:t>
                        </w:r>
                      </w:p>
                    </w:tc>
                    <w:tc>
                      <w:tcPr>
                        <w:tcW w:w="406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48" w:line="226"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Ages – NYS excluding NYC</w:t>
                        </w:r>
                      </w:p>
                    </w:tc>
                  </w:tr>
                  <w:tr>
                    <w:trPr>
                      <w:trHeight w:val="307"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Cancer</w:t>
                        </w:r>
                      </w:p>
                    </w:tc>
                    <w:tc>
                      <w:tcPr>
                        <w:tcW w:w="3327" w:type="dxa"/>
                        <w:tcBorders>
                          <w:top w:val="single" w:sz="5" w:color="000000"/>
                          <w:left w:val="single" w:sz="5" w:color="000000"/>
                          <w:bottom w:val="single" w:sz="5" w:color="000000"/>
                          <w:right w:val="single" w:sz="5" w:color="000000"/>
                        </w:tcBorders>
                        <w:textDirection w:val="lrTb"/>
                        <w:vAlign w:val="center"/>
                      </w:tcPr>
                      <w:p>
                        <w:pPr>
                          <w:tabs>
                            <w:tab w:val="decimal" w:leader="none" w:pos="1728"/>
                          </w:tabs>
                          <w:spacing w:before="47"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142.6</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129.23</w:t>
                        </w:r>
                      </w:p>
                    </w:tc>
                  </w:tr>
                  <w:tr>
                    <w:trPr>
                      <w:trHeight w:val="312"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3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Heart Disease</w:t>
                        </w:r>
                      </w:p>
                    </w:tc>
                    <w:tc>
                      <w:tcPr>
                        <w:tcW w:w="3327" w:type="dxa"/>
                        <w:tcBorders>
                          <w:top w:val="single" w:sz="5" w:color="000000"/>
                          <w:left w:val="single" w:sz="5" w:color="000000"/>
                          <w:bottom w:val="single" w:sz="5" w:color="000000"/>
                          <w:right w:val="single" w:sz="5" w:color="000000"/>
                        </w:tcBorders>
                        <w:textDirection w:val="lrTb"/>
                        <w:vAlign w:val="center"/>
                      </w:tcPr>
                      <w:p>
                        <w:pPr>
                          <w:tabs>
                            <w:tab w:val="decimal" w:leader="none" w:pos="1728"/>
                          </w:tabs>
                          <w:spacing w:before="47" w:after="3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141.1</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3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159.82</w:t>
                        </w:r>
                      </w:p>
                    </w:tc>
                  </w:tr>
                  <w:tr>
                    <w:trPr>
                      <w:trHeight w:val="307"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28"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Unintentional Injury</w:t>
                        </w:r>
                      </w:p>
                    </w:tc>
                    <w:tc>
                      <w:tcPr>
                        <w:tcW w:w="3327" w:type="dxa"/>
                        <w:tcBorders>
                          <w:top w:val="single" w:sz="5" w:color="000000"/>
                          <w:left w:val="single" w:sz="5" w:color="000000"/>
                          <w:bottom w:val="single" w:sz="5" w:color="000000"/>
                          <w:right w:val="single" w:sz="5" w:color="000000"/>
                        </w:tcBorders>
                        <w:textDirection w:val="lrTb"/>
                        <w:vAlign w:val="center"/>
                      </w:tcPr>
                      <w:p>
                        <w:pPr>
                          <w:tabs>
                            <w:tab w:val="decimal" w:leader="none" w:pos="1728"/>
                          </w:tabs>
                          <w:spacing w:before="47" w:after="29"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86.8</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50.6</w:t>
                        </w:r>
                      </w:p>
                    </w:tc>
                  </w:tr>
                  <w:tr>
                    <w:trPr>
                      <w:trHeight w:val="322"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52"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Rate</w:t>
                        </w:r>
                      </w:p>
                    </w:tc>
                    <w:tc>
                      <w:tcPr>
                        <w:tcW w:w="3327" w:type="dxa"/>
                        <w:tcBorders>
                          <w:top w:val="single" w:sz="5" w:color="000000"/>
                          <w:left w:val="single" w:sz="5" w:color="000000"/>
                          <w:bottom w:val="single" w:sz="5" w:color="000000"/>
                          <w:right w:val="single" w:sz="5" w:color="000000"/>
                        </w:tcBorders>
                        <w:textDirection w:val="lrTb"/>
                        <w:vAlign w:val="center"/>
                      </w:tcPr>
                      <w:p>
                        <w:pPr>
                          <w:tabs>
                            <w:tab w:val="decimal" w:leader="none" w:pos="1728"/>
                          </w:tabs>
                          <w:spacing w:before="52" w:after="48" w:line="22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814.47</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52"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679.6</w:t>
                        </w:r>
                      </w:p>
                    </w:tc>
                  </w:tr>
                </w:tbl>
              </w:txbxContent>
            </v:textbox>
          </v:shape>
        </w:pict>
      </w:r>
      <w:r>
        <w:pict>
          <v:shapetype id="_x0000_t420" coordsize="21600,21600" o:spt="202" path="m,l,21600r21600,l21600,xe">
            <v:stroke joinstyle="miter"/>
            <v:path gradientshapeok="t" o:connecttype="rect"/>
          </v:shapetype>
          <v:shape id="_x0000_s419" type="#_x0000_t420" filled="f" stroked="f" style="position:absolute;width:511pt;height:54.75pt;z-index:1;margin-left:62.15pt;margin-top:219.6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25" w:lineRule="exact"/>
                    <w:ind w:right="792" w:left="144" w:firstLine="0"/>
                    <w:jc w:val="left"/>
                    <w:textAlignment w:val="baseline"/>
                    <w:rPr>
                      <w:rFonts w:ascii="Calibri" w:hAnsi="Calibri" w:eastAsia="Calibri"/>
                      <w:color w:val="000000"/>
                      <w:spacing w:val="0"/>
                      <w:w w:val="100"/>
                      <w:sz w:val="20"/>
                      <w:vertAlign w:val="baseline"/>
                      <w:lang w:val="en-US"/>
                    </w:rPr>
                  </w:pPr>
                  <w:r>
                    <w:rPr>
                      <w:rFonts w:ascii="Calibri" w:hAnsi="Calibri" w:eastAsia="Calibri"/>
                      <w:color w:val="000000"/>
                      <w:spacing w:val="0"/>
                      <w:w w:val="100"/>
                      <w:sz w:val="20"/>
                      <w:vertAlign w:val="baseline"/>
                      <w:lang w:val="en-US"/>
                    </w:rPr>
                    <w:t xml:space="preserve">Source for Age-Sex Adjusted Leading Causes of Death: Source: NYS DOH Vital Statistics, 2022</w:t>
                  </w:r>
                  <w:r>
                    <w:rPr>
                      <w:rFonts w:ascii="Calibri" w:hAnsi="Calibri" w:eastAsia="Calibri"/>
                      <w:i w:val="true"/>
                      <w:color w:val="000000"/>
                      <w:spacing w:val="0"/>
                      <w:w w:val="100"/>
                      <w:sz w:val="19"/>
                      <w:vertAlign w:val="baseline"/>
                      <w:lang w:val="en-US"/>
                    </w:rPr>
                    <w:t xml:space="preserve">.Analysis by Common Ground Health</w:t>
                  </w:r>
                </w:p>
                <w:p>
                  <w:pPr>
                    <w:spacing w:before="286" w:after="177" w:line="180" w:lineRule="exact"/>
                    <w:ind w:right="0" w:left="144"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Table Y1b: Premature Causes of Death (Before age 75; measured per 100,000 population)</w:t>
                  </w:r>
                </w:p>
              </w:txbxContent>
            </v:textbox>
          </v:shape>
        </w:pict>
      </w:r>
      <w:r>
        <w:pict>
          <v:shapetype id="_x0000_t421" coordsize="21600,21600" o:spt="202" path="m,l,21600r21600,l21600,xe">
            <v:stroke joinstyle="miter"/>
            <v:path gradientshapeok="t" o:connecttype="rect"/>
          </v:shapetype>
          <v:shape id="_x0000_s420" type="#_x0000_t421" filled="f" stroked="f" style="position:absolute;width:511pt;height:91.4pt;z-index:1;margin-left:62.15pt;margin-top:274.35pt;mso-wrap-distance-left:0pt;mso-wrap-distance-right:0pt;mso-position-horizontal-relative:page;mso-position-vertical-relative:page">
            <w10:wrap anchorx="page" anchory="page"/>
            <v:fill opacity="1" o:opacity2="1" recolor="f" rotate="f" type="solid"/>
            <v:textbox inset="0pt, 0pt, 0pt, 0pt">
              <w:txbxContent>
                <w:tbl>
                  <w:tblPr>
                    <w:jc w:val="left"/>
                    <w:tblInd w:w="197" w:type="dxa"/>
                    <w:tblLayout w:type="fixed"/>
                    <w:tblCellMar>
                      <w:left w:w="0" w:type="dxa"/>
                      <w:right w:w="0" w:type="dxa"/>
                    </w:tblCellMar>
                  </w:tblPr>
                  <w:tblGrid>
                    <w:gridCol w:w="2611"/>
                    <w:gridCol w:w="3327"/>
                    <w:gridCol w:w="4060"/>
                  </w:tblGrid>
                  <w:tr>
                    <w:trPr>
                      <w:trHeight w:val="552" w:hRule="exact"/>
                    </w:trPr>
                    <w:tc>
                      <w:tcPr>
                        <w:tcW w:w="2611"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172" w:after="150" w:line="225" w:lineRule="exact"/>
                          <w:ind w:right="0" w:left="0" w:firstLine="0"/>
                          <w:jc w:val="center"/>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Cause of Death</w:t>
                        </w:r>
                      </w:p>
                    </w:tc>
                    <w:tc>
                      <w:tcPr>
                        <w:tcW w:w="3327"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4" w:line="266" w:lineRule="exact"/>
                          <w:ind w:right="0" w:left="936" w:hanging="792"/>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Premature Death rate (Before age 75) Yates County</w:t>
                        </w:r>
                      </w:p>
                    </w:tc>
                    <w:tc>
                      <w:tcPr>
                        <w:tcW w:w="4060"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0" w:after="14" w:line="266" w:lineRule="exact"/>
                          <w:ind w:right="144" w:left="1440" w:hanging="1296"/>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Premature Death rate (Before age 75) NYS excluding NYC</w:t>
                        </w:r>
                      </w:p>
                    </w:tc>
                  </w:tr>
                  <w:tr>
                    <w:trPr>
                      <w:trHeight w:val="312"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52"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Cancer</w:t>
                        </w:r>
                      </w:p>
                    </w:tc>
                    <w:tc>
                      <w:tcPr>
                        <w:tcW w:w="3327" w:type="dxa"/>
                        <w:tcBorders>
                          <w:top w:val="single" w:sz="5" w:color="000000"/>
                          <w:left w:val="single" w:sz="5" w:color="000000"/>
                          <w:bottom w:val="single" w:sz="5" w:color="000000"/>
                          <w:right w:val="single" w:sz="5" w:color="000000"/>
                        </w:tcBorders>
                        <w:textDirection w:val="lrTb"/>
                        <w:vAlign w:val="center"/>
                      </w:tcPr>
                      <w:p>
                        <w:pPr>
                          <w:spacing w:before="52"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61.4</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52"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67.1</w:t>
                        </w:r>
                      </w:p>
                    </w:tc>
                  </w:tr>
                  <w:tr>
                    <w:trPr>
                      <w:trHeight w:val="307"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Heart Disease</w:t>
                        </w:r>
                      </w:p>
                    </w:tc>
                    <w:tc>
                      <w:tcPr>
                        <w:tcW w:w="3327" w:type="dxa"/>
                        <w:tcBorders>
                          <w:top w:val="single" w:sz="5" w:color="000000"/>
                          <w:left w:val="single" w:sz="5" w:color="000000"/>
                          <w:bottom w:val="single" w:sz="5" w:color="000000"/>
                          <w:right w:val="single" w:sz="5" w:color="000000"/>
                        </w:tcBorders>
                        <w:textDirection w:val="lrTb"/>
                        <w:vAlign w:val="center"/>
                      </w:tcPr>
                      <w:p>
                        <w:pPr>
                          <w:spacing w:before="47"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46.0</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57.4</w:t>
                        </w:r>
                      </w:p>
                    </w:tc>
                  </w:tr>
                  <w:tr>
                    <w:trPr>
                      <w:trHeight w:val="312"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43"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Unintentional Injury</w:t>
                        </w:r>
                      </w:p>
                    </w:tc>
                    <w:tc>
                      <w:tcPr>
                        <w:tcW w:w="3327" w:type="dxa"/>
                        <w:tcBorders>
                          <w:top w:val="single" w:sz="5" w:color="000000"/>
                          <w:left w:val="single" w:sz="5" w:color="000000"/>
                          <w:bottom w:val="single" w:sz="5" w:color="000000"/>
                          <w:right w:val="single" w:sz="5" w:color="000000"/>
                        </w:tcBorders>
                        <w:textDirection w:val="lrTb"/>
                        <w:vAlign w:val="center"/>
                      </w:tcPr>
                      <w:p>
                        <w:pPr>
                          <w:spacing w:before="47" w:after="4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70.4</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4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44.8</w:t>
                        </w:r>
                      </w:p>
                    </w:tc>
                  </w:tr>
                  <w:tr>
                    <w:trPr>
                      <w:trHeight w:val="317" w:hRule="exact"/>
                    </w:trPr>
                    <w:tc>
                      <w:tcPr>
                        <w:tcW w:w="2611" w:type="dxa"/>
                        <w:tcBorders>
                          <w:top w:val="single" w:sz="5" w:color="000000"/>
                          <w:left w:val="single" w:sz="5" w:color="000000"/>
                          <w:bottom w:val="single" w:sz="5" w:color="000000"/>
                          <w:right w:val="single" w:sz="5" w:color="000000"/>
                        </w:tcBorders>
                        <w:textDirection w:val="lrTb"/>
                        <w:vAlign w:val="center"/>
                      </w:tcPr>
                      <w:p>
                        <w:pPr>
                          <w:spacing w:before="47"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Rate</w:t>
                        </w:r>
                      </w:p>
                    </w:tc>
                    <w:tc>
                      <w:tcPr>
                        <w:tcW w:w="3327" w:type="dxa"/>
                        <w:tcBorders>
                          <w:top w:val="single" w:sz="5" w:color="000000"/>
                          <w:left w:val="single" w:sz="5" w:color="000000"/>
                          <w:bottom w:val="single" w:sz="5" w:color="000000"/>
                          <w:right w:val="single" w:sz="5" w:color="000000"/>
                        </w:tcBorders>
                        <w:textDirection w:val="lrTb"/>
                        <w:vAlign w:val="center"/>
                      </w:tcPr>
                      <w:p>
                        <w:pPr>
                          <w:spacing w:before="47"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334.4</w:t>
                        </w:r>
                      </w:p>
                    </w:tc>
                    <w:tc>
                      <w:tcPr>
                        <w:tcW w:w="4060" w:type="dxa"/>
                        <w:tcBorders>
                          <w:top w:val="single" w:sz="5" w:color="000000"/>
                          <w:left w:val="single" w:sz="5" w:color="000000"/>
                          <w:bottom w:val="single" w:sz="5" w:color="000000"/>
                          <w:right w:val="single" w:sz="5" w:color="000000"/>
                        </w:tcBorders>
                        <w:textDirection w:val="lrTb"/>
                        <w:vAlign w:val="center"/>
                      </w:tcPr>
                      <w:p>
                        <w:pPr>
                          <w:spacing w:before="47"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309.3</w:t>
                        </w:r>
                      </w:p>
                    </w:tc>
                  </w:tr>
                </w:tbl>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511pt;height:323pt;z-index:1;margin-left:62.15pt;margin-top:365.7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465" w:lineRule="exact"/>
                    <w:ind w:right="0" w:left="144" w:firstLine="0"/>
                    <w:jc w:val="left"/>
                    <w:textAlignment w:val="baseline"/>
                    <w:rPr>
                      <w:rFonts w:ascii="Calibri" w:hAnsi="Calibri" w:eastAsia="Calibri"/>
                      <w:color w:val="000000"/>
                      <w:spacing w:val="0"/>
                      <w:w w:val="100"/>
                      <w:sz w:val="20"/>
                      <w:vertAlign w:val="baseline"/>
                      <w:lang w:val="en-US"/>
                    </w:rPr>
                  </w:pPr>
                  <w:r>
                    <w:rPr>
                      <w:rFonts w:ascii="Calibri" w:hAnsi="Calibri" w:eastAsia="Calibri"/>
                      <w:color w:val="000000"/>
                      <w:spacing w:val="0"/>
                      <w:w w:val="100"/>
                      <w:sz w:val="20"/>
                      <w:vertAlign w:val="baseline"/>
                      <w:lang w:val="en-US"/>
                    </w:rPr>
                    <w:t xml:space="preserve">Source for Premature Death Rates (before age 75): NYS Leading Causes of Death Dashboard.</w:t>
                    <w:br/>
                  </w:r>
                  <w:r>
                    <w:rPr>
                      <w:rFonts w:ascii="Calibri" w:hAnsi="Calibri" w:eastAsia="Calibri"/>
                      <w:b w:val="true"/>
                      <w:color w:val="000000"/>
                      <w:spacing w:val="0"/>
                      <w:w w:val="100"/>
                      <w:sz w:val="22"/>
                      <w:vertAlign w:val="baseline"/>
                      <w:lang w:val="en-US"/>
                    </w:rPr>
                    <w:t xml:space="preserve">Health Disparities</w:t>
                  </w:r>
                </w:p>
                <w:p>
                  <w:pPr>
                    <w:spacing w:before="153" w:after="2712" w:line="295" w:lineRule="exact"/>
                    <w:ind w:right="648"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disparities are the preventable differences in health outcomes when compared to the overall population of an area. Yates County’s rural location presents significant challenges to health outcomes and access to care. With the densest populations near the villages of Penn Yan and Dundee</w:t>
                  </w:r>
                  <w:r>
                    <w:rPr>
                      <w:rFonts w:ascii="Calibri" w:hAnsi="Calibri" w:eastAsia="Calibri"/>
                      <w:color w:val="000000"/>
                      <w:spacing w:val="0"/>
                      <w:w w:val="100"/>
                      <w:sz w:val="22"/>
                      <w:vertAlign w:val="superscript"/>
                      <w:lang w:val="en-US"/>
                    </w:rPr>
                    <w:t xml:space="preserve">34</w:t>
                  </w:r>
                  <w:r>
                    <w:rPr>
                      <w:rFonts w:ascii="Calibri" w:hAnsi="Calibri" w:eastAsia="Calibri"/>
                      <w:color w:val="000000"/>
                      <w:spacing w:val="0"/>
                      <w:w w:val="100"/>
                      <w:sz w:val="22"/>
                      <w:vertAlign w:val="baseline"/>
                      <w:lang w:val="en-US"/>
                    </w:rPr>
                    <w:t xml:space="preserve">, much of the county remains isolated, leaving many residents with limited access to physical and mental health care, inadequate health care infrastructure (e.g., provider shortages), low rates of physical activity, and restricted access to healthy food. Having limited availability to these resources can exacerbate chronic disease. Populations living in rural areas have a higher risk of developing chronic disease when compared to urban counterparts. The county also has a large aging population, lower socioeconomic status, and many uninsured individuals who face greater barriers to achieving optimal health.</w:t>
                  </w:r>
                </w:p>
              </w:txbxContent>
            </v:textbox>
          </v:shape>
        </w:pict>
      </w:r>
      <w:r>
        <w:pict>
          <v:shapetype id="_x0000_t423" coordsize="21600,21600" o:spt="202" path="m,l,21600r21600,l21600,xe">
            <v:stroke joinstyle="miter"/>
            <v:path gradientshapeok="t" o:connecttype="rect"/>
          </v:shapetype>
          <v:shape id="_x0000_s422" type="#_x0000_t423" filled="f" stroked="f" style="position:absolute;width:511pt;height:28.1pt;z-index:1;margin-left:62.15pt;margin-top:688.75pt;mso-wrap-distance-left:0pt;mso-wrap-distance-right:0pt;mso-position-horizontal-relative:page;mso-position-vertical-relative:page">
            <w10:wrap anchorx="page" anchory="page"/>
            <v:fill opacity="1" o:opacity2="1" recolor="f" rotate="f" type="solid"/>
            <v:textbox inset="0pt, 0pt, 0pt, 0pt">
              <w:txbxContent>
                <w:p>
                  <w:pPr>
                    <w:spacing w:before="128" w:after="226" w:line="199" w:lineRule="exact"/>
                    <w:ind w:right="0" w:left="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34</w:t>
                  </w:r>
                  <w:r>
                    <w:rPr>
                      <w:rFonts w:ascii="Calibri" w:hAnsi="Calibri" w:eastAsia="Calibri"/>
                      <w:color w:val="000000"/>
                      <w:spacing w:val="0"/>
                      <w:w w:val="100"/>
                      <w:sz w:val="20"/>
                      <w:vertAlign w:val="baseline"/>
                      <w:lang w:val="en-US"/>
                    </w:rPr>
                    <w:t xml:space="preserve"> Source: Cornell University Population Density Maps for NYS Counties, February 2024.</w:t>
                  </w:r>
                </w:p>
              </w:txbxContent>
            </v:textbox>
          </v:shape>
        </w:pict>
      </w:r>
      <w:r>
        <w:pict>
          <v:shapetype id="_x0000_t424" coordsize="21600,21600" o:spt="202" path="m,l,21600r21600,l21600,xe">
            <v:stroke joinstyle="miter"/>
            <v:path gradientshapeok="t" o:connecttype="rect"/>
          </v:shapetype>
          <v:shape id="_x0000_s423" type="#_x0000_t424"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75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62.15pt,689.3pt" to="209.35pt,689.3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25" coordsize="21600,21600" o:spt="202" path="m,l,21600r21600,l21600,xe">
            <v:stroke joinstyle="miter"/>
            <v:path gradientshapeok="t" o:connecttype="rect"/>
          </v:shapetype>
          <v:shape id="_x0000_s424" type="#_x0000_t425" filled="f" stroked="f" style="position:absolute;width:317.75pt;height:282.5pt;z-index:-1;margin-left:293.75pt;margin-top:145.35pt;mso-wrap-distance-left:0pt;mso-wrap-distance-right:0pt;mso-position-horizontal-relative:page;mso-position-vertical-relative:page">
            <w10:wrap type="square"/>
            <v:fill opacity="1" o:opacity2="1" recolor="f" rotate="f" type="solid"/>
            <v:textbox inset="0pt, 0pt, 0pt, 0pt">
              <w:txbxContent>
                <w:p>
                  <w:pPr>
                    <w:spacing w:before="50" w:after="24" w:line="240" w:lineRule="auto"/>
                    <w:ind w:right="465" w:left="255"/>
                    <w:jc w:val="left"/>
                    <w:textAlignment w:val="baseline"/>
                  </w:pPr>
                  <w:r>
                    <w:drawing>
                      <wp:inline>
                        <wp:extent cx="3578225" cy="2987040"/>
                        <wp:docPr name="Picture" id="112"/>
                        <a:graphic>
                          <a:graphicData uri="http://schemas.openxmlformats.org/drawingml/2006/picture">
                            <pic:pic>
                              <pic:nvPicPr>
                                <pic:cNvPr id="112" name="Picture"/>
                                <pic:cNvPicPr preferRelativeResize="false"/>
                              </pic:nvPicPr>
                              <pic:blipFill>
                                <a:blip r:embed="prId112"/>
                                <a:stretch>
                                  <a:fillRect/>
                                </a:stretch>
                              </pic:blipFill>
                              <pic:spPr>
                                <a:xfrm>
                                  <a:off x="0" y="0"/>
                                  <a:ext cx="3578225" cy="2987040"/>
                                </a:xfrm>
                                <a:prstGeom prst="rect"/>
                              </pic:spPr>
                            </pic:pic>
                          </a:graphicData>
                        </a:graphic>
                      </wp:inline>
                    </w:drawing>
                  </w:r>
                </w:p>
                <w:p>
                  <w:pPr>
                    <w:spacing w:before="1" w:after="76" w:line="254" w:lineRule="exact"/>
                    <w:ind w:right="432" w:left="216"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Penn Yan students, Wilson and Keegan, with Yates County Public Health Educator, Emily End, at the Future Farmers of America (FFA) field day event at the Penn Yan Middle School.</w:t>
                  </w:r>
                </w:p>
              </w:txbxContent>
            </v:textbox>
          </v:shape>
        </w:pict>
      </w:r>
      <w:r>
        <w:pict>
          <v:shapetype id="_x0000_t426" coordsize="21600,21600" o:spt="202" path="m,l,21600r21600,l21600,xe">
            <v:stroke joinstyle="miter"/>
            <v:path gradientshapeok="t" o:connecttype="rect"/>
          </v:shapetype>
          <v:shape id="_x0000_s425" type="#_x0000_t426" filled="f" stroked="f" style="position:absolute;width:586.3pt;height:48pt;z-index:-1;margin-left:13.7pt;margin-top: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60" w:hRule="exact"/>
                    </w:trPr>
                    <w:tc>
                      <w:tcPr>
                        <w:tcW w:w="1108"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703580" cy="609600"/>
                              <wp:docPr name="Picture" id="113"/>
                              <a:graphic>
                                <a:graphicData uri="http://schemas.openxmlformats.org/drawingml/2006/picture">
                                  <pic:pic>
                                    <pic:nvPicPr>
                                      <pic:cNvPr id="113" name="Picture"/>
                                      <pic:cNvPicPr preferRelativeResize="false"/>
                                    </pic:nvPicPr>
                                    <pic:blipFill>
                                      <a:blip r:embed="prId113"/>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63"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54990" cy="576580"/>
                              <wp:docPr name="Picture" id="114"/>
                              <a:graphic>
                                <a:graphicData uri="http://schemas.openxmlformats.org/drawingml/2006/picture">
                                  <pic:pic>
                                    <pic:nvPicPr>
                                      <pic:cNvPr id="114" name="Picture"/>
                                      <pic:cNvPicPr preferRelativeResize="false"/>
                                    </pic:nvPicPr>
                                    <pic:blipFill>
                                      <a:blip r:embed="prId114"/>
                                      <a:stretch>
                                        <a:fillRect/>
                                      </a:stretch>
                                    </pic:blipFill>
                                    <pic:spPr>
                                      <a:xfrm>
                                        <a:off x="0" y="0"/>
                                        <a:ext cx="554990" cy="576580"/>
                                      </a:xfrm>
                                      <a:prstGeom prst="rect"/>
                                    </pic:spPr>
                                  </pic:pic>
                                </a:graphicData>
                              </a:graphic>
                            </wp:inline>
                          </w:drawing>
                        </w:r>
                      </w:p>
                    </w:tc>
                  </w:tr>
                </w:tbl>
              </w:txbxContent>
            </v:textbox>
          </v:shape>
        </w:pict>
      </w:r>
      <w:r>
        <w:pict>
          <v:shapetype id="_x0000_t427" coordsize="21600,21600" o:spt="202" path="m,l,21600r21600,l21600,xe">
            <v:stroke joinstyle="miter"/>
            <v:path gradientshapeok="t" o:connecttype="rect"/>
          </v:shapetype>
          <v:shape id="_x0000_s426" type="#_x0000_t427" filled="f" stroked="f" style="position:absolute;width:611.5pt;height:34.55pt;z-index:-1;margin-left:0pt;margin-top:77.7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115"/>
                        <a:graphic>
                          <a:graphicData uri="http://schemas.openxmlformats.org/drawingml/2006/picture">
                            <pic:pic>
                              <pic:nvPicPr>
                                <pic:cNvPr id="115" name="Picture"/>
                                <pic:cNvPicPr preferRelativeResize="false"/>
                              </pic:nvPicPr>
                              <pic:blipFill>
                                <a:blip r:embed="prId115"/>
                                <a:stretch>
                                  <a:fillRect/>
                                </a:stretch>
                              </pic:blipFill>
                              <pic:spPr>
                                <a:xfrm>
                                  <a:off x="0" y="0"/>
                                  <a:ext cx="7766050" cy="438785"/>
                                </a:xfrm>
                                <a:prstGeom prst="rect"/>
                              </pic:spPr>
                            </pic:pic>
                          </a:graphicData>
                        </a:graphic>
                      </wp:inline>
                    </w:drawing>
                  </w:r>
                </w:p>
              </w:txbxContent>
            </v:textbox>
          </v:shape>
        </w:pict>
      </w:r>
      <w:r>
        <w:pict>
          <v:shapetype id="_x0000_t428" coordsize="21600,21600" o:spt="202" path="m,l,21600r21600,l21600,xe">
            <v:stroke joinstyle="miter"/>
            <v:path gradientshapeok="t" o:connecttype="rect"/>
          </v:shapetype>
          <v:shape id="_x0000_s427" type="#_x0000_t428" filled="f" stroked="f" style="position:absolute;width:146.2pt;height:16.25pt;z-index:-1;margin-left:239.5pt;margin-top:82.4pt;mso-wrap-distance-left:0pt;mso-wrap-distance-right:0pt;mso-position-horizontal-relative:page;mso-position-vertical-relative:page">
            <w10:wrap type="square" side="both"/>
            <v:fill opacity="1" o:opacity2="1" recolor="f" rotate="f" type="solid"/>
            <v:textbox inset="0pt, 0pt, 0pt, 0pt">
              <w:txbxContent>
                <w:p>
                  <w:pPr>
                    <w:spacing w:before="33" w:after="4" w:line="287" w:lineRule="exact"/>
                    <w:ind w:right="0" w:left="0" w:firstLine="0"/>
                    <w:jc w:val="center"/>
                    <w:textAlignment w:val="baseline"/>
                    <w:rPr>
                      <w:rFonts w:ascii="Calibri" w:hAnsi="Calibri" w:eastAsia="Calibri"/>
                      <w:b w:val="true"/>
                      <w:color w:val="FFFFFF"/>
                      <w:spacing w:val="-6"/>
                      <w:w w:val="100"/>
                      <w:sz w:val="28"/>
                      <w:vertAlign w:val="baseline"/>
                      <w:lang w:val="en-US"/>
                    </w:rPr>
                  </w:pPr>
                  <w:r>
                    <w:rPr>
                      <w:rFonts w:ascii="Calibri" w:hAnsi="Calibri" w:eastAsia="Calibri"/>
                      <w:b w:val="true"/>
                      <w:color w:val="FFFFFF"/>
                      <w:spacing w:val="-6"/>
                      <w:w w:val="100"/>
                      <w:sz w:val="28"/>
                      <w:vertAlign w:val="baseline"/>
                      <w:lang w:val="en-US"/>
                    </w:rPr>
                    <w:t xml:space="preserve">Health Status Description</w:t>
                  </w:r>
                </w:p>
              </w:txbxContent>
            </v:textbox>
          </v:shape>
        </w:pict>
      </w:r>
      <w:r>
        <w:pict>
          <v:shapetype id="_x0000_t429" coordsize="21600,21600" o:spt="202" path="m,l,21600r21600,l21600,xe">
            <v:stroke joinstyle="miter"/>
            <v:path gradientshapeok="t" o:connecttype="rect"/>
          </v:shapetype>
          <v:shape id="_x0000_s428" type="#_x0000_t429" filled="f" stroked="f" style="position:absolute;width:612pt;height:24.3pt;z-index:1;margin-left:0pt;margin-top:121.05pt;mso-wrap-distance-left:0pt;mso-wrap-distance-right:0pt;mso-position-horizontal-relative:page;mso-position-vertical-relative:page">
            <w10:wrap anchorx="page" anchory="page"/>
            <v:fill opacity="1" o:opacity2="1" recolor="f" rotate="f" type="solid"/>
            <v:textbox inset="0pt, 0pt, 0pt, 0pt">
              <w:txbxContent>
                <w:p>
                  <w:pPr>
                    <w:spacing w:before="33" w:after="153" w:line="287"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Specific Methodology</w:t>
                  </w:r>
                </w:p>
              </w:txbxContent>
            </v:textbox>
          </v:shape>
        </w:pict>
      </w:r>
      <w:r>
        <w:pict>
          <v:shapetype id="_x0000_t430" coordsize="21600,21600" o:spt="202" path="m,l,21600r21600,l21600,xe">
            <v:stroke joinstyle="miter"/>
            <v:path gradientshapeok="t" o:connecttype="rect"/>
          </v:shapetype>
          <v:shape id="_x0000_s429" type="#_x0000_t430" filled="f" stroked="f" style="position:absolute;width:293.75pt;height:175.2pt;z-index:1;margin-left:0pt;margin-top:145.3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0" w:left="1440"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The CHA provides a comprehensive picture of a </w:t>
                  </w:r>
                  <w:r>
                    <w:rPr>
                      <w:rFonts w:ascii="Calibri" w:hAnsi="Calibri" w:eastAsia="Calibri"/>
                      <w:color w:val="000000"/>
                      <w:spacing w:val="-3"/>
                      <w:w w:val="100"/>
                      <w:sz w:val="22"/>
                      <w:vertAlign w:val="baseline"/>
                      <w:lang w:val="en-US"/>
                    </w:rPr>
                    <w:t xml:space="preserve">community’s current health status, including </w:t>
                  </w:r>
                  <w:r>
                    <w:rPr>
                      <w:rFonts w:ascii="Calibri" w:hAnsi="Calibri" w:eastAsia="Calibri"/>
                      <w:color w:val="000000"/>
                      <w:spacing w:val="-3"/>
                      <w:w w:val="100"/>
                      <w:sz w:val="22"/>
                      <w:vertAlign w:val="baseline"/>
                      <w:lang w:val="en-US"/>
                    </w:rPr>
                    <w:t xml:space="preserve">factors that contribute to health risks and </w:t>
                  </w:r>
                  <w:r>
                    <w:rPr>
                      <w:rFonts w:ascii="Calibri" w:hAnsi="Calibri" w:eastAsia="Calibri"/>
                      <w:color w:val="000000"/>
                      <w:spacing w:val="-3"/>
                      <w:w w:val="100"/>
                      <w:sz w:val="22"/>
                      <w:vertAlign w:val="baseline"/>
                      <w:lang w:val="en-US"/>
                    </w:rPr>
                    <w:t xml:space="preserve">challenges, and identifies priority health needs by </w:t>
                  </w:r>
                  <w:r>
                    <w:rPr>
                      <w:rFonts w:ascii="Calibri" w:hAnsi="Calibri" w:eastAsia="Calibri"/>
                      <w:color w:val="000000"/>
                      <w:spacing w:val="-3"/>
                      <w:w w:val="100"/>
                      <w:sz w:val="22"/>
                      <w:vertAlign w:val="baseline"/>
                      <w:lang w:val="en-US"/>
                    </w:rPr>
                    <w:t xml:space="preserve">analyzing local data and community input. </w:t>
                  </w:r>
                  <w:r>
                    <w:rPr>
                      <w:rFonts w:ascii="Calibri" w:hAnsi="Calibri" w:eastAsia="Calibri"/>
                      <w:color w:val="000000"/>
                      <w:spacing w:val="-3"/>
                      <w:w w:val="100"/>
                      <w:sz w:val="22"/>
                      <w:vertAlign w:val="baseline"/>
                      <w:lang w:val="en-US"/>
                    </w:rPr>
                    <w:t xml:space="preserve">Community members and key stakeholders were </w:t>
                  </w:r>
                  <w:r>
                    <w:rPr>
                      <w:rFonts w:ascii="Calibri" w:hAnsi="Calibri" w:eastAsia="Calibri"/>
                      <w:color w:val="000000"/>
                      <w:spacing w:val="-3"/>
                      <w:w w:val="100"/>
                      <w:sz w:val="22"/>
                      <w:vertAlign w:val="baseline"/>
                      <w:lang w:val="en-US"/>
                    </w:rPr>
                    <w:t xml:space="preserve">invited to be part of the CHA by participating in </w:t>
                  </w:r>
                  <w:r>
                    <w:rPr>
                      <w:rFonts w:ascii="Calibri" w:hAnsi="Calibri" w:eastAsia="Calibri"/>
                      <w:color w:val="000000"/>
                      <w:spacing w:val="-3"/>
                      <w:w w:val="100"/>
                      <w:sz w:val="22"/>
                      <w:vertAlign w:val="baseline"/>
                      <w:lang w:val="en-US"/>
                    </w:rPr>
                    <w:t xml:space="preserve">the CHIP steering committee, known as Choose </w:t>
                  </w:r>
                  <w:r>
                    <w:rPr>
                      <w:rFonts w:ascii="Calibri" w:hAnsi="Calibri" w:eastAsia="Calibri"/>
                      <w:color w:val="000000"/>
                      <w:spacing w:val="-3"/>
                      <w:w w:val="100"/>
                      <w:sz w:val="22"/>
                      <w:vertAlign w:val="baseline"/>
                      <w:lang w:val="en-US"/>
                    </w:rPr>
                    <w:t xml:space="preserve">Health Yates. Choose Health Yates met monthly in </w:t>
                  </w:r>
                  <w:r>
                    <w:rPr>
                      <w:rFonts w:ascii="Calibri" w:hAnsi="Calibri" w:eastAsia="Calibri"/>
                      <w:color w:val="000000"/>
                      <w:spacing w:val="-3"/>
                      <w:w w:val="100"/>
                      <w:sz w:val="22"/>
                      <w:vertAlign w:val="baseline"/>
                      <w:lang w:val="en-US"/>
                    </w:rPr>
                    <w:t xml:space="preserve">2025, except in January, May, July, and November.</w:t>
                  </w:r>
                </w:p>
                <w:p>
                  <w:pPr>
                    <w:spacing w:before="225" w:after="0" w:line="227" w:lineRule="exact"/>
                    <w:ind w:right="0" w:left="1440" w:firstLine="0"/>
                    <w:jc w:val="left"/>
                    <w:textAlignment w:val="baseline"/>
                    <w:rPr>
                      <w:rFonts w:ascii="Calibri" w:hAnsi="Calibri" w:eastAsia="Calibri"/>
                      <w:b w:val="true"/>
                      <w:color w:val="000000"/>
                      <w:spacing w:val="-1"/>
                      <w:w w:val="100"/>
                      <w:sz w:val="22"/>
                      <w:vertAlign w:val="baseline"/>
                      <w:lang w:val="en-US"/>
                    </w:rPr>
                  </w:pPr>
                  <w:r>
                    <w:rPr>
                      <w:rFonts w:ascii="Calibri" w:hAnsi="Calibri" w:eastAsia="Calibri"/>
                      <w:b w:val="true"/>
                      <w:color w:val="000000"/>
                      <w:spacing w:val="-1"/>
                      <w:w w:val="100"/>
                      <w:sz w:val="22"/>
                      <w:vertAlign w:val="baseline"/>
                      <w:lang w:val="en-US"/>
                    </w:rPr>
                    <w:t xml:space="preserve">Data Sources</w:t>
                  </w:r>
                </w:p>
              </w:txbxContent>
            </v:textbox>
          </v:shape>
        </w:pict>
      </w:r>
      <w:r>
        <w:pict>
          <v:shapetype id="_x0000_t431" coordsize="21600,21600" o:spt="202" path="m,l,21600r21600,l21600,xe">
            <v:stroke joinstyle="miter"/>
            <v:path gradientshapeok="t" o:connecttype="rect"/>
          </v:shapetype>
          <v:shape id="_x0000_s430" type="#_x0000_t431" filled="f" stroked="f" style="position:absolute;width:293.5pt;height:106.4pt;z-index:1;margin-left:0pt;margin-top:320.55pt;mso-wrap-distance-left:0pt;mso-wrap-distance-right:0pt;mso-position-horizontal-relative:page;mso-position-vertical-relative:page">
            <w10:wrap anchorx="page" anchory="page"/>
            <v:fill opacity="1" o:opacity2="1" recolor="f" rotate="f" type="solid"/>
            <v:textbox inset="0pt, 0pt, 0pt, 0pt">
              <w:txbxContent>
                <w:p>
                  <w:pPr>
                    <w:spacing w:before="103" w:after="0" w:line="290"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County’s CHA incorporated a blend of </w:t>
                  </w:r>
                  <w:r>
                    <w:rPr>
                      <w:rFonts w:ascii="Calibri" w:hAnsi="Calibri" w:eastAsia="Calibri"/>
                      <w:color w:val="000000"/>
                      <w:spacing w:val="0"/>
                      <w:w w:val="100"/>
                      <w:sz w:val="22"/>
                      <w:vertAlign w:val="baseline"/>
                      <w:lang w:val="en-US"/>
                    </w:rPr>
                    <w:t xml:space="preserve">quantitative and qualitative data sources, </w:t>
                  </w:r>
                  <w:r>
                    <w:rPr>
                      <w:rFonts w:ascii="Calibri" w:hAnsi="Calibri" w:eastAsia="Calibri"/>
                      <w:color w:val="000000"/>
                      <w:spacing w:val="0"/>
                      <w:w w:val="100"/>
                      <w:sz w:val="22"/>
                      <w:vertAlign w:val="baseline"/>
                      <w:lang w:val="en-US"/>
                    </w:rPr>
                    <w:t xml:space="preserve">including secondary data from the NYS Behavioral </w:t>
                  </w:r>
                  <w:r>
                    <w:rPr>
                      <w:rFonts w:ascii="Calibri" w:hAnsi="Calibri" w:eastAsia="Calibri"/>
                      <w:color w:val="000000"/>
                      <w:spacing w:val="0"/>
                      <w:w w:val="100"/>
                      <w:sz w:val="22"/>
                      <w:vertAlign w:val="baseline"/>
                      <w:lang w:val="en-US"/>
                    </w:rPr>
                    <w:t xml:space="preserve">Risk Factor Surveillance System (BRFSS), County </w:t>
                  </w:r>
                  <w:r>
                    <w:rPr>
                      <w:rFonts w:ascii="Calibri" w:hAnsi="Calibri" w:eastAsia="Calibri"/>
                      <w:color w:val="000000"/>
                      <w:spacing w:val="0"/>
                      <w:w w:val="100"/>
                      <w:sz w:val="22"/>
                      <w:vertAlign w:val="baseline"/>
                      <w:lang w:val="en-US"/>
                    </w:rPr>
                    <w:t xml:space="preserve">Health Rankings and Roadmaps, the National </w:t>
                  </w:r>
                  <w:r>
                    <w:rPr>
                      <w:rFonts w:ascii="Calibri" w:hAnsi="Calibri" w:eastAsia="Calibri"/>
                      <w:color w:val="000000"/>
                      <w:spacing w:val="0"/>
                      <w:w w:val="100"/>
                      <w:sz w:val="22"/>
                      <w:vertAlign w:val="baseline"/>
                      <w:lang w:val="en-US"/>
                    </w:rPr>
                    <w:t xml:space="preserve">Center for Health Statistics, the American </w:t>
                  </w:r>
                  <w:r>
                    <w:rPr>
                      <w:rFonts w:ascii="Calibri" w:hAnsi="Calibri" w:eastAsia="Calibri"/>
                      <w:color w:val="000000"/>
                      <w:spacing w:val="0"/>
                      <w:w w:val="100"/>
                      <w:sz w:val="22"/>
                      <w:vertAlign w:val="baseline"/>
                      <w:lang w:val="en-US"/>
                    </w:rPr>
                    <w:t xml:space="preserve">Community Survey, the U.S. Census, the NYS </w:t>
                  </w:r>
                </w:p>
              </w:txbxContent>
            </v:textbox>
          </v:shape>
        </w:pict>
      </w:r>
      <w:r>
        <w:pict>
          <v:shapetype id="_x0000_t432" coordsize="21600,21600" o:spt="202" path="m,l,21600r21600,l21600,xe">
            <v:stroke joinstyle="miter"/>
            <v:path gradientshapeok="t" o:connecttype="rect"/>
          </v:shapetype>
          <v:shape id="_x0000_s431" type="#_x0000_t432" filled="f" stroked="f" style="position:absolute;width:612pt;height:289.9pt;z-index:1;margin-left:0pt;margin-top:426.9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90"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Medicaid Program, and local performance reports.</w:t>
                  </w:r>
                </w:p>
                <w:p>
                  <w:pPr>
                    <w:spacing w:before="72"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Pivital Public Health Partnership assisted in the coordination, development, and distribution of the</w:t>
                  </w:r>
                </w:p>
                <w:p>
                  <w:pPr>
                    <w:spacing w:before="67"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assessments. The data collected from the assessments were used to tell the community’s story of overall</w:t>
                  </w:r>
                </w:p>
                <w:p>
                  <w:pPr>
                    <w:spacing w:before="67" w:after="0" w:line="221" w:lineRule="exact"/>
                    <w:ind w:right="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health and well-being.</w:t>
                  </w:r>
                </w:p>
                <w:p>
                  <w:pPr>
                    <w:spacing w:before="163" w:after="0" w:line="290"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partners played a key role throughout the development of the CHA by completing three </w:t>
                  </w:r>
                  <w:r>
                    <w:rPr>
                      <w:rFonts w:ascii="Calibri" w:hAnsi="Calibri" w:eastAsia="Calibri"/>
                      <w:color w:val="000000"/>
                      <w:spacing w:val="0"/>
                      <w:w w:val="100"/>
                      <w:sz w:val="22"/>
                      <w:vertAlign w:val="baseline"/>
                      <w:lang w:val="en-US"/>
                    </w:rPr>
                    <w:t xml:space="preserve">assessments:</w:t>
                  </w:r>
                </w:p>
                <w:p>
                  <w:pPr>
                    <w:numPr>
                      <w:ilvl w:val="0"/>
                      <w:numId w:val="2"/>
                    </w:numPr>
                    <w:tabs>
                      <w:tab w:val="clear" w:pos="360"/>
                      <w:tab w:val="left" w:pos="2160"/>
                    </w:tabs>
                    <w:spacing w:before="170" w:after="0" w:line="290" w:lineRule="exact"/>
                    <w:ind w:right="1656"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Partner Assessment (CPA): An evaluation of collective community partner systems </w:t>
                  </w:r>
                  <w:r>
                    <w:rPr>
                      <w:rFonts w:ascii="Calibri" w:hAnsi="Calibri" w:eastAsia="Calibri"/>
                      <w:color w:val="000000"/>
                      <w:spacing w:val="0"/>
                      <w:w w:val="100"/>
                      <w:sz w:val="22"/>
                      <w:vertAlign w:val="baseline"/>
                      <w:lang w:val="en-US"/>
                    </w:rPr>
                    <w:t xml:space="preserve">and capacities to identify partners working in the areas of health inequities.</w:t>
                  </w:r>
                </w:p>
                <w:p>
                  <w:pPr>
                    <w:numPr>
                      <w:ilvl w:val="0"/>
                      <w:numId w:val="2"/>
                    </w:numPr>
                    <w:tabs>
                      <w:tab w:val="clear" w:pos="360"/>
                      <w:tab w:val="left" w:pos="2160"/>
                    </w:tabs>
                    <w:spacing w:before="13" w:after="0" w:line="290" w:lineRule="exact"/>
                    <w:ind w:right="1512"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Status Assessment (CSA): A compilation of quantitative data from the state and local </w:t>
                  </w:r>
                  <w:r>
                    <w:rPr>
                      <w:rFonts w:ascii="Calibri" w:hAnsi="Calibri" w:eastAsia="Calibri"/>
                      <w:color w:val="000000"/>
                      <w:spacing w:val="0"/>
                      <w:w w:val="100"/>
                      <w:sz w:val="22"/>
                      <w:vertAlign w:val="baseline"/>
                      <w:lang w:val="en-US"/>
                    </w:rPr>
                    <w:t xml:space="preserve">level to identify trends related to the social determinants of health and systems of power and </w:t>
                  </w:r>
                  <w:r>
                    <w:rPr>
                      <w:rFonts w:ascii="Calibri" w:hAnsi="Calibri" w:eastAsia="Calibri"/>
                      <w:color w:val="000000"/>
                      <w:spacing w:val="0"/>
                      <w:w w:val="100"/>
                      <w:sz w:val="22"/>
                      <w:vertAlign w:val="baseline"/>
                      <w:lang w:val="en-US"/>
                    </w:rPr>
                    <w:t xml:space="preserve">privilege.</w:t>
                  </w:r>
                </w:p>
                <w:p>
                  <w:pPr>
                    <w:numPr>
                      <w:ilvl w:val="0"/>
                      <w:numId w:val="2"/>
                    </w:numPr>
                    <w:tabs>
                      <w:tab w:val="clear" w:pos="360"/>
                      <w:tab w:val="left" w:pos="2160"/>
                    </w:tabs>
                    <w:spacing w:before="10" w:after="0" w:line="290" w:lineRule="exact"/>
                    <w:ind w:right="1512" w:left="2160" w:hanging="36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Context Assessment (CCA): A collection of community voices and qualitative data to </w:t>
                  </w:r>
                  <w:r>
                    <w:rPr>
                      <w:rFonts w:ascii="Calibri" w:hAnsi="Calibri" w:eastAsia="Calibri"/>
                      <w:color w:val="000000"/>
                      <w:spacing w:val="0"/>
                      <w:w w:val="100"/>
                      <w:sz w:val="22"/>
                      <w:vertAlign w:val="baseline"/>
                      <w:lang w:val="en-US"/>
                    </w:rPr>
                    <w:t xml:space="preserve">better understand the lived experience and priorities of those affected by inequities.</w:t>
                  </w:r>
                </w:p>
                <w:p>
                  <w:pPr>
                    <w:spacing w:before="225" w:after="0" w:line="227" w:lineRule="exact"/>
                    <w:ind w:right="0" w:left="1440"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Community Engagement</w:t>
                  </w:r>
                </w:p>
                <w:p>
                  <w:pPr>
                    <w:spacing w:before="159" w:after="571" w:line="290"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Each assessment looked to gather different information by targeting different sectors of the community. </w:t>
                  </w:r>
                  <w:r>
                    <w:rPr>
                      <w:rFonts w:ascii="Calibri" w:hAnsi="Calibri" w:eastAsia="Calibri"/>
                      <w:color w:val="000000"/>
                      <w:spacing w:val="-2"/>
                      <w:w w:val="100"/>
                      <w:sz w:val="22"/>
                      <w:vertAlign w:val="baseline"/>
                      <w:lang w:val="en-US"/>
                    </w:rPr>
                    <w:t xml:space="preserve">The CPA was completed via an online survey platform and distributed to approximately 22 members of</w:t>
                  </w:r>
                </w:p>
              </w:txbxContent>
            </v:textbox>
          </v:shape>
        </w:pict>
      </w:r>
      <w:r>
        <w:pict>
          <v:shapetype id="_x0000_t433" coordsize="21600,21600" o:spt="202" path="m,l,21600r21600,l21600,xe">
            <v:stroke joinstyle="miter"/>
            <v:path gradientshapeok="t" o:connecttype="rect"/>
          </v:shapetype>
          <v:shape id="_x0000_s432" type="#_x0000_t43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76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1.5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319" w:top="18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34" coordsize="21600,21600" o:spt="202" path="m,l,21600r21600,l21600,xe">
            <v:stroke joinstyle="miter"/>
            <v:path gradientshapeok="t" o:connecttype="rect"/>
          </v:shapetype>
          <v:shape id="_x0000_s433" type="#_x0000_t434"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16"/>
                              <a:graphic>
                                <a:graphicData uri="http://schemas.openxmlformats.org/drawingml/2006/picture">
                                  <pic:pic>
                                    <pic:nvPicPr>
                                      <pic:cNvPr id="116" name="Picture"/>
                                      <pic:cNvPicPr preferRelativeResize="false"/>
                                    </pic:nvPicPr>
                                    <pic:blipFill>
                                      <a:blip r:embed="prId11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17"/>
                              <a:graphic>
                                <a:graphicData uri="http://schemas.openxmlformats.org/drawingml/2006/picture">
                                  <pic:pic>
                                    <pic:nvPicPr>
                                      <pic:cNvPr id="117" name="Picture"/>
                                      <pic:cNvPicPr preferRelativeResize="false"/>
                                    </pic:nvPicPr>
                                    <pic:blipFill>
                                      <a:blip r:embed="prId117"/>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435" coordsize="21600,21600" o:spt="202" path="m,l,21600r21600,l21600,xe">
            <v:stroke joinstyle="miter"/>
            <v:path gradientshapeok="t" o:connecttype="rect"/>
          </v:shapetype>
          <v:shape id="_x0000_s434" type="#_x0000_t435" filled="f" stroked="f" style="position:absolute;width:612pt;height:646.85pt;z-index:-1;margin-left:0pt;margin-top:70pt;mso-wrap-distance-left:0pt;mso-wrap-distance-right:0pt;mso-position-horizontal-relative:page;mso-position-vertical-relative:page">
            <w10:wrap type="square" side="both"/>
            <v:fill opacity="1" o:opacity2="1" recolor="f" rotate="f" type="solid"/>
            <v:textbox inset="0pt, 0pt, 0pt, 0pt">
              <w:txbxContent>
                <w:p>
                  <w:pPr>
                    <w:spacing w:before="0" w:after="0" w:line="289" w:lineRule="exact"/>
                    <w:ind w:right="1728"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Choose Health Yates committee in February 2025. The response rate was approximately 46%, and the results were shared with the group to highlight partner strengths that could assist with the CHIP.</w:t>
                  </w:r>
                </w:p>
                <w:p>
                  <w:pPr>
                    <w:spacing w:before="157" w:after="0" w:line="290" w:lineRule="exact"/>
                    <w:ind w:right="1656"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second assessment, the CCA, was developed in March and conducted between April and May of 2025. During the CCA, a regional survey was developed and distributed to gather community feedback. The questions focused on the following categories provided by the MAPP 2.0 CCA assessment toolkit: overall health behaviors and outcomes, community strengths and assets, built environment, and forces of change. Choose Health Yates made it a priority to ensure disproportionately affected populations were included in qualitative data collection by choosing various engagement methods. Yates County Public Health, along with various other stakeholders, held focus groups, community dialogues, and interviews/discussions to collect qualitative data. A total of 11 engagement sessions were conducted throughout the CCA process. Yates County Public Health did attempt a PhotoVoice with the aging population, but due to low attendance, the session was cancelled.</w:t>
                  </w:r>
                </w:p>
                <w:p>
                  <w:pPr>
                    <w:spacing w:before="162"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Overall, the engagement methods were a great success, yielding rich insight from diverse target populations. Targeted populations included: aging population, low-income neighborhoods, youth, incarcerated individuals, faith-based groups, agricultural workers, and Mennonites. Choose Health Yates methodically identified where these populations were already meeting, and the agency conducting the CCA asked to be invited to the gathering to conduct the assessment. The groups provided extensive constructive feedback that painted a clear picture of community needs and existing strengths to build upon. Preliminary data from the CCA were shared at each monthly meeting with Choose Health Yates to gather input from committee members.</w:t>
                  </w:r>
                </w:p>
                <w:p>
                  <w:pPr>
                    <w:spacing w:before="155"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the CCA was being conducted, Pivital Public Health Partnership completed the CSA. This was completed by compiling secondary data into scorecards stored in the performance management system, Clear Impact. The scorecards made data easily accessible and shareable among stakeholders and community members, helping review the overall health status of Yates County.</w:t>
                  </w:r>
                </w:p>
                <w:p>
                  <w:pPr>
                    <w:spacing w:before="161"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Throughout the assessments, the Choose Health Yates committee met regularly to present and discuss findings from all three assessments. These sessions encouraged questions, feedback, and shared interpretation of the data. The full committee collaboratively reviewed and discussed the triangulated results, allowing partners to validate findings and contribute to identifying several cross-cuffing themes. These themes included:</w:t>
                  </w:r>
                </w:p>
                <w:p>
                  <w:pPr>
                    <w:numPr>
                      <w:ilvl w:val="0"/>
                      <w:numId w:val="2"/>
                    </w:numPr>
                    <w:tabs>
                      <w:tab w:val="clear" w:pos="360"/>
                      <w:tab w:val="left" w:pos="2160"/>
                    </w:tabs>
                    <w:spacing w:before="215"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Care/Insurance Stability</w:t>
                  </w:r>
                </w:p>
                <w:p>
                  <w:pPr>
                    <w:numPr>
                      <w:ilvl w:val="0"/>
                      <w:numId w:val="2"/>
                    </w:numPr>
                    <w:tabs>
                      <w:tab w:val="clear" w:pos="360"/>
                      <w:tab w:val="left" w:pos="2160"/>
                    </w:tabs>
                    <w:spacing w:before="36"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Active Transportation &amp; Physical Activity</w:t>
                  </w:r>
                </w:p>
                <w:p>
                  <w:pPr>
                    <w:numPr>
                      <w:ilvl w:val="0"/>
                      <w:numId w:val="2"/>
                    </w:numPr>
                    <w:tabs>
                      <w:tab w:val="clear" w:pos="360"/>
                      <w:tab w:val="left" w:pos="2160"/>
                    </w:tabs>
                    <w:spacing w:before="35"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&amp; Affordability</w:t>
                  </w:r>
                </w:p>
                <w:p>
                  <w:pPr>
                    <w:numPr>
                      <w:ilvl w:val="0"/>
                      <w:numId w:val="2"/>
                    </w:numPr>
                    <w:tabs>
                      <w:tab w:val="clear" w:pos="360"/>
                      <w:tab w:val="left" w:pos="2160"/>
                    </w:tabs>
                    <w:spacing w:before="35"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Wellbeing &amp; Substance Use</w:t>
                  </w:r>
                </w:p>
                <w:p>
                  <w:pPr>
                    <w:numPr>
                      <w:ilvl w:val="0"/>
                      <w:numId w:val="2"/>
                    </w:numPr>
                    <w:tabs>
                      <w:tab w:val="clear" w:pos="360"/>
                      <w:tab w:val="left" w:pos="2160"/>
                    </w:tabs>
                    <w:spacing w:before="35"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Injuries &amp; Violence</w:t>
                  </w:r>
                </w:p>
                <w:p>
                  <w:pPr>
                    <w:numPr>
                      <w:ilvl w:val="0"/>
                      <w:numId w:val="2"/>
                    </w:numPr>
                    <w:tabs>
                      <w:tab w:val="clear" w:pos="360"/>
                      <w:tab w:val="left" w:pos="2160"/>
                    </w:tabs>
                    <w:spacing w:before="36" w:after="0" w:line="233"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Continued Education</w:t>
                  </w:r>
                </w:p>
                <w:p>
                  <w:pPr>
                    <w:spacing w:before="233" w:after="120" w:line="290"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cross-cuffing themes were used to develop issue statements for each priority area. The issue statements were used to complete root cause analyses and create issue profiles for each health priority. Partners actively participated in analyzing and reviewing these issue profiles. The group then completed a prioritization matrix process to refine options further by systematically comparing identified issues through selection, weighing, and applying a ranking criterion. The ranking criteria included: relevance to the community, magnitude or severity, impact on communities affected by inequities, availability and</w:t>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77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37" coordsize="21600,21600" o:spt="202" path="m,l,21600r21600,l21600,xe">
            <v:stroke joinstyle="miter"/>
            <v:path gradientshapeok="t" o:connecttype="rect"/>
          </v:shapetype>
          <v:shape id="_x0000_s436" type="#_x0000_t43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3"/>
                    <w:gridCol w:w="9739"/>
                    <w:gridCol w:w="874"/>
                  </w:tblGrid>
                  <w:tr>
                    <w:trPr>
                      <w:trHeight w:val="988" w:hRule="exact"/>
                    </w:trPr>
                    <w:tc>
                      <w:tcPr>
                        <w:tcW w:w="1113"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6755" cy="609600"/>
                              <wp:docPr name="Picture" id="118"/>
                              <a:graphic>
                                <a:graphicData uri="http://schemas.openxmlformats.org/drawingml/2006/picture">
                                  <pic:pic>
                                    <pic:nvPicPr>
                                      <pic:cNvPr id="118" name="Picture"/>
                                      <pic:cNvPicPr preferRelativeResize="false"/>
                                    </pic:nvPicPr>
                                    <pic:blipFill>
                                      <a:blip r:embed="prId118"/>
                                      <a:stretch>
                                        <a:fillRect/>
                                      </a:stretch>
                                    </pic:blipFill>
                                    <pic:spPr>
                                      <a:xfrm>
                                        <a:off x="0" y="0"/>
                                        <a:ext cx="706755" cy="609600"/>
                                      </a:xfrm>
                                      <a:prstGeom prst="rect"/>
                                    </pic:spPr>
                                  </pic:pic>
                                </a:graphicData>
                              </a:graphic>
                            </wp:inline>
                          </w:drawing>
                        </w:r>
                      </w:p>
                    </w:tc>
                    <w:tc>
                      <w:tcPr>
                        <w:tcW w:w="9739"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19"/>
                              <a:graphic>
                                <a:graphicData uri="http://schemas.openxmlformats.org/drawingml/2006/picture">
                                  <pic:pic>
                                    <pic:nvPicPr>
                                      <pic:cNvPr id="119" name="Picture"/>
                                      <pic:cNvPicPr preferRelativeResize="false"/>
                                    </pic:nvPicPr>
                                    <pic:blipFill>
                                      <a:blip r:embed="prId119"/>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438" coordsize="21600,21600" o:spt="202" path="m,l,21600r21600,l21600,xe">
            <v:stroke joinstyle="miter"/>
            <v:path gradientshapeok="t" o:connecttype="rect"/>
          </v:shapetype>
          <v:shape id="_x0000_s437" type="#_x0000_t438" filled="f" stroked="f" style="position:absolute;width:612pt;height:273.65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2" w:after="0" w:line="289"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feasibility of solutions, and availability of resources. This process ensured that shared priorities reflected both data and community voice. Yates County Public Health shared its prioritization matrix process with the Choose Health Yates committee, which consisted of small group community members.</w:t>
                  </w:r>
                </w:p>
                <w:p>
                  <w:pPr>
                    <w:spacing w:before="160" w:after="0" w:line="289" w:lineRule="exact"/>
                    <w:ind w:right="180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final CHA will be made available to the public through several platforms including posting on the Yates County Public Health website, sharing infographics on social media (Facebook, Instagram), distribution to the Yates County Legislature and community partners, and discussion on local radio (WFLR).</w:t>
                  </w:r>
                </w:p>
                <w:p>
                  <w:pPr>
                    <w:spacing w:before="236" w:after="0" w:line="287"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County Health Rankings</w:t>
                  </w:r>
                </w:p>
                <w:p>
                  <w:pPr>
                    <w:spacing w:before="170"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County Health Rankings &amp; Roadmaps program highlights differences in community health within and across communities. This ranking system assesses several variables, including community conditions, population health and well-being, social and economic factors, and built environment.</w:t>
                  </w:r>
                </w:p>
                <w:p>
                  <w:pPr>
                    <w:spacing w:before="163" w:after="114"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is ranked above the national and state averages for health and well-being (Figure Y3). This measure reflects the overall quality of life and the ability to thrive within a community. Variables affecting physical, mental, spiritual, and social well-being are included in this measure. This ranking signals that Yates County is a community that supports its residents and provides the foundation for living, growing, and succeeding.</w:t>
                  </w:r>
                </w:p>
              </w:txbxContent>
            </v:textbox>
          </v:shape>
        </w:pict>
      </w:r>
      <w:r>
        <w:pict>
          <v:shapetype id="_x0000_t439" coordsize="21600,21600" o:spt="202" path="m,l,21600r21600,l21600,xe">
            <v:stroke joinstyle="miter"/>
            <v:path gradientshapeok="t" o:connecttype="rect"/>
          </v:shapetype>
          <v:shape id="_x0000_s438" type="#_x0000_t439" filled="f" stroked="f" style="position:absolute;width:371pt;height:361.9pt;z-index:-1;margin-left:16.1pt;margin-top:343.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4711700" cy="4596130"/>
                        <wp:docPr name="Picture" id="120"/>
                        <a:graphic>
                          <a:graphicData uri="http://schemas.openxmlformats.org/drawingml/2006/picture">
                            <pic:pic>
                              <pic:nvPicPr>
                                <pic:cNvPr id="120" name="Picture"/>
                                <pic:cNvPicPr preferRelativeResize="false"/>
                              </pic:nvPicPr>
                              <pic:blipFill>
                                <a:blip r:embed="prId120"/>
                                <a:stretch>
                                  <a:fillRect/>
                                </a:stretch>
                              </pic:blipFill>
                              <pic:spPr>
                                <a:xfrm>
                                  <a:off x="0" y="0"/>
                                  <a:ext cx="4711700" cy="4596130"/>
                                </a:xfrm>
                                <a:prstGeom prst="rect"/>
                              </pic:spPr>
                            </pic:pic>
                          </a:graphicData>
                        </a:graphic>
                      </wp:inline>
                    </w:drawing>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144.95pt;height:10.2pt;z-index:-1;margin-left:29.3pt;margin-top:350.75pt;mso-wrap-distance-left:0pt;mso-wrap-distance-right:0pt;mso-position-horizontal-relative:page;mso-position-vertical-relative:page">
            <w10:wrap type="square" side="both"/>
            <v:fill opacity="1" o:opacity2="1" recolor="f" rotate="f" type="solid"/>
            <v:textbox inset="0pt, 0pt, 0pt, 0pt">
              <w:txbxContent>
                <w:p>
                  <w:pPr>
                    <w:spacing w:before="20" w:after="0" w:line="179" w:lineRule="exact"/>
                    <w:ind w:right="0" w:left="0" w:firstLine="0"/>
                    <w:jc w:val="left"/>
                    <w:textAlignment w:val="baseline"/>
                    <w:rPr>
                      <w:rFonts w:ascii="Calibri" w:hAnsi="Calibri" w:eastAsia="Calibri"/>
                      <w:i w:val="true"/>
                      <w:color w:val="000000"/>
                      <w:spacing w:val="-3"/>
                      <w:w w:val="100"/>
                      <w:sz w:val="18"/>
                      <w:vertAlign w:val="baseline"/>
                      <w:lang w:val="en-US"/>
                    </w:rPr>
                  </w:pPr>
                  <w:r>
                    <w:rPr>
                      <w:rFonts w:ascii="Calibri" w:hAnsi="Calibri" w:eastAsia="Calibri"/>
                      <w:i w:val="true"/>
                      <w:color w:val="000000"/>
                      <w:spacing w:val="-3"/>
                      <w:w w:val="100"/>
                      <w:sz w:val="18"/>
                      <w:vertAlign w:val="baseline"/>
                      <w:lang w:val="en-US"/>
                    </w:rPr>
                    <w:t xml:space="preserve">Figure Y3: Health and Well-Being (2025)</w:t>
                  </w:r>
                </w:p>
              </w:txbxContent>
            </v:textbox>
          </v:shape>
        </w:pict>
      </w:r>
      <w:r>
        <w:pict>
          <v:shapetype id="_x0000_t441" coordsize="21600,21600" o:spt="202" path="m,l,21600r21600,l21600,xe">
            <v:stroke joinstyle="miter"/>
            <v:path gradientshapeok="t" o:connecttype="rect"/>
          </v:shapetype>
          <v:shape id="_x0000_s440" type="#_x0000_t441" filled="f" stroked="f" style="position:absolute;width:115.9pt;height:10.25pt;z-index:-1;margin-left:27.85pt;margin-top:501.45pt;mso-wrap-distance-left:0pt;mso-wrap-distance-right:0pt;mso-position-horizontal-relative:page;mso-position-vertical-relative:page">
            <w10:wrap type="square" side="both"/>
            <v:fill opacity="1" o:opacity2="1" recolor="f" rotate="f" type="solid"/>
            <v:textbox inset="0pt, 0pt, 0pt, 0pt">
              <w:txbxContent>
                <w:p>
                  <w:pPr>
                    <w:spacing w:before="20" w:after="0" w:line="175" w:lineRule="exact"/>
                    <w:ind w:right="0" w:left="0" w:firstLine="0"/>
                    <w:jc w:val="left"/>
                    <w:textAlignment w:val="baseline"/>
                    <w:rPr>
                      <w:rFonts w:ascii="Calibri" w:hAnsi="Calibri" w:eastAsia="Calibri"/>
                      <w:i w:val="true"/>
                      <w:color w:val="0B2947"/>
                      <w:spacing w:val="-3"/>
                      <w:w w:val="100"/>
                      <w:sz w:val="18"/>
                      <w:vertAlign w:val="baseline"/>
                      <w:lang w:val="en-US"/>
                    </w:rPr>
                  </w:pPr>
                  <w:r>
                    <w:rPr>
                      <w:rFonts w:ascii="Calibri" w:hAnsi="Calibri" w:eastAsia="Calibri"/>
                      <w:i w:val="true"/>
                      <w:color w:val="0B2947"/>
                      <w:spacing w:val="-3"/>
                      <w:w w:val="100"/>
                      <w:sz w:val="18"/>
                      <w:vertAlign w:val="baseline"/>
                      <w:lang w:val="en-US"/>
                    </w:rPr>
                    <w:t xml:space="preserve">Source: County Health Rankings</w:t>
                  </w:r>
                </w:p>
              </w:txbxContent>
            </v:textbox>
          </v:shape>
        </w:pict>
      </w:r>
      <w:r>
        <w:pict>
          <v:shapetype id="_x0000_t442" coordsize="21600,21600" o:spt="202" path="m,l,21600r21600,l21600,xe">
            <v:stroke joinstyle="miter"/>
            <v:path gradientshapeok="t" o:connecttype="rect"/>
          </v:shapetype>
          <v:shape id="_x0000_s441" type="#_x0000_t442" filled="f" stroked="f" style="position:absolute;width:170.4pt;height:10.2pt;z-index:-1;margin-left:28.1pt;margin-top:534.1pt;mso-wrap-distance-left:0pt;mso-wrap-distance-right:0pt;mso-position-horizontal-relative:page;mso-position-vertical-relative:page">
            <w10:wrap type="square" side="both"/>
            <v:fill opacity="1" o:opacity2="1" recolor="f" rotate="f" type="solid"/>
            <v:textbox inset="0pt, 0pt, 0pt, 0pt">
              <w:txbxContent>
                <w:p>
                  <w:pPr>
                    <w:spacing w:before="20" w:after="0" w:line="170" w:lineRule="exact"/>
                    <w:ind w:right="0" w:left="0" w:firstLine="0"/>
                    <w:jc w:val="left"/>
                    <w:textAlignment w:val="baseline"/>
                    <w:rPr>
                      <w:rFonts w:ascii="Calibri" w:hAnsi="Calibri" w:eastAsia="Calibri"/>
                      <w:i w:val="true"/>
                      <w:color w:val="000000"/>
                      <w:spacing w:val="-3"/>
                      <w:w w:val="100"/>
                      <w:sz w:val="18"/>
                      <w:vertAlign w:val="baseline"/>
                      <w:lang w:val="en-US"/>
                    </w:rPr>
                  </w:pPr>
                  <w:r>
                    <w:rPr>
                      <w:rFonts w:ascii="Calibri" w:hAnsi="Calibri" w:eastAsia="Calibri"/>
                      <w:i w:val="true"/>
                      <w:color w:val="000000"/>
                      <w:spacing w:val="-3"/>
                      <w:w w:val="100"/>
                      <w:sz w:val="18"/>
                      <w:vertAlign w:val="baseline"/>
                      <w:lang w:val="en-US"/>
                    </w:rPr>
                    <w:t xml:space="preserve">Figure Y4: Community Condifions/SDOH (2025)</w:t>
                  </w:r>
                </w:p>
              </w:txbxContent>
            </v:textbox>
          </v:shape>
        </w:pict>
      </w:r>
      <w:r>
        <w:pict>
          <v:shapetype id="_x0000_t443" coordsize="21600,21600" o:spt="202" path="m,l,21600r21600,l21600,xe">
            <v:stroke joinstyle="miter"/>
            <v:path gradientshapeok="t" o:connecttype="rect"/>
          </v:shapetype>
          <v:shape id="_x0000_s442" type="#_x0000_t443" filled="f" stroked="f" style="position:absolute;width:115.9pt;height:10.25pt;z-index:-1;margin-left:27.6pt;margin-top:685.05pt;mso-wrap-distance-left:0pt;mso-wrap-distance-right:0pt;mso-position-horizontal-relative:page;mso-position-vertical-relative:page">
            <w10:wrap type="square" side="both"/>
            <v:fill opacity="1" o:opacity2="1" recolor="f" rotate="f" type="solid"/>
            <v:textbox inset="0pt, 0pt, 0pt, 0pt">
              <w:txbxContent>
                <w:p>
                  <w:pPr>
                    <w:spacing w:before="20" w:after="0" w:line="175" w:lineRule="exact"/>
                    <w:ind w:right="0" w:left="0" w:firstLine="0"/>
                    <w:jc w:val="left"/>
                    <w:textAlignment w:val="baseline"/>
                    <w:rPr>
                      <w:rFonts w:ascii="Calibri" w:hAnsi="Calibri" w:eastAsia="Calibri"/>
                      <w:i w:val="true"/>
                      <w:color w:val="0B2947"/>
                      <w:spacing w:val="-3"/>
                      <w:w w:val="100"/>
                      <w:sz w:val="18"/>
                      <w:vertAlign w:val="baseline"/>
                      <w:lang w:val="en-US"/>
                    </w:rPr>
                  </w:pPr>
                  <w:r>
                    <w:rPr>
                      <w:rFonts w:ascii="Calibri" w:hAnsi="Calibri" w:eastAsia="Calibri"/>
                      <w:i w:val="true"/>
                      <w:color w:val="0B2947"/>
                      <w:spacing w:val="-3"/>
                      <w:w w:val="100"/>
                      <w:sz w:val="18"/>
                      <w:vertAlign w:val="baseline"/>
                      <w:lang w:val="en-US"/>
                    </w:rPr>
                    <w:t xml:space="preserve">Source: County Health Rankings</w:t>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47pt;height:373.15pt;z-index:1;margin-left:392.65pt;margin-top:343.7pt;mso-wrap-distance-left:0pt;mso-wrap-distance-right:0pt;mso-position-horizontal-relative:page;mso-position-vertical-relative:page">
            <w10:wrap anchorx="page" anchory="page"/>
            <v:fill opacity="1" o:opacity2="1" recolor="f" rotate="f" type="solid"/>
            <v:textbox inset="0pt, 0pt, 0pt, 0pt">
              <w:txbxContent>
                <w:p>
                  <w:pPr>
                    <w:spacing w:before="57" w:after="750" w:line="289" w:lineRule="exact"/>
                    <w:ind w:right="72"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However, rankings of community conditions and the Social Determinants of Health fall below the state average and are roughly comparable to the national average (Figure Y4). The Social Determinants of Health refer to the non-medical factors that influence individual and community health outcomes, including economic stability; access to and quality of education; access to and quality of healthcare; neighborhood and built environment; and social and community context. This ranking signifies that, despite the overall quality of life exceeding state and national averages, there is still work to be done to address underlying factors affecting community health outcomes.</w:t>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78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46" coordsize="21600,21600" o:spt="202" path="m,l,21600r21600,l21600,xe">
            <v:stroke joinstyle="miter"/>
            <v:path gradientshapeok="t" o:connecttype="rect"/>
          </v:shapetype>
          <v:shape id="_x0000_s445" type="#_x0000_t446"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21"/>
                              <a:graphic>
                                <a:graphicData uri="http://schemas.openxmlformats.org/drawingml/2006/picture">
                                  <pic:pic>
                                    <pic:nvPicPr>
                                      <pic:cNvPr id="121" name="Picture"/>
                                      <pic:cNvPicPr preferRelativeResize="false"/>
                                    </pic:nvPicPr>
                                    <pic:blipFill>
                                      <a:blip r:embed="prId121"/>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22"/>
                              <a:graphic>
                                <a:graphicData uri="http://schemas.openxmlformats.org/drawingml/2006/picture">
                                  <pic:pic>
                                    <pic:nvPicPr>
                                      <pic:cNvPr id="122" name="Picture"/>
                                      <pic:cNvPicPr preferRelativeResize="false"/>
                                    </pic:nvPicPr>
                                    <pic:blipFill>
                                      <a:blip r:embed="prId122"/>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497pt;height:127.8pt;z-index:1;margin-left:71.3pt;margin-top:72.1pt;mso-wrap-distance-left:0pt;mso-wrap-distance-right:0pt;mso-position-horizontal-relative:page;mso-position-vertical-relative:page">
            <w10:wrap anchorx="page" anchory="page"/>
            <v:fill opacity="1" o:opacity2="1" recolor="f" rotate="f" type="solid"/>
            <v:textbox inset="0pt, 0pt, 0pt, 0pt">
              <w:txbxContent>
                <w:p>
                  <w:pPr>
                    <w:spacing w:before="33" w:after="0" w:line="287" w:lineRule="exact"/>
                    <w:ind w:right="0" w:left="0" w:firstLine="0"/>
                    <w:jc w:val="left"/>
                    <w:textAlignment w:val="baseline"/>
                    <w:rPr>
                      <w:rFonts w:ascii="Calibri" w:hAnsi="Calibri" w:eastAsia="Calibri"/>
                      <w:b w:val="true"/>
                      <w:color w:val="000000"/>
                      <w:spacing w:val="-1"/>
                      <w:w w:val="100"/>
                      <w:sz w:val="28"/>
                      <w:vertAlign w:val="baseline"/>
                      <w:lang w:val="en-US"/>
                    </w:rPr>
                  </w:pPr>
                  <w:r>
                    <w:rPr>
                      <w:rFonts w:ascii="Calibri" w:hAnsi="Calibri" w:eastAsia="Calibri"/>
                      <w:b w:val="true"/>
                      <w:color w:val="000000"/>
                      <w:spacing w:val="-1"/>
                      <w:w w:val="100"/>
                      <w:sz w:val="28"/>
                      <w:vertAlign w:val="baseline"/>
                      <w:lang w:val="en-US"/>
                    </w:rPr>
                    <w:t xml:space="preserve">New York State Prevention Agenda 2025-2030</w:t>
                  </w:r>
                </w:p>
                <w:p>
                  <w:pPr>
                    <w:spacing w:before="167" w:after="0" w:line="289" w:lineRule="exact"/>
                    <w:ind w:right="576"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Y2 identifies the New York State Department of Health (NYSDOH) Prevention Agenda domains and priorities (see Regional Chapter for further information). The “Community Partners” column shows the percentage of partners in the CPA who expressed that each domain is either very important or important to address, or who are unsure of its importance. Bolded priorities are those Yates County has chosen to prioritize during this CHA cycle.</w:t>
                  </w:r>
                </w:p>
                <w:p>
                  <w:pPr>
                    <w:spacing w:before="229" w:after="206" w:line="179" w:lineRule="exact"/>
                    <w:ind w:right="0" w:left="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Y2: NYS Prevention Agenda</w:t>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497pt;height:516.95pt;z-index:1;margin-left:71.3pt;margin-top:199.9pt;mso-wrap-distance-left:0pt;mso-wrap-distance-right:0pt;mso-position-horizontal-relative:page;mso-position-vertical-relative:page">
            <w10:wrap anchorx="page" anchory="page"/>
            <v:fill opacity="1" o:opacity2="1" recolor="f" rotate="f" type="solid"/>
            <v:textbox inset="0pt, 0pt, 0pt, 0pt">
              <w:txbxContent>
                <w:tbl>
                  <w:tblPr>
                    <w:jc w:val="left"/>
                    <w:tblInd w:w="14" w:type="dxa"/>
                    <w:tblLayout w:type="fixed"/>
                    <w:tblCellMar>
                      <w:left w:w="0" w:type="dxa"/>
                      <w:right w:w="0" w:type="dxa"/>
                    </w:tblCellMar>
                  </w:tblPr>
                  <w:tblGrid>
                    <w:gridCol w:w="2880"/>
                    <w:gridCol w:w="4680"/>
                    <w:gridCol w:w="2347"/>
                  </w:tblGrid>
                  <w:tr>
                    <w:trPr>
                      <w:trHeight w:val="307" w:hRule="exact"/>
                    </w:trPr>
                    <w:tc>
                      <w:tcPr>
                        <w:tcW w:w="288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38" w:after="10" w:line="245" w:lineRule="exact"/>
                          <w:ind w:right="1031" w:left="0" w:firstLine="0"/>
                          <w:jc w:val="right"/>
                          <w:textAlignment w:val="baseline"/>
                          <w:rPr>
                            <w:rFonts w:ascii="Calibri" w:hAnsi="Calibri" w:eastAsia="Calibri"/>
                            <w:b w:val="true"/>
                            <w:color w:val="FFFFFF"/>
                            <w:spacing w:val="0"/>
                            <w:w w:val="100"/>
                            <w:sz w:val="24"/>
                            <w:vertAlign w:val="baseline"/>
                            <w:lang w:val="en-US"/>
                          </w:rPr>
                        </w:pPr>
                        <w:r>
                          <w:rPr>
                            <w:rFonts w:ascii="Calibri" w:hAnsi="Calibri" w:eastAsia="Calibri"/>
                            <w:b w:val="true"/>
                            <w:color w:val="FFFFFF"/>
                            <w:spacing w:val="0"/>
                            <w:w w:val="100"/>
                            <w:sz w:val="24"/>
                            <w:vertAlign w:val="baseline"/>
                            <w:lang w:val="en-US"/>
                          </w:rPr>
                          <w:t xml:space="preserve">Domain</w:t>
                        </w:r>
                      </w:p>
                    </w:tc>
                    <w:tc>
                      <w:tcPr>
                        <w:tcW w:w="468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38" w:after="10" w:line="245" w:lineRule="exact"/>
                          <w:ind w:right="1828" w:left="0" w:firstLine="0"/>
                          <w:jc w:val="right"/>
                          <w:textAlignment w:val="baseline"/>
                          <w:rPr>
                            <w:rFonts w:ascii="Calibri" w:hAnsi="Calibri" w:eastAsia="Calibri"/>
                            <w:b w:val="true"/>
                            <w:color w:val="FFFFFF"/>
                            <w:spacing w:val="0"/>
                            <w:w w:val="100"/>
                            <w:sz w:val="24"/>
                            <w:vertAlign w:val="baseline"/>
                            <w:lang w:val="en-US"/>
                          </w:rPr>
                        </w:pPr>
                        <w:r>
                          <w:rPr>
                            <w:rFonts w:ascii="Calibri" w:hAnsi="Calibri" w:eastAsia="Calibri"/>
                            <w:b w:val="true"/>
                            <w:color w:val="FFFFFF"/>
                            <w:spacing w:val="0"/>
                            <w:w w:val="100"/>
                            <w:sz w:val="24"/>
                            <w:vertAlign w:val="baseline"/>
                            <w:lang w:val="en-US"/>
                          </w:rPr>
                          <w:t xml:space="preserve">Priorities</w:t>
                        </w:r>
                      </w:p>
                    </w:tc>
                    <w:tc>
                      <w:tcPr>
                        <w:tcW w:w="2347"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38" w:after="9" w:line="246" w:lineRule="exact"/>
                          <w:ind w:right="0" w:left="110" w:firstLine="0"/>
                          <w:jc w:val="left"/>
                          <w:textAlignment w:val="baseline"/>
                          <w:rPr>
                            <w:rFonts w:ascii="Calibri" w:hAnsi="Calibri" w:eastAsia="Calibri"/>
                            <w:b w:val="true"/>
                            <w:color w:val="FFFFFF"/>
                            <w:spacing w:val="0"/>
                            <w:w w:val="100"/>
                            <w:sz w:val="24"/>
                            <w:vertAlign w:val="baseline"/>
                            <w:lang w:val="en-US"/>
                          </w:rPr>
                        </w:pPr>
                        <w:r>
                          <w:rPr>
                            <w:rFonts w:ascii="Calibri" w:hAnsi="Calibri" w:eastAsia="Calibri"/>
                            <w:b w:val="true"/>
                            <w:color w:val="FFFFFF"/>
                            <w:spacing w:val="0"/>
                            <w:w w:val="100"/>
                            <w:sz w:val="24"/>
                            <w:vertAlign w:val="baseline"/>
                            <w:lang w:val="en-US"/>
                          </w:rPr>
                          <w:t xml:space="preserve">Community Partners</w:t>
                        </w:r>
                      </w:p>
                    </w:tc>
                  </w:tr>
                  <w:tr>
                    <w:trPr>
                      <w:trHeight w:val="307" w:hRule="exact"/>
                    </w:trPr>
                    <w:tc>
                      <w:tcPr>
                        <w:tcW w:w="2880" w:type="dxa"/>
                        <w:vMerge w:val="restart"/>
                        <w:tcBorders>
                          <w:top w:val="single" w:sz="5" w:color="000000"/>
                          <w:left w:val="single" w:sz="5" w:color="000000"/>
                          <w:bottom w:val="none"/>
                          <w:right w:val="single" w:sz="5" w:color="000000"/>
                        </w:tcBorders>
                        <w:textDirection w:val="lrTb"/>
                        <w:vAlign w:val="top"/>
                      </w:tcPr>
                      <w:p>
                        <w:pPr>
                          <w:numPr>
                            <w:ilvl w:val="0"/>
                            <w:numId w:val="14"/>
                          </w:numPr>
                          <w:tabs>
                            <w:tab w:val="clear" w:pos="288"/>
                            <w:tab w:val="left" w:pos="432"/>
                            <w:tab w:val="left" w:leader="none" w:pos="504"/>
                          </w:tabs>
                          <w:spacing w:before="34" w:after="878" w:line="226" w:lineRule="exact"/>
                          <w:ind w:right="0" w:left="144"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Economic Stability</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48" w:line="221" w:lineRule="exact"/>
                          <w:ind w:right="0" w:left="10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w:t>
                        </w:r>
                      </w:p>
                    </w:tc>
                    <w:tc>
                      <w:tcPr>
                        <w:tcW w:w="2347" w:type="dxa"/>
                        <w:vMerge w:val="restart"/>
                        <w:tcBorders>
                          <w:top w:val="single" w:sz="5" w:color="000000"/>
                          <w:left w:val="single" w:sz="5" w:color="000000"/>
                          <w:bottom w:val="none"/>
                          <w:right w:val="single" w:sz="5" w:color="000000"/>
                        </w:tcBorders>
                        <w:textDirection w:val="lrTb"/>
                        <w:vAlign w:val="top"/>
                      </w:tcPr>
                      <w:p>
                        <w:pPr>
                          <w:spacing w:before="0" w:after="0" w:line="262" w:lineRule="exact"/>
                          <w:ind w:right="468" w:left="144"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80% very important 10% important</w:t>
                        </w:r>
                      </w:p>
                      <w:p>
                        <w:pPr>
                          <w:spacing w:before="47" w:after="346"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 unsure</w:t>
                        </w:r>
                      </w:p>
                    </w:tc>
                  </w:tr>
                  <w:tr>
                    <w:trPr>
                      <w:trHeight w:val="279"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14"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Unemployment</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9" w:line="222"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Security</w:t>
                        </w:r>
                      </w:p>
                    </w:tc>
                    <w:tc>
                      <w:tcPr>
                        <w:tcW w:w="2347" w:type="dxa"/>
                        <w:vMerge w:val="continue"/>
                        <w:tcBorders>
                          <w:top w:val="none"/>
                          <w:left w:val="single" w:sz="5" w:color="000000"/>
                          <w:bottom w:val="none"/>
                          <w:right w:val="single" w:sz="5" w:color="000000"/>
                        </w:tcBorders>
                        <w:textDirection w:val="lrTb"/>
                        <w:vAlign w:val="top"/>
                      </w:tcPr>
                      <w:p/>
                    </w:tc>
                  </w:tr>
                  <w:tr>
                    <w:trPr>
                      <w:trHeight w:val="279" w:hRule="exact"/>
                    </w:trPr>
                    <w:tc>
                      <w:tcPr>
                        <w:tcW w:w="2880" w:type="dxa"/>
                        <w:vMerge w:val="continue"/>
                        <w:tcBorders>
                          <w:top w:val="none"/>
                          <w:left w:val="single" w:sz="5" w:color="000000"/>
                          <w:bottom w:val="single" w:sz="5" w:color="000000"/>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14" w:line="226" w:lineRule="exact"/>
                          <w:ind w:right="0" w:left="72"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Housing Stability and Affordability</w:t>
                        </w:r>
                      </w:p>
                    </w:tc>
                    <w:tc>
                      <w:tcPr>
                        <w:tcW w:w="2347" w:type="dxa"/>
                        <w:vMerge w:val="continue"/>
                        <w:tcBorders>
                          <w:top w:val="none"/>
                          <w:left w:val="single" w:sz="5" w:color="000000"/>
                          <w:bottom w:val="single" w:sz="5" w:color="000000"/>
                          <w:right w:val="single" w:sz="5" w:color="000000"/>
                        </w:tcBorders>
                        <w:textDirection w:val="lrTb"/>
                        <w:vAlign w:val="top"/>
                      </w:tcPr>
                      <w:p/>
                    </w:tc>
                  </w:tr>
                  <w:tr>
                    <w:trPr>
                      <w:trHeight w:val="278" w:hRule="exact"/>
                    </w:trPr>
                    <w:tc>
                      <w:tcPr>
                        <w:tcW w:w="2880" w:type="dxa"/>
                        <w:vMerge w:val="restart"/>
                        <w:tcBorders>
                          <w:top w:val="single" w:sz="5" w:color="000000"/>
                          <w:left w:val="single" w:sz="5" w:color="000000"/>
                          <w:bottom w:val="none"/>
                          <w:right w:val="single" w:sz="5" w:color="000000"/>
                        </w:tcBorders>
                        <w:textDirection w:val="lrTb"/>
                        <w:vAlign w:val="top"/>
                      </w:tcPr>
                      <w:p>
                        <w:pPr>
                          <w:numPr>
                            <w:ilvl w:val="0"/>
                            <w:numId w:val="14"/>
                          </w:numPr>
                          <w:tabs>
                            <w:tab w:val="clear" w:pos="360"/>
                            <w:tab w:val="left" w:pos="504"/>
                            <w:tab w:val="left" w:leader="none" w:pos="504"/>
                          </w:tabs>
                          <w:spacing w:before="0" w:after="1960" w:line="263" w:lineRule="exact"/>
                          <w:ind w:right="0" w:left="504" w:hanging="36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Social and Community Context</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9" w:line="226" w:lineRule="exact"/>
                          <w:ind w:right="0" w:left="106"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Anxiety and Stress</w:t>
                        </w:r>
                      </w:p>
                    </w:tc>
                    <w:tc>
                      <w:tcPr>
                        <w:tcW w:w="2347" w:type="dxa"/>
                        <w:vMerge w:val="restart"/>
                        <w:tcBorders>
                          <w:top w:val="single" w:sz="5" w:color="000000"/>
                          <w:left w:val="single" w:sz="5" w:color="000000"/>
                          <w:bottom w:val="none"/>
                          <w:right w:val="single" w:sz="5" w:color="000000"/>
                        </w:tcBorders>
                        <w:textDirection w:val="lrTb"/>
                        <w:vAlign w:val="top"/>
                      </w:tcPr>
                      <w:p>
                        <w:pPr>
                          <w:spacing w:before="0" w:after="1694" w:line="264" w:lineRule="exact"/>
                          <w:ind w:right="468" w:left="108"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40% very important 40% important 20% unsure</w:t>
                        </w: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10"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Suicide</w:t>
                        </w:r>
                      </w:p>
                    </w:tc>
                    <w:tc>
                      <w:tcPr>
                        <w:tcW w:w="2347" w:type="dxa"/>
                        <w:vMerge w:val="continue"/>
                        <w:tcBorders>
                          <w:top w:val="none"/>
                          <w:left w:val="single" w:sz="5" w:color="000000"/>
                          <w:bottom w:val="none"/>
                          <w:right w:val="single" w:sz="5" w:color="000000"/>
                        </w:tcBorders>
                        <w:textDirection w:val="lrTb"/>
                        <w:vAlign w:val="top"/>
                      </w:tcPr>
                      <w:p/>
                    </w:tc>
                  </w:tr>
                  <w:tr>
                    <w:trPr>
                      <w:trHeight w:val="279"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19"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Depression</w:t>
                        </w:r>
                      </w:p>
                    </w:tc>
                    <w:tc>
                      <w:tcPr>
                        <w:tcW w:w="2347" w:type="dxa"/>
                        <w:vMerge w:val="continue"/>
                        <w:tcBorders>
                          <w:top w:val="none"/>
                          <w:left w:val="single" w:sz="5" w:color="000000"/>
                          <w:bottom w:val="none"/>
                          <w:right w:val="single" w:sz="5" w:color="000000"/>
                        </w:tcBorders>
                        <w:textDirection w:val="lrTb"/>
                        <w:vAlign w:val="top"/>
                      </w:tcPr>
                      <w:p/>
                    </w:tc>
                  </w:tr>
                  <w:tr>
                    <w:trPr>
                      <w:trHeight w:val="547"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top"/>
                      </w:tcPr>
                      <w:p>
                        <w:pPr>
                          <w:spacing w:before="0" w:after="19" w:line="261" w:lineRule="exact"/>
                          <w:ind w:right="72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Primary Prevention, Substance Misuse, and Overdose Prevention</w:t>
                        </w:r>
                      </w:p>
                    </w:tc>
                    <w:tc>
                      <w:tcPr>
                        <w:tcW w:w="2347" w:type="dxa"/>
                        <w:vMerge w:val="continue"/>
                        <w:tcBorders>
                          <w:top w:val="none"/>
                          <w:left w:val="single" w:sz="5" w:color="000000"/>
                          <w:bottom w:val="none"/>
                          <w:right w:val="single" w:sz="5" w:color="000000"/>
                        </w:tcBorders>
                        <w:textDirection w:val="lrTb"/>
                        <w:vAlign w:val="top"/>
                      </w:tcPr>
                      <w:p/>
                    </w:tc>
                  </w:tr>
                  <w:tr>
                    <w:trPr>
                      <w:trHeight w:val="283"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8" w:after="9" w:line="222"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Tobacco/ E-cigarette Use</w:t>
                        </w:r>
                      </w:p>
                    </w:tc>
                    <w:tc>
                      <w:tcPr>
                        <w:tcW w:w="2347" w:type="dxa"/>
                        <w:vMerge w:val="continue"/>
                        <w:tcBorders>
                          <w:top w:val="none"/>
                          <w:left w:val="single" w:sz="5" w:color="000000"/>
                          <w:bottom w:val="none"/>
                          <w:right w:val="single" w:sz="5" w:color="000000"/>
                        </w:tcBorders>
                        <w:textDirection w:val="lrTb"/>
                        <w:vAlign w:val="top"/>
                      </w:tcPr>
                      <w:p/>
                    </w:tc>
                  </w:tr>
                  <w:tr>
                    <w:trPr>
                      <w:trHeight w:val="279"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0" w:after="24"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Alcohol Use</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Adverse Childhood Experiences</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single" w:sz="5" w:color="000000"/>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9" w:line="222"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Eating</w:t>
                        </w:r>
                      </w:p>
                    </w:tc>
                    <w:tc>
                      <w:tcPr>
                        <w:tcW w:w="2347" w:type="dxa"/>
                        <w:vMerge w:val="continue"/>
                        <w:tcBorders>
                          <w:top w:val="none"/>
                          <w:left w:val="single" w:sz="5" w:color="000000"/>
                          <w:bottom w:val="single" w:sz="5" w:color="000000"/>
                          <w:right w:val="single" w:sz="5" w:color="000000"/>
                        </w:tcBorders>
                        <w:textDirection w:val="lrTb"/>
                        <w:vAlign w:val="top"/>
                      </w:tcPr>
                      <w:p/>
                    </w:tc>
                  </w:tr>
                  <w:tr>
                    <w:trPr>
                      <w:trHeight w:val="548" w:hRule="exact"/>
                    </w:trPr>
                    <w:tc>
                      <w:tcPr>
                        <w:tcW w:w="2880" w:type="dxa"/>
                        <w:vMerge w:val="restart"/>
                        <w:tcBorders>
                          <w:top w:val="single" w:sz="5" w:color="000000"/>
                          <w:left w:val="single" w:sz="5" w:color="000000"/>
                          <w:bottom w:val="none"/>
                          <w:right w:val="single" w:sz="5" w:color="000000"/>
                        </w:tcBorders>
                        <w:textDirection w:val="lrTb"/>
                        <w:vAlign w:val="top"/>
                      </w:tcPr>
                      <w:p>
                        <w:pPr>
                          <w:numPr>
                            <w:ilvl w:val="0"/>
                            <w:numId w:val="14"/>
                          </w:numPr>
                          <w:tabs>
                            <w:tab w:val="clear" w:pos="360"/>
                            <w:tab w:val="left" w:pos="504"/>
                            <w:tab w:val="left" w:leader="none" w:pos="504"/>
                          </w:tabs>
                          <w:spacing w:before="0" w:after="573" w:line="261" w:lineRule="exact"/>
                          <w:ind w:right="0" w:left="504" w:hanging="36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Neighborhood and Built Environment</w:t>
                        </w:r>
                      </w:p>
                    </w:tc>
                    <w:tc>
                      <w:tcPr>
                        <w:tcW w:w="4680" w:type="dxa"/>
                        <w:tcBorders>
                          <w:top w:val="single" w:sz="5" w:color="000000"/>
                          <w:left w:val="single" w:sz="5" w:color="000000"/>
                          <w:bottom w:val="single" w:sz="5" w:color="000000"/>
                          <w:right w:val="single" w:sz="5" w:color="000000"/>
                        </w:tcBorders>
                        <w:textDirection w:val="lrTb"/>
                        <w:vAlign w:val="top"/>
                      </w:tcPr>
                      <w:p>
                        <w:pPr>
                          <w:spacing w:before="0" w:after="29" w:line="259" w:lineRule="exact"/>
                          <w:ind w:right="684" w:left="108"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Active Transportation and Physical Activity</w:t>
                        </w:r>
                      </w:p>
                    </w:tc>
                    <w:tc>
                      <w:tcPr>
                        <w:tcW w:w="2347" w:type="dxa"/>
                        <w:vMerge w:val="restart"/>
                        <w:tcBorders>
                          <w:top w:val="single" w:sz="5" w:color="000000"/>
                          <w:left w:val="single" w:sz="5" w:color="000000"/>
                          <w:bottom w:val="none"/>
                          <w:right w:val="single" w:sz="5" w:color="000000"/>
                        </w:tcBorders>
                        <w:textDirection w:val="lrTb"/>
                        <w:vAlign w:val="top"/>
                      </w:tcPr>
                      <w:p>
                        <w:pPr>
                          <w:spacing w:before="0" w:after="303" w:line="264" w:lineRule="exact"/>
                          <w:ind w:right="468" w:left="108"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40% very important 40% important 20% unsure</w:t>
                        </w: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19"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Community Services and Support</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single" w:sz="5" w:color="000000"/>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0" w:after="19"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Injuries and Violence</w:t>
                        </w:r>
                      </w:p>
                    </w:tc>
                    <w:tc>
                      <w:tcPr>
                        <w:tcW w:w="2347" w:type="dxa"/>
                        <w:vMerge w:val="continue"/>
                        <w:tcBorders>
                          <w:top w:val="none"/>
                          <w:left w:val="single" w:sz="5" w:color="000000"/>
                          <w:bottom w:val="single" w:sz="5" w:color="000000"/>
                          <w:right w:val="single" w:sz="5" w:color="000000"/>
                        </w:tcBorders>
                        <w:textDirection w:val="lrTb"/>
                        <w:vAlign w:val="top"/>
                      </w:tcPr>
                      <w:p/>
                    </w:tc>
                  </w:tr>
                  <w:tr>
                    <w:trPr>
                      <w:trHeight w:val="279" w:hRule="exact"/>
                    </w:trPr>
                    <w:tc>
                      <w:tcPr>
                        <w:tcW w:w="2880" w:type="dxa"/>
                        <w:vMerge w:val="restart"/>
                        <w:tcBorders>
                          <w:top w:val="single" w:sz="5" w:color="000000"/>
                          <w:left w:val="single" w:sz="5" w:color="000000"/>
                          <w:bottom w:val="none"/>
                          <w:right w:val="single" w:sz="5" w:color="000000"/>
                        </w:tcBorders>
                        <w:textDirection w:val="lrTb"/>
                        <w:vAlign w:val="top"/>
                      </w:tcPr>
                      <w:p>
                        <w:pPr>
                          <w:numPr>
                            <w:ilvl w:val="0"/>
                            <w:numId w:val="14"/>
                          </w:numPr>
                          <w:tabs>
                            <w:tab w:val="clear" w:pos="360"/>
                            <w:tab w:val="left" w:pos="504"/>
                            <w:tab w:val="left" w:leader="none" w:pos="504"/>
                          </w:tabs>
                          <w:spacing w:before="0" w:after="1679" w:line="264" w:lineRule="exact"/>
                          <w:ind w:right="0" w:left="504" w:hanging="36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Health Care Access and Quality</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9" w:line="221" w:lineRule="exact"/>
                          <w:ind w:right="0" w:left="10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and Use of Prenatal Care</w:t>
                        </w:r>
                      </w:p>
                    </w:tc>
                    <w:tc>
                      <w:tcPr>
                        <w:tcW w:w="2347" w:type="dxa"/>
                        <w:vMerge w:val="restart"/>
                        <w:tcBorders>
                          <w:top w:val="single" w:sz="5" w:color="000000"/>
                          <w:left w:val="single" w:sz="5" w:color="000000"/>
                          <w:bottom w:val="none"/>
                          <w:right w:val="single" w:sz="5" w:color="000000"/>
                        </w:tcBorders>
                        <w:textDirection w:val="lrTb"/>
                        <w:vAlign w:val="top"/>
                      </w:tcPr>
                      <w:p>
                        <w:pPr>
                          <w:spacing w:before="0" w:after="0" w:line="262" w:lineRule="exact"/>
                          <w:ind w:right="468" w:left="144"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50% very important 40% important</w:t>
                        </w:r>
                      </w:p>
                      <w:p>
                        <w:pPr>
                          <w:spacing w:before="47" w:after="1416"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 unsure</w:t>
                        </w: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0" w:after="23" w:line="222"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Prevention of Infant and Maternal Mortality</w:t>
                        </w:r>
                      </w:p>
                    </w:tc>
                    <w:tc>
                      <w:tcPr>
                        <w:tcW w:w="2347" w:type="dxa"/>
                        <w:vMerge w:val="continue"/>
                        <w:tcBorders>
                          <w:top w:val="none"/>
                          <w:left w:val="single" w:sz="5" w:color="000000"/>
                          <w:bottom w:val="none"/>
                          <w:right w:val="single" w:sz="5" w:color="000000"/>
                        </w:tcBorders>
                        <w:textDirection w:val="lrTb"/>
                        <w:vAlign w:val="top"/>
                      </w:tcPr>
                      <w:p/>
                    </w:tc>
                  </w:tr>
                  <w:tr>
                    <w:trPr>
                      <w:trHeight w:val="547"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top"/>
                      </w:tcPr>
                      <w:p>
                        <w:pPr>
                          <w:spacing w:before="0" w:after="17" w:line="263" w:lineRule="exact"/>
                          <w:ind w:right="1008" w:left="72" w:firstLine="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Preventive Services for Chronic Disease Prevention and Control</w:t>
                        </w:r>
                      </w:p>
                    </w:tc>
                    <w:tc>
                      <w:tcPr>
                        <w:tcW w:w="2347" w:type="dxa"/>
                        <w:vMerge w:val="continue"/>
                        <w:tcBorders>
                          <w:top w:val="none"/>
                          <w:left w:val="single" w:sz="5" w:color="000000"/>
                          <w:bottom w:val="none"/>
                          <w:right w:val="single" w:sz="5" w:color="000000"/>
                        </w:tcBorders>
                        <w:textDirection w:val="lrTb"/>
                        <w:vAlign w:val="top"/>
                      </w:tcPr>
                      <w:p/>
                    </w:tc>
                  </w:tr>
                  <w:tr>
                    <w:trPr>
                      <w:trHeight w:val="279"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0" w:after="19"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Oral Health Care</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10"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w:t>
                        </w:r>
                      </w:p>
                    </w:tc>
                    <w:tc>
                      <w:tcPr>
                        <w:tcW w:w="2347" w:type="dxa"/>
                        <w:vMerge w:val="continue"/>
                        <w:tcBorders>
                          <w:top w:val="none"/>
                          <w:left w:val="single" w:sz="5" w:color="000000"/>
                          <w:bottom w:val="none"/>
                          <w:right w:val="single" w:sz="5" w:color="000000"/>
                        </w:tcBorders>
                        <w:textDirection w:val="lrTb"/>
                        <w:vAlign w:val="top"/>
                      </w:tcPr>
                      <w:p/>
                    </w:tc>
                  </w:tr>
                  <w:tr>
                    <w:trPr>
                      <w:trHeight w:val="279" w:hRule="exact"/>
                    </w:trPr>
                    <w:tc>
                      <w:tcPr>
                        <w:tcW w:w="2880" w:type="dxa"/>
                        <w:vMerge w:val="continue"/>
                        <w:tcBorders>
                          <w:top w:val="none"/>
                          <w:left w:val="single" w:sz="5" w:color="000000"/>
                          <w:bottom w:val="none"/>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4" w:after="19"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Early Intervention</w:t>
                        </w:r>
                      </w:p>
                    </w:tc>
                    <w:tc>
                      <w:tcPr>
                        <w:tcW w:w="2347" w:type="dxa"/>
                        <w:vMerge w:val="continue"/>
                        <w:tcBorders>
                          <w:top w:val="none"/>
                          <w:left w:val="single" w:sz="5" w:color="000000"/>
                          <w:bottom w:val="none"/>
                          <w:right w:val="single" w:sz="5" w:color="000000"/>
                        </w:tcBorders>
                        <w:textDirection w:val="lrTb"/>
                        <w:vAlign w:val="top"/>
                      </w:tcPr>
                      <w:p/>
                    </w:tc>
                  </w:tr>
                  <w:tr>
                    <w:trPr>
                      <w:trHeight w:val="278" w:hRule="exact"/>
                    </w:trPr>
                    <w:tc>
                      <w:tcPr>
                        <w:tcW w:w="2880" w:type="dxa"/>
                        <w:vMerge w:val="continue"/>
                        <w:tcBorders>
                          <w:top w:val="none"/>
                          <w:left w:val="single" w:sz="5" w:color="000000"/>
                          <w:bottom w:val="single" w:sz="5" w:color="000000"/>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center"/>
                      </w:tcPr>
                      <w:p>
                        <w:pPr>
                          <w:spacing w:before="33" w:after="14" w:line="221" w:lineRule="exact"/>
                          <w:ind w:right="0"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Childhood Behavioral Health</w:t>
                        </w:r>
                      </w:p>
                    </w:tc>
                    <w:tc>
                      <w:tcPr>
                        <w:tcW w:w="2347" w:type="dxa"/>
                        <w:vMerge w:val="continue"/>
                        <w:tcBorders>
                          <w:top w:val="none"/>
                          <w:left w:val="single" w:sz="5" w:color="000000"/>
                          <w:bottom w:val="single" w:sz="5" w:color="000000"/>
                          <w:right w:val="single" w:sz="5" w:color="000000"/>
                        </w:tcBorders>
                        <w:textDirection w:val="lrTb"/>
                        <w:vAlign w:val="top"/>
                      </w:tcPr>
                      <w:p/>
                    </w:tc>
                  </w:tr>
                  <w:tr>
                    <w:trPr>
                      <w:trHeight w:val="278" w:hRule="exact"/>
                    </w:trPr>
                    <w:tc>
                      <w:tcPr>
                        <w:tcW w:w="2880" w:type="dxa"/>
                        <w:vMerge w:val="restart"/>
                        <w:tcBorders>
                          <w:top w:val="single" w:sz="5" w:color="000000"/>
                          <w:left w:val="single" w:sz="5" w:color="000000"/>
                          <w:bottom w:val="none"/>
                          <w:right w:val="single" w:sz="5" w:color="000000"/>
                        </w:tcBorders>
                        <w:textDirection w:val="lrTb"/>
                        <w:vAlign w:val="top"/>
                      </w:tcPr>
                      <w:p>
                        <w:pPr>
                          <w:numPr>
                            <w:ilvl w:val="0"/>
                            <w:numId w:val="14"/>
                          </w:numPr>
                          <w:tabs>
                            <w:tab w:val="clear" w:pos="360"/>
                            <w:tab w:val="left" w:pos="504"/>
                            <w:tab w:val="left" w:leader="none" w:pos="504"/>
                          </w:tabs>
                          <w:spacing w:before="0" w:after="283" w:line="264" w:lineRule="exact"/>
                          <w:ind w:right="0" w:left="504" w:hanging="360"/>
                          <w:jc w:val="left"/>
                          <w:textAlignment w:val="baseline"/>
                          <w:rPr>
                            <w:rFonts w:ascii="Calibri" w:hAnsi="Calibri" w:eastAsia="Calibri"/>
                            <w:b w:val="true"/>
                            <w:color w:val="000000"/>
                            <w:spacing w:val="0"/>
                            <w:w w:val="100"/>
                            <w:sz w:val="22"/>
                            <w:vertAlign w:val="baseline"/>
                            <w:lang w:val="en-US"/>
                          </w:rPr>
                        </w:pPr>
                        <w:r>
                          <w:rPr>
                            <w:rFonts w:ascii="Calibri" w:hAnsi="Calibri" w:eastAsia="Calibri"/>
                            <w:b w:val="true"/>
                            <w:color w:val="000000"/>
                            <w:spacing w:val="0"/>
                            <w:w w:val="100"/>
                            <w:sz w:val="22"/>
                            <w:vertAlign w:val="baseline"/>
                            <w:lang w:val="en-US"/>
                          </w:rPr>
                          <w:t xml:space="preserve">Education Access and Quality</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0" w:after="14" w:line="221" w:lineRule="exact"/>
                          <w:ind w:right="0" w:left="10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and Wellness Promoting Schools</w:t>
                        </w:r>
                      </w:p>
                    </w:tc>
                    <w:tc>
                      <w:tcPr>
                        <w:tcW w:w="2347" w:type="dxa"/>
                        <w:vMerge w:val="restart"/>
                        <w:tcBorders>
                          <w:top w:val="single" w:sz="5" w:color="000000"/>
                          <w:left w:val="single" w:sz="5" w:color="000000"/>
                          <w:bottom w:val="none"/>
                          <w:right w:val="single" w:sz="5" w:color="000000"/>
                        </w:tcBorders>
                        <w:textDirection w:val="lrTb"/>
                        <w:vAlign w:val="top"/>
                      </w:tcPr>
                      <w:p>
                        <w:pPr>
                          <w:spacing w:before="0" w:after="0" w:line="262" w:lineRule="exact"/>
                          <w:ind w:right="468" w:left="144"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60% very important 30% important</w:t>
                        </w:r>
                      </w:p>
                      <w:p>
                        <w:pPr>
                          <w:spacing w:before="47" w:after="19" w:line="221" w:lineRule="exact"/>
                          <w:ind w:right="0" w:left="14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 unsure</w:t>
                        </w:r>
                      </w:p>
                    </w:tc>
                  </w:tr>
                  <w:tr>
                    <w:trPr>
                      <w:trHeight w:val="543" w:hRule="exact"/>
                    </w:trPr>
                    <w:tc>
                      <w:tcPr>
                        <w:tcW w:w="2880" w:type="dxa"/>
                        <w:vMerge w:val="continue"/>
                        <w:tcBorders>
                          <w:top w:val="none"/>
                          <w:left w:val="single" w:sz="5" w:color="000000"/>
                          <w:bottom w:val="single" w:sz="5" w:color="000000"/>
                          <w:right w:val="single" w:sz="5" w:color="000000"/>
                        </w:tcBorders>
                        <w:textDirection w:val="lrTb"/>
                        <w:vAlign w:val="top"/>
                      </w:tcPr>
                      <w:p/>
                    </w:tc>
                    <w:tc>
                      <w:tcPr>
                        <w:tcW w:w="4680" w:type="dxa"/>
                        <w:tcBorders>
                          <w:top w:val="single" w:sz="5" w:color="000000"/>
                          <w:left w:val="single" w:sz="5" w:color="000000"/>
                          <w:bottom w:val="single" w:sz="5" w:color="000000"/>
                          <w:right w:val="single" w:sz="5" w:color="000000"/>
                        </w:tcBorders>
                        <w:textDirection w:val="lrTb"/>
                        <w:vAlign w:val="top"/>
                      </w:tcPr>
                      <w:p>
                        <w:pPr>
                          <w:spacing w:before="34" w:after="278" w:line="221" w:lineRule="exact"/>
                          <w:ind w:right="0" w:left="10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Opportunities for Continued Education</w:t>
                        </w:r>
                      </w:p>
                    </w:tc>
                    <w:tc>
                      <w:tcPr>
                        <w:tcW w:w="2347" w:type="dxa"/>
                        <w:vMerge w:val="continue"/>
                        <w:tcBorders>
                          <w:top w:val="none"/>
                          <w:left w:val="single" w:sz="5" w:color="000000"/>
                          <w:bottom w:val="single" w:sz="5" w:color="000000"/>
                          <w:right w:val="single" w:sz="5" w:color="000000"/>
                        </w:tcBorders>
                        <w:textDirection w:val="lrTb"/>
                        <w:vAlign w:val="top"/>
                      </w:tcPr>
                      <w:p/>
                    </w:tc>
                  </w:tr>
                </w:tbl>
                <w:p>
                  <w:pPr>
                    <w:spacing w:before="0" w:after="2226" w:line="20" w:lineRule="exact"/>
                  </w:pPr>
                </w:p>
              </w:txbxContent>
            </v:textbox>
          </v:shape>
        </w:pict>
      </w:r>
      <w:r>
        <w:pict>
          <v:shapetype id="_x0000_t449" coordsize="21600,21600" o:spt="202" path="m,l,21600r21600,l21600,xe">
            <v:stroke joinstyle="miter"/>
            <v:path gradientshapeok="t" o:connecttype="rect"/>
          </v:shapetype>
          <v:shape id="_x0000_s448" type="#_x0000_t44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79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50" coordsize="21600,21600" o:spt="202" path="m,l,21600r21600,l21600,xe">
            <v:stroke joinstyle="miter"/>
            <v:path gradientshapeok="t" o:connecttype="rect"/>
          </v:shapetype>
          <v:shape id="_x0000_s449" type="#_x0000_t450"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23"/>
                              <a:graphic>
                                <a:graphicData uri="http://schemas.openxmlformats.org/drawingml/2006/picture">
                                  <pic:pic>
                                    <pic:nvPicPr>
                                      <pic:cNvPr id="123" name="Picture"/>
                                      <pic:cNvPicPr preferRelativeResize="false"/>
                                    </pic:nvPicPr>
                                    <pic:blipFill>
                                      <a:blip r:embed="prId12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24"/>
                              <a:graphic>
                                <a:graphicData uri="http://schemas.openxmlformats.org/drawingml/2006/picture">
                                  <pic:pic>
                                    <pic:nvPicPr>
                                      <pic:cNvPr id="124" name="Picture"/>
                                      <pic:cNvPicPr preferRelativeResize="false"/>
                                    </pic:nvPicPr>
                                    <pic:blipFill>
                                      <a:blip r:embed="prId124"/>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451" coordsize="21600,21600" o:spt="202" path="m,l,21600r21600,l21600,xe">
            <v:stroke joinstyle="miter"/>
            <v:path gradientshapeok="t" o:connecttype="rect"/>
          </v:shapetype>
          <v:shape id="_x0000_s450" type="#_x0000_t451" filled="f" stroked="f" style="position:absolute;width:612pt;height:616.65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33" w:after="0" w:line="287" w:lineRule="exact"/>
                    <w:ind w:right="0" w:left="1440" w:firstLine="0"/>
                    <w:jc w:val="left"/>
                    <w:textAlignment w:val="baseline"/>
                    <w:rPr>
                      <w:rFonts w:ascii="Calibri" w:hAnsi="Calibri" w:eastAsia="Calibri"/>
                      <w:b w:val="true"/>
                      <w:i w:val="true"/>
                      <w:color w:val="000000"/>
                      <w:spacing w:val="0"/>
                      <w:w w:val="100"/>
                      <w:sz w:val="28"/>
                      <w:vertAlign w:val="baseline"/>
                      <w:lang w:val="en-US"/>
                    </w:rPr>
                  </w:pPr>
                  <w:r>
                    <w:rPr>
                      <w:rFonts w:ascii="Calibri" w:hAnsi="Calibri" w:eastAsia="Calibri"/>
                      <w:b w:val="true"/>
                      <w:i w:val="true"/>
                      <w:color w:val="000000"/>
                      <w:spacing w:val="0"/>
                      <w:w w:val="100"/>
                      <w:sz w:val="28"/>
                      <w:vertAlign w:val="baseline"/>
                      <w:lang w:val="en-US"/>
                    </w:rPr>
                    <w:t xml:space="preserve">Domain: Economic Stability</w:t>
                  </w:r>
                </w:p>
                <w:p>
                  <w:pPr>
                    <w:spacing w:before="167"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Economic stability is influenced by each of the priorities listed above: poverty, unemployment, nutrition security, and housing stability and affordability. Socioeconomic disparities are closely linked to poor health, affecting physical, mental, and educational outcomes. Children and older adults are especially vulnerable to these adverse effects.</w:t>
                  </w:r>
                </w:p>
                <w:p>
                  <w:pPr>
                    <w:spacing w:before="165"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Unemployment and underemployment contribute to major health inequities. Unemployed individuals face greater barriers to health care and experience worsening health as unemployment persists. Employment challenges stem from shifts in the labor market, wage stagnation, and weakening labor protections.</w:t>
                  </w:r>
                </w:p>
                <w:p>
                  <w:pPr>
                    <w:spacing w:before="164" w:after="0" w:line="289" w:lineRule="exact"/>
                    <w:ind w:right="144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Food insecurity disproportionately affects low-income households, people with less education, and those who are unemployed. Access to affordable, nutritious food is vital for preventing chronic disease and supporting healthy development. Many communities, especially rural and low-income communities, lack full-service grocery stores and rely on costly convenience outlets with limited healthy options.</w:t>
                  </w:r>
                </w:p>
                <w:p>
                  <w:pPr>
                    <w:spacing w:before="161" w:after="0" w:line="289" w:lineRule="exact"/>
                    <w:ind w:right="194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insecurity further undermines health by increasing stress, reducing stability, and increasing exposure to unsafe and/or unhealthy environments. Low-income families and older adults face the greatest housing burdens and associated health risks.</w:t>
                  </w:r>
                </w:p>
                <w:p>
                  <w:pPr>
                    <w:spacing w:before="230"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Poverty</w:t>
                  </w:r>
                </w:p>
                <w:p>
                  <w:pPr>
                    <w:spacing w:before="230"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 can strain nearly every aspect of community life, from housing stability to healthcare access,</w:t>
                  </w:r>
                </w:p>
                <w:p>
                  <w:pPr>
                    <w:spacing w:before="3"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transportation, and nutritious food. Families facing financial hardship often struggle to meet basic needs, and limited resources can make it difficult for them to find sustainable pathways out of poverty.</w:t>
                  </w:r>
                </w:p>
                <w:p>
                  <w:pPr>
                    <w:spacing w:before="195"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 Y2 shows the distribution of poverty across Yates County</w:t>
                  </w:r>
                  <w:r>
                    <w:rPr>
                      <w:rFonts w:ascii="Calibri" w:hAnsi="Calibri" w:eastAsia="Calibri"/>
                      <w:color w:val="000000"/>
                      <w:spacing w:val="0"/>
                      <w:w w:val="100"/>
                      <w:sz w:val="22"/>
                      <w:vertAlign w:val="superscript"/>
                      <w:lang w:val="en-US"/>
                    </w:rPr>
                    <w:t xml:space="preserve">35</w:t>
                  </w:r>
                  <w:r>
                    <w:rPr>
                      <w:rFonts w:ascii="Calibri" w:hAnsi="Calibri" w:eastAsia="Calibri"/>
                      <w:color w:val="000000"/>
                      <w:spacing w:val="0"/>
                      <w:w w:val="100"/>
                      <w:sz w:val="22"/>
                      <w:vertAlign w:val="baseline"/>
                      <w:lang w:val="en-US"/>
                    </w:rPr>
                    <w:t xml:space="preserve">. An estimated 14.1% of residents live in poverty, with the highest concentrations located in the southern part of the county, particularly around Dundee, Himrod, and Dresden. Poverty levels in Yates County have been rising steadily since 2018, and by 2022, the county’s rate exceeded the statewide average. Among children under 18, 23% live in</w:t>
                  </w:r>
                </w:p>
                <w:p>
                  <w:pPr>
                    <w:spacing w:before="3" w:after="2995"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poverty, which is above the New York State average of 19% but an improvement from 26% in 2019. For adults age 65 and older, 12.5% live in poverty, just under the state average of 12.7%. However, the poverty rate for older adults has increased significantly - up 51% since 2018.</w:t>
                  </w:r>
                </w:p>
              </w:txbxContent>
            </v:textbox>
          </v:shape>
        </w:pict>
      </w:r>
      <w:r>
        <w:pict>
          <v:shapetype id="_x0000_t452" coordsize="21600,21600" o:spt="202" path="m,l,21600r21600,l21600,xe">
            <v:stroke joinstyle="miter"/>
            <v:path gradientshapeok="t" o:connecttype="rect"/>
          </v:shapetype>
          <v:shape id="_x0000_s451" type="#_x0000_t452" filled="f" stroked="f" style="position:absolute;width:442pt;height:28.1pt;z-index:1;margin-left:62.9pt;margin-top:688.75pt;mso-wrap-distance-left:0pt;mso-wrap-distance-right:0pt;mso-position-horizontal-relative:page;mso-position-vertical-relative:page">
            <w10:wrap anchorx="page" anchory="page"/>
            <v:fill opacity="1" o:opacity2="1" recolor="f" rotate="f" type="solid"/>
            <v:textbox inset="0pt, 0pt, 0pt, 0pt">
              <w:txbxContent>
                <w:p>
                  <w:pPr>
                    <w:spacing w:before="60" w:after="273" w:line="220" w:lineRule="exact"/>
                    <w:ind w:right="0" w:left="0" w:firstLine="0"/>
                    <w:jc w:val="left"/>
                    <w:textAlignment w:val="baseline"/>
                    <w:rPr>
                      <w:rFonts w:ascii="Calibri" w:hAnsi="Calibri" w:eastAsia="Calibri"/>
                      <w:color w:val="000000"/>
                      <w:spacing w:val="-1"/>
                      <w:w w:val="100"/>
                      <w:sz w:val="13"/>
                      <w:vertAlign w:val="superscript"/>
                      <w:lang w:val="en-US"/>
                    </w:rPr>
                  </w:pPr>
                  <w:r>
                    <w:rPr>
                      <w:rFonts w:ascii="Calibri" w:hAnsi="Calibri" w:eastAsia="Calibri"/>
                      <w:color w:val="000000"/>
                      <w:spacing w:val="-1"/>
                      <w:w w:val="100"/>
                      <w:sz w:val="13"/>
                      <w:vertAlign w:val="superscript"/>
                      <w:lang w:val="en-US"/>
                    </w:rPr>
                    <w:t xml:space="preserve">35</w:t>
                  </w:r>
                  <w:r>
                    <w:rPr>
                      <w:rFonts w:ascii="Calibri" w:hAnsi="Calibri" w:eastAsia="Calibri"/>
                      <w:color w:val="000000"/>
                      <w:spacing w:val="-1"/>
                      <w:w w:val="100"/>
                      <w:sz w:val="19"/>
                      <w:vertAlign w:val="baseline"/>
                      <w:lang w:val="en-US"/>
                    </w:rPr>
                    <w:t xml:space="preserve"> Source: </w:t>
                  </w:r>
                  <w:r>
                    <w:rPr>
                      <w:rFonts w:ascii="Calibri" w:hAnsi="Calibri" w:eastAsia="Calibri"/>
                      <w:color w:val="000000"/>
                      <w:spacing w:val="-1"/>
                      <w:w w:val="100"/>
                      <w:sz w:val="20"/>
                      <w:vertAlign w:val="baseline"/>
                      <w:lang w:val="en-US"/>
                    </w:rPr>
                    <w:t xml:space="preserve">Common Ground Health, 2024. </w:t>
                  </w:r>
                  <w:hyperlink r:id="dhId27">
                    <w:r>
                      <w:rPr>
                        <w:rFonts w:ascii="Calibri" w:hAnsi="Calibri" w:eastAsia="Calibri"/>
                        <w:color w:val="0000FF"/>
                        <w:spacing w:val="-1"/>
                        <w:w w:val="100"/>
                        <w:sz w:val="20"/>
                        <w:u w:val="single"/>
                        <w:vertAlign w:val="baseline"/>
                        <w:lang w:val="en-US"/>
                      </w:rPr>
                      <w:t xml:space="preserve">https://commongroundhealth.org/insights/county</w:t>
                    </w:r>
                  </w:hyperlink>
                  <w:r>
                    <w:rPr>
                      <w:rFonts w:ascii="Calibri" w:hAnsi="Calibri" w:eastAsia="Calibri"/>
                      <w:color w:val="000000"/>
                      <w:spacing w:val="-1"/>
                      <w:w w:val="100"/>
                      <w:sz w:val="20"/>
                      <w:vertAlign w:val="baseline"/>
                      <w:lang w:val="en-US"/>
                    </w:rPr>
                    <w:t xml:space="preserve">‐health‐statistics</w:t>
                  </w:r>
                </w:p>
              </w:txbxContent>
            </v:textbox>
          </v:shape>
        </w:pict>
      </w:r>
      <w:r>
        <w:pict>
          <v:shapetype id="_x0000_t453" coordsize="21600,21600" o:spt="202" path="m,l,21600r21600,l21600,xe">
            <v:stroke joinstyle="miter"/>
            <v:path gradientshapeok="t" o:connecttype="rect"/>
          </v:shapetype>
          <v:shape id="_x0000_s452" type="#_x0000_t45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80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62.9pt,689.3pt" to="209.35pt,689.3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54" coordsize="21600,21600" o:spt="202" path="m,l,21600r21600,l21600,xe">
            <v:stroke joinstyle="miter"/>
            <v:path gradientshapeok="t" o:connecttype="rect"/>
          </v:shapetype>
          <v:shape id="_x0000_s453" type="#_x0000_t454" fillcolor="#FDFDFC" stroked="f" style="position:absolute;width:612pt;height:792pt;z-index:-999;margin-left:0pt;margin-top:0pt;mso-position-horizontal-relative:page;mso-position-vertical-relative:page">
            <v:textbox>
              <w:txbxContent/>
            </v:textbox>
          </v:shape>
        </w:pict>
      </w:r>
      <w:r>
        <w:pict>
          <v:shapetype id="_x0000_t455" coordsize="21600,21600" o:spt="202" path="m,l,21600r21600,l21600,xe">
            <v:stroke joinstyle="miter"/>
            <v:path gradientshapeok="t" o:connecttype="rect"/>
          </v:shapetype>
          <v:shape id="_x0000_s454" type="#_x0000_t455" filled="f" stroked="f" style="position:absolute;width:362.4pt;height:216.55pt;z-index:-1;margin-left:199.45pt;margin-top:422.65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456" coordsize="21600,21600" o:spt="202" path="m,l,21600r21600,l21600,xe">
            <v:stroke joinstyle="miter"/>
            <v:path gradientshapeok="t" o:connecttype="rect"/>
          </v:shapetype>
          <v:shape id="_x0000_s455" type="#_x0000_t456" fillcolor="#FDFDFC" stroked="f" style="position:absolute;width:346.55pt;height:189.45pt;z-index:-1;margin-left:215.3pt;margin-top:449.75pt;mso-wrap-distance-left:15.85pt;mso-wrap-distance-right:0pt;mso-position-horizontal-relative:page;mso-position-vertical-relative:page">
            <w10:wrap type="square"/>
            <v:textbox inset="0pt, 0pt, 0pt, 0pt">
              <w:txbxContent>
                <w:p>
                  <w:pPr>
                    <w:pBdr>
                      <w:top w:sz="5" w:space="0" w:color="D7D8D8" w:val="single"/>
                      <w:left w:sz="5" w:space="15" w:color="D7D8D8" w:val="single"/>
                      <w:bottom w:sz="5" w:space="0" w:color="D7D8D8" w:val="single"/>
                      <w:right w:sz="5" w:space="0" w:color="D7D8D8" w:val="single"/>
                    </w:pBdr>
                  </w:pPr>
                </w:p>
              </w:txbxContent>
            </v:textbox>
          </v:shape>
        </w:pict>
      </w:r>
      <w:r>
        <w:pict>
          <v:shapetype id="_x0000_t457" coordsize="21600,21600" o:spt="202" path="m,l,21600r21600,l21600,xe">
            <v:stroke joinstyle="miter"/>
            <v:path gradientshapeok="t" o:connecttype="rect"/>
          </v:shapetype>
          <v:shape id="_x0000_s456" type="#_x0000_t45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88" w:hRule="exact"/>
                    </w:trPr>
                    <w:tc>
                      <w:tcPr>
                        <w:tcW w:w="110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3580" cy="609600"/>
                              <wp:docPr name="Picture" id="125"/>
                              <a:graphic>
                                <a:graphicData uri="http://schemas.openxmlformats.org/drawingml/2006/picture">
                                  <pic:pic>
                                    <pic:nvPicPr>
                                      <pic:cNvPr id="125" name="Picture"/>
                                      <pic:cNvPicPr preferRelativeResize="false"/>
                                    </pic:nvPicPr>
                                    <pic:blipFill>
                                      <a:blip r:embed="prId125"/>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26"/>
                              <a:graphic>
                                <a:graphicData uri="http://schemas.openxmlformats.org/drawingml/2006/picture">
                                  <pic:pic>
                                    <pic:nvPicPr>
                                      <pic:cNvPr id="126" name="Picture"/>
                                      <pic:cNvPicPr preferRelativeResize="false"/>
                                    </pic:nvPicPr>
                                    <pic:blipFill>
                                      <a:blip r:embed="prId126"/>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458" coordsize="21600,21600" o:spt="202" path="m,l,21600r21600,l21600,xe">
            <v:stroke joinstyle="miter"/>
            <v:path gradientshapeok="t" o:connecttype="rect"/>
          </v:shapetype>
          <v:shape id="_x0000_s457" type="#_x0000_t458" filled="f" stroked="f" style="position:absolute;width:612pt;height:17.65pt;z-index:1;margin-left:0pt;margin-top:81.7pt;mso-wrap-distance-left:0pt;mso-wrap-distance-right:0pt;mso-position-horizontal-relative:page;mso-position-vertical-relative:page">
            <w10:wrap anchorx="page" anchory="page"/>
            <v:fill opacity="1" o:opacity2="1" recolor="f" rotate="f" type="solid"/>
            <v:textbox inset="0pt, 0pt, 0pt, 0pt">
              <w:txbxContent>
                <w:p>
                  <w:pPr>
                    <w:spacing w:before="20" w:after="138" w:line="180" w:lineRule="exact"/>
                    <w:ind w:right="0" w:left="1584" w:firstLine="0"/>
                    <w:jc w:val="left"/>
                    <w:textAlignment w:val="baseline"/>
                    <w:rPr>
                      <w:rFonts w:ascii="Calibri" w:hAnsi="Calibri" w:eastAsia="Calibri"/>
                      <w:i w:val="true"/>
                      <w:color w:val="0D2844"/>
                      <w:spacing w:val="0"/>
                      <w:w w:val="100"/>
                      <w:sz w:val="18"/>
                      <w:vertAlign w:val="baseline"/>
                      <w:lang w:val="en-US"/>
                    </w:rPr>
                  </w:pPr>
                  <w:r>
                    <w:rPr>
                      <w:rFonts w:ascii="Calibri" w:hAnsi="Calibri" w:eastAsia="Calibri"/>
                      <w:i w:val="true"/>
                      <w:color w:val="0D2844"/>
                      <w:spacing w:val="0"/>
                      <w:w w:val="100"/>
                      <w:sz w:val="18"/>
                      <w:vertAlign w:val="baseline"/>
                      <w:lang w:val="en-US"/>
                    </w:rPr>
                    <w:t xml:space="preserve">Map Y2: Overall Poverty Rate in Yates County</w:t>
                  </w: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612pt;height:276.5pt;z-index:-1;margin-left:0pt;margin-top:99.35pt;mso-wrap-distance-left:0pt;mso-wrap-distance-right:0pt;mso-position-horizontal-relative:page;mso-position-vertical-relative:page">
            <w10:wrap type="square" side="both"/>
            <v:fill opacity="1" o:opacity2="1" recolor="f" rotate="f" type="solid"/>
            <v:textbox inset="0pt, 0pt, 0pt, 0pt">
              <w:txbxContent>
                <w:p>
                  <w:pPr>
                    <w:spacing w:before="0" w:after="154" w:line="240" w:lineRule="auto"/>
                    <w:ind w:right="1373" w:left="1555"/>
                    <w:jc w:val="left"/>
                    <w:textAlignment w:val="baseline"/>
                  </w:pPr>
                  <w:r>
                    <w:drawing>
                      <wp:inline>
                        <wp:extent cx="5913120" cy="3413760"/>
                        <wp:docPr name="Picture" id="127"/>
                        <a:graphic>
                          <a:graphicData uri="http://schemas.openxmlformats.org/drawingml/2006/picture">
                            <pic:pic>
                              <pic:nvPicPr>
                                <pic:cNvPr id="127" name="Picture"/>
                                <pic:cNvPicPr preferRelativeResize="false"/>
                              </pic:nvPicPr>
                              <pic:blipFill>
                                <a:blip r:embed="prId127"/>
                                <a:stretch>
                                  <a:fillRect/>
                                </a:stretch>
                              </pic:blipFill>
                              <pic:spPr>
                                <a:xfrm>
                                  <a:off x="0" y="0"/>
                                  <a:ext cx="5913120" cy="3413760"/>
                                </a:xfrm>
                                <a:prstGeom prst="rect"/>
                              </pic:spPr>
                            </pic:pic>
                          </a:graphicData>
                        </a:graphic>
                      </wp:inline>
                    </w:drawing>
                  </w:r>
                </w:p>
              </w:txbxContent>
            </v:textbox>
          </v:shape>
        </w:pict>
      </w:r>
      <w:r>
        <w:pict>
          <v:shapetype id="_x0000_t460" coordsize="21600,21600" o:spt="202" path="m,l,21600r21600,l21600,xe">
            <v:stroke joinstyle="miter"/>
            <v:path gradientshapeok="t" o:connecttype="rect"/>
          </v:shapetype>
          <v:shape id="_x0000_s459" type="#_x0000_t460" filled="f" stroked="f" style="position:absolute;width:468pt;height:32.95pt;z-index:-1;margin-left:78.7pt;margin-top:375.85pt;mso-wrap-distance-left:0pt;mso-wrap-distance-right:0pt;mso-position-horizontal-relative:page;mso-position-vertical-relative:page">
            <w10:wrap type="square" side="both"/>
            <v:fill opacity="1" o:opacity2="1" recolor="f" rotate="f" type="solid"/>
            <v:textbox inset="0pt, 0pt, 0pt, 0pt">
              <w:txbxContent>
                <w:p>
                  <w:pPr>
                    <w:spacing w:before="0" w:after="352" w:line="240" w:lineRule="auto"/>
                    <w:ind w:right="62" w:left="0"/>
                    <w:jc w:val="left"/>
                    <w:textAlignment w:val="baseline"/>
                  </w:pPr>
                  <w:r>
                    <w:drawing>
                      <wp:inline>
                        <wp:extent cx="5904230" cy="194945"/>
                        <wp:docPr name="Picture" id="128"/>
                        <a:graphic>
                          <a:graphicData uri="http://schemas.openxmlformats.org/drawingml/2006/picture">
                            <pic:pic>
                              <pic:nvPicPr>
                                <pic:cNvPr id="128" name="Picture"/>
                                <pic:cNvPicPr preferRelativeResize="false"/>
                              </pic:nvPicPr>
                              <pic:blipFill>
                                <a:blip r:embed="prId128"/>
                                <a:stretch>
                                  <a:fillRect/>
                                </a:stretch>
                              </pic:blipFill>
                              <pic:spPr>
                                <a:xfrm>
                                  <a:off x="0" y="0"/>
                                  <a:ext cx="5904230" cy="194945"/>
                                </a:xfrm>
                                <a:prstGeom prst="rect"/>
                              </pic:spPr>
                            </pic:pic>
                          </a:graphicData>
                        </a:graphic>
                      </wp:inline>
                    </w:drawing>
                  </w:r>
                </w:p>
              </w:txbxContent>
            </v:textbox>
          </v:shape>
        </w:pict>
      </w:r>
      <w:r>
        <w:pict>
          <v:shapetype id="_x0000_t461" coordsize="21600,21600" o:spt="202" path="m,l,21600r21600,l21600,xe">
            <v:stroke joinstyle="miter"/>
            <v:path gradientshapeok="t" o:connecttype="rect"/>
          </v:shapetype>
          <v:shape id="_x0000_s460" type="#_x0000_t461" filled="f" stroked="f" style="position:absolute;width:266pt;height:13.85pt;z-index:1;margin-left:72pt;margin-top:408.8pt;mso-wrap-distance-left:0pt;mso-wrap-distance-right:0pt;mso-position-horizontal-relative:page;mso-position-vertical-relative:page">
            <w10:wrap anchorx="page" anchory="page"/>
            <v:fill opacity="1" o:opacity2="1" recolor="f" rotate="f" type="solid"/>
            <v:textbox inset="0pt, 0pt, 0pt, 0pt">
              <w:txbxContent>
                <w:p>
                  <w:pPr>
                    <w:spacing w:before="27" w:after="0" w:line="245" w:lineRule="exact"/>
                    <w:ind w:right="0" w:left="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Unemployment</w:t>
                  </w:r>
                </w:p>
              </w:txbxContent>
            </v:textbox>
          </v:shape>
        </w:pict>
      </w:r>
      <w:r>
        <w:pict>
          <v:shapetype id="_x0000_t462" coordsize="21600,21600" o:spt="202" path="m,l,21600r21600,l21600,xe">
            <v:stroke joinstyle="miter"/>
            <v:path gradientshapeok="t" o:connecttype="rect"/>
          </v:shapetype>
          <v:shape id="_x0000_s461" type="#_x0000_t462" filled="f" stroked="f" style="position:absolute;width:127.45pt;height:216.55pt;z-index:1;margin-left:72pt;margin-top:422.65pt;mso-wrap-distance-left:0pt;mso-wrap-distance-right:0pt;mso-position-horizontal-relative:page;mso-position-vertical-relative:page">
            <w10:wrap anchorx="page" anchory="page"/>
            <v:fill opacity="1" o:opacity2="1" recolor="f" rotate="f" type="solid"/>
            <v:textbox inset="0pt, 0pt, 0pt, 0pt">
              <w:txbxContent>
                <w:p>
                  <w:pPr>
                    <w:spacing w:before="178" w:after="0" w:line="289" w:lineRule="exact"/>
                    <w:ind w:right="0"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unemployment rate in </w:t>
                  </w:r>
                  <w:r>
                    <w:rPr>
                      <w:rFonts w:ascii="Calibri" w:hAnsi="Calibri" w:eastAsia="Calibri"/>
                      <w:color w:val="000000"/>
                      <w:spacing w:val="-2"/>
                      <w:w w:val="100"/>
                      <w:sz w:val="22"/>
                      <w:vertAlign w:val="baseline"/>
                      <w:lang w:val="en-US"/>
                    </w:rPr>
                    <w:t xml:space="preserve">Yates County was 4.5% in </w:t>
                  </w:r>
                  <w:r>
                    <w:rPr>
                      <w:rFonts w:ascii="Calibri" w:hAnsi="Calibri" w:eastAsia="Calibri"/>
                      <w:color w:val="000000"/>
                      <w:spacing w:val="-2"/>
                      <w:w w:val="100"/>
                      <w:sz w:val="22"/>
                      <w:vertAlign w:val="baseline"/>
                      <w:lang w:val="en-US"/>
                    </w:rPr>
                    <w:t xml:space="preserve">April 2025. Figure Y5 notes </w:t>
                  </w:r>
                  <w:r>
                    <w:rPr>
                      <w:rFonts w:ascii="Calibri" w:hAnsi="Calibri" w:eastAsia="Calibri"/>
                      <w:color w:val="000000"/>
                      <w:spacing w:val="-2"/>
                      <w:w w:val="100"/>
                      <w:sz w:val="22"/>
                      <w:vertAlign w:val="baseline"/>
                      <w:lang w:val="en-US"/>
                    </w:rPr>
                    <w:t xml:space="preserve">the trend in unemployment </w:t>
                  </w:r>
                  <w:r>
                    <w:rPr>
                      <w:rFonts w:ascii="Calibri" w:hAnsi="Calibri" w:eastAsia="Calibri"/>
                      <w:color w:val="000000"/>
                      <w:spacing w:val="-2"/>
                      <w:w w:val="100"/>
                      <w:sz w:val="22"/>
                      <w:vertAlign w:val="baseline"/>
                      <w:lang w:val="en-US"/>
                    </w:rPr>
                    <w:t xml:space="preserve">rates recorded each January </w:t>
                  </w:r>
                  <w:r>
                    <w:rPr>
                      <w:rFonts w:ascii="Calibri" w:hAnsi="Calibri" w:eastAsia="Calibri"/>
                      <w:color w:val="000000"/>
                      <w:spacing w:val="-2"/>
                      <w:w w:val="100"/>
                      <w:sz w:val="22"/>
                      <w:vertAlign w:val="baseline"/>
                      <w:lang w:val="en-US"/>
                    </w:rPr>
                    <w:t xml:space="preserve">from 2019 to present. </w:t>
                  </w:r>
                  <w:r>
                    <w:rPr>
                      <w:rFonts w:ascii="Calibri" w:hAnsi="Calibri" w:eastAsia="Calibri"/>
                      <w:color w:val="000000"/>
                      <w:spacing w:val="-2"/>
                      <w:w w:val="100"/>
                      <w:sz w:val="22"/>
                      <w:vertAlign w:val="baseline"/>
                      <w:lang w:val="en-US"/>
                    </w:rPr>
                    <w:t xml:space="preserve">According to US Census data </w:t>
                  </w:r>
                  <w:r>
                    <w:rPr>
                      <w:rFonts w:ascii="Calibri" w:hAnsi="Calibri" w:eastAsia="Calibri"/>
                      <w:color w:val="000000"/>
                      <w:spacing w:val="-2"/>
                      <w:w w:val="100"/>
                      <w:sz w:val="22"/>
                      <w:vertAlign w:val="baseline"/>
                      <w:lang w:val="en-US"/>
                    </w:rPr>
                    <w:t xml:space="preserve">from 2023, the top three </w:t>
                  </w:r>
                  <w:r>
                    <w:rPr>
                      <w:rFonts w:ascii="Calibri" w:hAnsi="Calibri" w:eastAsia="Calibri"/>
                      <w:color w:val="000000"/>
                      <w:spacing w:val="-2"/>
                      <w:w w:val="100"/>
                      <w:sz w:val="22"/>
                      <w:vertAlign w:val="baseline"/>
                      <w:lang w:val="en-US"/>
                    </w:rPr>
                    <w:t xml:space="preserve">employment sectors in Yates </w:t>
                  </w:r>
                  <w:r>
                    <w:rPr>
                      <w:rFonts w:ascii="Calibri" w:hAnsi="Calibri" w:eastAsia="Calibri"/>
                      <w:color w:val="000000"/>
                      <w:spacing w:val="-2"/>
                      <w:w w:val="100"/>
                      <w:sz w:val="22"/>
                      <w:vertAlign w:val="baseline"/>
                      <w:lang w:val="en-US"/>
                    </w:rPr>
                    <w:t xml:space="preserve">County are (1) educational </w:t>
                  </w:r>
                  <w:r>
                    <w:rPr>
                      <w:rFonts w:ascii="Calibri" w:hAnsi="Calibri" w:eastAsia="Calibri"/>
                      <w:color w:val="000000"/>
                      <w:spacing w:val="-2"/>
                      <w:w w:val="100"/>
                      <w:sz w:val="22"/>
                      <w:vertAlign w:val="baseline"/>
                      <w:lang w:val="en-US"/>
                    </w:rPr>
                    <w:t xml:space="preserve">services, health care and </w:t>
                  </w:r>
                  <w:r>
                    <w:rPr>
                      <w:rFonts w:ascii="Calibri" w:hAnsi="Calibri" w:eastAsia="Calibri"/>
                      <w:color w:val="000000"/>
                      <w:spacing w:val="-2"/>
                      <w:w w:val="100"/>
                      <w:sz w:val="22"/>
                      <w:vertAlign w:val="baseline"/>
                      <w:lang w:val="en-US"/>
                    </w:rPr>
                    <w:t xml:space="preserve">social assistance (24.7%); (2) </w:t>
                  </w:r>
                  <w:r>
                    <w:rPr>
                      <w:rFonts w:ascii="Calibri" w:hAnsi="Calibri" w:eastAsia="Calibri"/>
                      <w:color w:val="000000"/>
                      <w:spacing w:val="-2"/>
                      <w:w w:val="100"/>
                      <w:sz w:val="22"/>
                      <w:vertAlign w:val="baseline"/>
                      <w:lang w:val="en-US"/>
                    </w:rPr>
                    <w:t xml:space="preserve">manufacturing (14.5%); and </w:t>
                  </w:r>
                  <w:r>
                    <w:rPr>
                      <w:rFonts w:ascii="Calibri" w:hAnsi="Calibri" w:eastAsia="Calibri"/>
                      <w:color w:val="000000"/>
                      <w:spacing w:val="-2"/>
                      <w:w w:val="100"/>
                      <w:sz w:val="22"/>
                      <w:vertAlign w:val="baseline"/>
                      <w:lang w:val="en-US"/>
                    </w:rPr>
                    <w:t xml:space="preserve">(3) retail trade (11.9%).</w:t>
                  </w:r>
                </w:p>
              </w:txbxContent>
            </v:textbox>
          </v:shape>
        </w:pict>
      </w:r>
      <w:r>
        <w:pict>
          <v:shapetype id="_x0000_t463" coordsize="21600,21600" o:spt="202" path="m,l,21600r21600,l21600,xe">
            <v:stroke joinstyle="miter"/>
            <v:path gradientshapeok="t" o:connecttype="rect"/>
          </v:shapetype>
          <v:shape id="_x0000_s462" type="#_x0000_t463" filled="f" stroked="f" style="position:absolute;width:266pt;height:24.85pt;z-index:1;margin-left:72pt;margin-top:639.2pt;mso-wrap-distance-left:0pt;mso-wrap-distance-right:0pt;mso-position-horizontal-relative:page;mso-position-vertical-relative:page">
            <w10:wrap anchorx="page" anchory="page"/>
            <v:fill opacity="1" o:opacity2="1" recolor="f" rotate="f" type="solid"/>
            <v:textbox inset="0pt, 0pt, 0pt, 0pt">
              <w:txbxContent>
                <w:p>
                  <w:pPr>
                    <w:spacing w:before="46" w:after="292" w:line="180" w:lineRule="exact"/>
                    <w:ind w:right="0" w:left="0" w:firstLine="0"/>
                    <w:jc w:val="right"/>
                    <w:textAlignment w:val="baseline"/>
                    <w:rPr>
                      <w:rFonts w:ascii="Calibri" w:hAnsi="Calibri" w:eastAsia="Calibri"/>
                      <w:i w:val="true"/>
                      <w:color w:val="0D2844"/>
                      <w:spacing w:val="0"/>
                      <w:w w:val="100"/>
                      <w:sz w:val="18"/>
                      <w:vertAlign w:val="baseline"/>
                      <w:lang w:val="en-US"/>
                    </w:rPr>
                  </w:pPr>
                  <w:r>
                    <w:rPr>
                      <w:rFonts w:ascii="Calibri" w:hAnsi="Calibri" w:eastAsia="Calibri"/>
                      <w:i w:val="true"/>
                      <w:color w:val="0D2844"/>
                      <w:spacing w:val="0"/>
                      <w:w w:val="100"/>
                      <w:sz w:val="18"/>
                      <w:vertAlign w:val="baseline"/>
                      <w:lang w:val="en-US"/>
                    </w:rPr>
                    <w:t xml:space="preserve">Source: Bureau of Labor Statistics</w:t>
                  </w:r>
                </w:p>
              </w:txbxContent>
            </v:textbox>
          </v:shape>
        </w:pict>
      </w:r>
      <w:r>
        <w:pict>
          <v:shapetype id="_x0000_t464" coordsize="21600,21600" o:spt="202" path="m,l,21600r21600,l21600,xe">
            <v:stroke joinstyle="miter"/>
            <v:path gradientshapeok="t" o:connecttype="rect"/>
          </v:shapetype>
          <v:shape id="_x0000_s463" type="#_x0000_t464" filled="f" stroked="f" style="position:absolute;width:362.4pt;height:27.1pt;z-index:-1;margin-left:199.45pt;margin-top:422.65pt;mso-wrap-distance-left:0pt;mso-wrap-distance-right:0pt;mso-position-horizontal-relative:page;mso-position-vertical-relative:page">
            <w10:wrap type="square" side="both"/>
            <v:fill opacity="1" o:opacity2="1" recolor="f" rotate="f" type="solid"/>
            <v:textbox inset="0pt, 0pt, 0pt, 0pt">
              <w:txbxContent>
                <w:p>
                  <w:pPr>
                    <w:spacing w:before="238" w:after="115" w:line="179" w:lineRule="exact"/>
                    <w:ind w:right="0" w:left="288" w:firstLine="0"/>
                    <w:jc w:val="left"/>
                    <w:textAlignment w:val="baseline"/>
                    <w:rPr>
                      <w:rFonts w:ascii="Calibri" w:hAnsi="Calibri" w:eastAsia="Calibri"/>
                      <w:i w:val="true"/>
                      <w:color w:val="0D2844"/>
                      <w:spacing w:val="0"/>
                      <w:w w:val="100"/>
                      <w:sz w:val="18"/>
                      <w:vertAlign w:val="baseline"/>
                      <w:lang w:val="en-US"/>
                    </w:rPr>
                  </w:pPr>
                  <w:r>
                    <w:rPr>
                      <w:rFonts w:ascii="Calibri" w:hAnsi="Calibri" w:eastAsia="Calibri"/>
                      <w:i w:val="true"/>
                      <w:color w:val="0D2844"/>
                      <w:spacing w:val="0"/>
                      <w:w w:val="100"/>
                      <w:sz w:val="18"/>
                      <w:vertAlign w:val="baseline"/>
                      <w:lang w:val="en-US"/>
                    </w:rPr>
                    <w:t xml:space="preserve">Figure Y5: Unemployment Rate in Yates County as reported in January of each year</w:t>
                  </w:r>
                </w:p>
              </w:txbxContent>
            </v:textbox>
          </v:shape>
        </w:pict>
      </w:r>
      <w:r>
        <w:pict>
          <v:shapetype id="_x0000_t465" coordsize="21600,21600" o:spt="202" path="m,l,21600r21600,l21600,xe">
            <v:stroke joinstyle="miter"/>
            <v:path gradientshapeok="t" o:connecttype="rect"/>
          </v:shapetype>
          <v:shape id="_x0000_s464" type="#_x0000_t465" filled="f" stroked="f" style="position:absolute;width:346.55pt;height:185.3pt;z-index:-999;margin-left:215.3pt;margin-top:449.7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4401185" cy="2353310"/>
                        <wp:docPr name="Picture" id="129"/>
                        <a:graphic>
                          <a:graphicData uri="http://schemas.openxmlformats.org/drawingml/2006/picture">
                            <pic:pic>
                              <pic:nvPicPr>
                                <pic:cNvPr id="129" name="Picture"/>
                                <pic:cNvPicPr preferRelativeResize="false"/>
                              </pic:nvPicPr>
                              <pic:blipFill>
                                <a:blip r:embed="prId129"/>
                                <a:stretch>
                                  <a:fillRect/>
                                </a:stretch>
                              </pic:blipFill>
                              <pic:spPr>
                                <a:xfrm>
                                  <a:off x="0" y="0"/>
                                  <a:ext cx="4401185" cy="2353310"/>
                                </a:xfrm>
                                <a:prstGeom prst="rect"/>
                              </pic:spPr>
                            </pic:pic>
                          </a:graphicData>
                        </a:graphic>
                      </wp:inline>
                    </w:drawing>
                  </w:r>
                </w:p>
              </w:txbxContent>
            </v:textbox>
          </v:shape>
        </w:pict>
      </w:r>
      <w:r>
        <w:pict>
          <v:shapetype id="_x0000_t466" coordsize="21600,21600" o:spt="202" path="m,l,21600r21600,l21600,xe">
            <v:stroke joinstyle="miter"/>
            <v:path gradientshapeok="t" o:connecttype="rect"/>
          </v:shapetype>
          <v:shape id="_x0000_s465" type="#_x0000_t466" filled="f" stroked="f" style="position:absolute;width:29.65pt;height:10.95pt;z-index:-1;margin-left:215.3pt;margin-top:449.85pt;mso-wrap-distance-left:0pt;mso-wrap-distance-right:0pt;mso-position-horizontal-relative:page;mso-position-vertical-relative:page">
            <w10:wrap type="square" side="both"/>
            <v:fill opacity="1" o:opacity2="1" recolor="f" rotate="f" type="solid"/>
            <v:textbox inset="0pt, 0pt, 0pt, 0pt">
              <w:txbxContent>
                <w:p>
                  <w:pPr>
                    <w:spacing w:before="20" w:after="0" w:line="19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6.00%</w:t>
                  </w:r>
                </w:p>
              </w:txbxContent>
            </v:textbox>
          </v:shape>
        </w:pict>
      </w:r>
      <w:r>
        <w:pict>
          <v:shapetype id="_x0000_t467" coordsize="21600,21600" o:spt="202" path="m,l,21600r21600,l21600,xe">
            <v:stroke joinstyle="miter"/>
            <v:path gradientshapeok="t" o:connecttype="rect"/>
          </v:shapetype>
          <v:shape id="_x0000_s466" type="#_x0000_t467" filled="f" stroked="f" style="position:absolute;width:31.5pt;height:10.95pt;z-index:-1;margin-left:339.45pt;margin-top:453.7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1"/>
                      <w:spacing w:val="0"/>
                      <w:w w:val="100"/>
                      <w:sz w:val="18"/>
                      <w:vertAlign w:val="baseline"/>
                      <w:lang w:val="en-US"/>
                    </w:rPr>
                  </w:pPr>
                  <w:r>
                    <w:rPr>
                      <w:rFonts w:ascii="Calibri" w:hAnsi="Calibri" w:eastAsia="Calibri"/>
                      <w:color w:val="404041"/>
                      <w:spacing w:val="0"/>
                      <w:w w:val="100"/>
                      <w:sz w:val="18"/>
                      <w:vertAlign w:val="baseline"/>
                      <w:lang w:val="en-US"/>
                    </w:rPr>
                    <w:t xml:space="preserve">5.30%</w:t>
                  </w:r>
                </w:p>
              </w:txbxContent>
            </v:textbox>
          </v:shape>
        </w:pict>
      </w:r>
      <w:r>
        <w:pict>
          <v:shapetype id="_x0000_t468" coordsize="21600,21600" o:spt="202" path="m,l,21600r21600,l21600,xe">
            <v:stroke joinstyle="miter"/>
            <v:path gradientshapeok="t" o:connecttype="rect"/>
          </v:shapetype>
          <v:shape id="_x0000_s467" type="#_x0000_t468" filled="f" stroked="f" style="position:absolute;width:31.5pt;height:10.95pt;z-index:-1;margin-left:296.75pt;margin-top:465.2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center"/>
                    <w:textAlignment w:val="baseline"/>
                    <w:rPr>
                      <w:rFonts w:ascii="Calibri" w:hAnsi="Calibri" w:eastAsia="Calibri"/>
                      <w:color w:val="404041"/>
                      <w:spacing w:val="0"/>
                      <w:w w:val="100"/>
                      <w:sz w:val="18"/>
                      <w:vertAlign w:val="baseline"/>
                      <w:lang w:val="en-US"/>
                    </w:rPr>
                  </w:pPr>
                  <w:r>
                    <w:rPr>
                      <w:rFonts w:ascii="Calibri" w:hAnsi="Calibri" w:eastAsia="Calibri"/>
                      <w:color w:val="404041"/>
                      <w:spacing w:val="0"/>
                      <w:w w:val="100"/>
                      <w:sz w:val="18"/>
                      <w:vertAlign w:val="baseline"/>
                      <w:lang w:val="en-US"/>
                    </w:rPr>
                    <w:t xml:space="preserve">4.80%</w:t>
                  </w:r>
                </w:p>
              </w:txbxContent>
            </v:textbox>
          </v:shape>
        </w:pict>
      </w:r>
      <w:r>
        <w:pict>
          <v:shapetype id="_x0000_t469" coordsize="21600,21600" o:spt="202" path="m,l,21600r21600,l21600,xe">
            <v:stroke joinstyle="miter"/>
            <v:path gradientshapeok="t" o:connecttype="rect"/>
          </v:shapetype>
          <v:shape id="_x0000_s468" type="#_x0000_t469" filled="f" stroked="f" style="position:absolute;width:31.75pt;height:10.95pt;z-index:-1;margin-left:254pt;margin-top:476.5pt;mso-wrap-distance-left:0pt;mso-wrap-distance-right:0pt;mso-position-horizontal-relative:page;mso-position-vertical-relative:page">
            <w10:wrap type="square" side="both"/>
            <v:fill opacity="1" o:opacity2="1" recolor="f" rotate="f" type="solid"/>
            <v:textbox inset="0pt, 0pt, 0pt, 0pt">
              <w:txbxContent>
                <w:p>
                  <w:pPr>
                    <w:spacing w:before="20" w:after="0" w:line="198" w:lineRule="exact"/>
                    <w:ind w:right="0" w:left="0" w:firstLine="0"/>
                    <w:jc w:val="left"/>
                    <w:textAlignment w:val="baseline"/>
                    <w:rPr>
                      <w:rFonts w:ascii="Calibri" w:hAnsi="Calibri" w:eastAsia="Calibri"/>
                      <w:color w:val="404041"/>
                      <w:spacing w:val="0"/>
                      <w:w w:val="100"/>
                      <w:sz w:val="18"/>
                      <w:vertAlign w:val="baseline"/>
                      <w:lang w:val="en-US"/>
                    </w:rPr>
                  </w:pPr>
                  <w:r>
                    <w:rPr>
                      <w:rFonts w:ascii="Calibri" w:hAnsi="Calibri" w:eastAsia="Calibri"/>
                      <w:color w:val="404041"/>
                      <w:spacing w:val="0"/>
                      <w:w w:val="100"/>
                      <w:sz w:val="18"/>
                      <w:vertAlign w:val="baseline"/>
                      <w:lang w:val="en-US"/>
                    </w:rPr>
                    <w:t xml:space="preserve">4.30%</w:t>
                  </w:r>
                </w:p>
              </w:txbxContent>
            </v:textbox>
          </v:shape>
        </w:pict>
      </w:r>
      <w:r>
        <w:pict>
          <v:shapetype id="_x0000_t470" coordsize="21600,21600" o:spt="202" path="m,l,21600r21600,l21600,xe">
            <v:stroke joinstyle="miter"/>
            <v:path gradientshapeok="t" o:connecttype="rect"/>
          </v:shapetype>
          <v:shape id="_x0000_s469" type="#_x0000_t470" filled="f" stroked="f" style="position:absolute;width:64.55pt;height:16pt;z-index:-1;margin-left:471.85pt;margin-top:471.45pt;mso-wrap-distance-left:0pt;mso-wrap-distance-right:0pt;mso-position-horizontal-relative:page;mso-position-vertical-relative:page">
            <w10:wrap type="square" side="both"/>
            <v:fill opacity="1" o:opacity2="1" recolor="f" rotate="f" type="solid"/>
            <v:textbox inset="0pt, 0pt, 0pt, 0pt">
              <w:txbxContent>
                <w:p>
                  <w:pPr>
                    <w:spacing w:before="25" w:after="0" w:line="147" w:lineRule="exact"/>
                    <w:ind w:right="0" w:left="0" w:firstLine="0"/>
                    <w:jc w:val="right"/>
                    <w:textAlignment w:val="baseline"/>
                    <w:rPr>
                      <w:rFonts w:ascii="Calibri" w:hAnsi="Calibri" w:eastAsia="Calibri"/>
                      <w:color w:val="404041"/>
                      <w:spacing w:val="-1"/>
                      <w:w w:val="100"/>
                      <w:sz w:val="18"/>
                      <w:u w:val="single"/>
                      <w:vertAlign w:val="baseline"/>
                      <w:lang w:val="en-US"/>
                    </w:rPr>
                  </w:pPr>
                  <w:r>
                    <w:rPr>
                      <w:rFonts w:ascii="Calibri" w:hAnsi="Calibri" w:eastAsia="Calibri"/>
                      <w:color w:val="404041"/>
                      <w:spacing w:val="-1"/>
                      <w:w w:val="100"/>
                      <w:sz w:val="18"/>
                      <w:u w:val="single"/>
                      <w:vertAlign w:val="baseline"/>
                      <w:lang w:val="en-US"/>
                    </w:rPr>
                    <w:t xml:space="preserve">4.50%</w:t>
                  </w:r>
                  <w:r>
                    <w:rPr>
                      <w:rFonts w:ascii="Calibri" w:hAnsi="Calibri" w:eastAsia="Calibri"/>
                      <w:color w:val="404041"/>
                      <w:spacing w:val="-1"/>
                      <w:w w:val="100"/>
                      <w:sz w:val="18"/>
                      <w:vertAlign w:val="baseline"/>
                      <w:lang w:val="en-US"/>
                    </w:rPr>
                    <w:t xml:space="preserve">
</w:t>
                  </w:r>
                </w:p>
                <w:p>
                  <w:pPr>
                    <w:spacing w:before="0" w:after="0" w:line="147" w:lineRule="exact"/>
                    <w:ind w:right="0" w:left="0" w:firstLine="0"/>
                    <w:jc w:val="left"/>
                    <w:textAlignment w:val="baseline"/>
                    <w:rPr>
                      <w:rFonts w:ascii="Calibri" w:hAnsi="Calibri" w:eastAsia="Calibri"/>
                      <w:color w:val="404041"/>
                      <w:spacing w:val="-1"/>
                      <w:w w:val="100"/>
                      <w:sz w:val="18"/>
                      <w:vertAlign w:val="baseline"/>
                      <w:lang w:val="en-US"/>
                    </w:rPr>
                  </w:pPr>
                  <w:r>
                    <w:rPr>
                      <w:rFonts w:ascii="Calibri" w:hAnsi="Calibri" w:eastAsia="Calibri"/>
                      <w:color w:val="404041"/>
                      <w:spacing w:val="-1"/>
                      <w:w w:val="100"/>
                      <w:sz w:val="18"/>
                      <w:vertAlign w:val="baseline"/>
                      <w:lang w:val="en-US"/>
                    </w:rPr>
                    <w:t xml:space="preserve">4.30%</w:t>
                  </w:r>
                </w:p>
              </w:txbxContent>
            </v:textbox>
          </v:shape>
        </w:pict>
      </w:r>
      <w:r>
        <w:pict>
          <v:shapetype id="_x0000_t471" coordsize="21600,21600" o:spt="202" path="m,l,21600r21600,l21600,xe">
            <v:stroke joinstyle="miter"/>
            <v:path gradientshapeok="t" o:connecttype="rect"/>
          </v:shapetype>
          <v:shape id="_x0000_s470" type="#_x0000_t471" filled="f" stroked="f" style="position:absolute;width:31.5pt;height:10.95pt;z-index:-1;margin-left:424.4pt;margin-top:483.2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1"/>
                      <w:spacing w:val="0"/>
                      <w:w w:val="100"/>
                      <w:sz w:val="18"/>
                      <w:vertAlign w:val="baseline"/>
                      <w:lang w:val="en-US"/>
                    </w:rPr>
                  </w:pPr>
                  <w:r>
                    <w:rPr>
                      <w:rFonts w:ascii="Calibri" w:hAnsi="Calibri" w:eastAsia="Calibri"/>
                      <w:color w:val="404041"/>
                      <w:spacing w:val="0"/>
                      <w:w w:val="100"/>
                      <w:sz w:val="18"/>
                      <w:vertAlign w:val="baseline"/>
                      <w:lang w:val="en-US"/>
                    </w:rPr>
                    <w:t xml:space="preserve">4.00%</w:t>
                  </w:r>
                </w:p>
              </w:txbxContent>
            </v:textbox>
          </v:shape>
        </w:pict>
      </w:r>
      <w:r>
        <w:pict>
          <v:shapetype id="_x0000_t472" coordsize="21600,21600" o:spt="202" path="m,l,21600r21600,l21600,xe">
            <v:stroke joinstyle="miter"/>
            <v:path gradientshapeok="t" o:connecttype="rect"/>
          </v:shapetype>
          <v:shape id="_x0000_s471" type="#_x0000_t472" filled="f" stroked="f" style="position:absolute;width:31.5pt;height:10.95pt;z-index:-1;margin-left:381.95pt;margin-top:489.7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404041"/>
                      <w:spacing w:val="0"/>
                      <w:w w:val="100"/>
                      <w:sz w:val="18"/>
                      <w:vertAlign w:val="baseline"/>
                      <w:lang w:val="en-US"/>
                    </w:rPr>
                  </w:pPr>
                  <w:r>
                    <w:rPr>
                      <w:rFonts w:ascii="Calibri" w:hAnsi="Calibri" w:eastAsia="Calibri"/>
                      <w:color w:val="404041"/>
                      <w:spacing w:val="0"/>
                      <w:w w:val="100"/>
                      <w:sz w:val="18"/>
                      <w:vertAlign w:val="baseline"/>
                      <w:lang w:val="en-US"/>
                    </w:rPr>
                    <w:t xml:space="preserve">3.70%</w:t>
                  </w:r>
                </w:p>
              </w:txbxContent>
            </v:textbox>
          </v:shape>
        </w:pict>
      </w:r>
      <w:r>
        <w:pict>
          <v:shapetype id="_x0000_t473" coordsize="21600,21600" o:spt="202" path="m,l,21600r21600,l21600,xe">
            <v:stroke joinstyle="miter"/>
            <v:path gradientshapeok="t" o:connecttype="rect"/>
          </v:shapetype>
          <v:shape id="_x0000_s472" type="#_x0000_t473" filled="f" stroked="f" style="position:absolute;width:29.65pt;height:10.95pt;z-index:-1;margin-left:215.3pt;margin-top:517.75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3.00%</w:t>
                  </w:r>
                </w:p>
              </w:txbxContent>
            </v:textbox>
          </v:shape>
        </w:pict>
      </w:r>
      <w:r>
        <w:pict>
          <v:shapetype id="_x0000_t474" coordsize="21600,21600" o:spt="202" path="m,l,21600r21600,l21600,xe">
            <v:stroke joinstyle="miter"/>
            <v:path gradientshapeok="t" o:connecttype="rect"/>
          </v:shapetype>
          <v:shape id="_x0000_s473" type="#_x0000_t474" filled="f" stroked="f" style="position:absolute;width:29.65pt;height:10.95pt;z-index:-1;margin-left:215.3pt;margin-top:540.35pt;mso-wrap-distance-left:0pt;mso-wrap-distance-right:0pt;mso-position-horizontal-relative:page;mso-position-vertical-relative:page">
            <w10:wrap type="square" side="both"/>
            <v:fill opacity="1" o:opacity2="1" recolor="f" rotate="f" type="solid"/>
            <v:textbox inset="0pt, 0pt, 0pt, 0pt">
              <w:txbxContent>
                <w:p>
                  <w:pPr>
                    <w:spacing w:before="20" w:after="0" w:line="18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2.00%</w:t>
                  </w:r>
                </w:p>
              </w:txbxContent>
            </v:textbox>
          </v:shape>
        </w:pict>
      </w:r>
      <w:r>
        <w:pict>
          <v:shapetype id="_x0000_t475" coordsize="21600,21600" o:spt="202" path="m,l,21600r21600,l21600,xe">
            <v:stroke joinstyle="miter"/>
            <v:path gradientshapeok="t" o:connecttype="rect"/>
          </v:shapetype>
          <v:shape id="_x0000_s474" type="#_x0000_t475" filled="f" stroked="f" style="position:absolute;width:29.65pt;height:10.95pt;z-index:-1;margin-left:215.3pt;margin-top:562.65pt;mso-wrap-distance-left:0pt;mso-wrap-distance-right:0pt;mso-position-horizontal-relative:page;mso-position-vertical-relative:page">
            <w10:wrap type="square" side="both"/>
            <v:fill opacity="1" o:opacity2="1" recolor="f" rotate="f" type="solid"/>
            <v:textbox inset="0pt, 0pt, 0pt, 0pt">
              <w:txbxContent>
                <w:p>
                  <w:pPr>
                    <w:spacing w:before="20" w:after="0" w:line="18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1.00%</w:t>
                  </w:r>
                </w:p>
              </w:txbxContent>
            </v:textbox>
          </v:shape>
        </w:pict>
      </w:r>
      <w:r>
        <w:pict>
          <v:shapetype id="_x0000_t476" coordsize="21600,21600" o:spt="202" path="m,l,21600r21600,l21600,xe">
            <v:stroke joinstyle="miter"/>
            <v:path gradientshapeok="t" o:connecttype="rect"/>
          </v:shapetype>
          <v:shape id="_x0000_s475" type="#_x0000_t476" filled="f" stroked="f" style="position:absolute;width:29.65pt;height:10.95pt;z-index:-1;margin-left:215.3pt;margin-top:585.2pt;mso-wrap-distance-left:0pt;mso-wrap-distance-right:0pt;mso-position-horizontal-relative:page;mso-position-vertical-relative:page">
            <w10:wrap type="square" side="both"/>
            <v:fill opacity="1" o:opacity2="1" recolor="f" rotate="f" type="solid"/>
            <v:textbox inset="0pt, 0pt, 0pt, 0pt">
              <w:txbxContent>
                <w:p>
                  <w:pPr>
                    <w:spacing w:before="20" w:after="0" w:line="18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0.00%</w:t>
                  </w:r>
                </w:p>
              </w:txbxContent>
            </v:textbox>
          </v:shape>
        </w:pict>
      </w:r>
      <w:r>
        <w:pict>
          <v:shapetype id="_x0000_t477" coordsize="21600,21600" o:spt="202" path="m,l,21600r21600,l21600,xe">
            <v:stroke joinstyle="miter"/>
            <v:path gradientshapeok="t" o:connecttype="rect"/>
          </v:shapetype>
          <v:shape id="_x0000_s476" type="#_x0000_t477" filled="f" stroked="f" style="position:absolute;width:273.15pt;height:10.95pt;z-index:-1;margin-left:261.35pt;margin-top:596.95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864"/>
                      <w:tab w:val="left" w:leader="none" w:pos="1728"/>
                      <w:tab w:val="left" w:leader="none" w:pos="2520"/>
                      <w:tab w:val="left" w:leader="none" w:pos="3384"/>
                      <w:tab w:val="left" w:leader="none" w:pos="4248"/>
                      <w:tab w:val="right" w:leader="none" w:pos="5472"/>
                    </w:tabs>
                    <w:spacing w:before="20" w:after="0" w:line="19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2019	</w:t>
                  </w:r>
                  <w:r>
                    <w:rPr>
                      <w:rFonts w:ascii="Calibri" w:hAnsi="Calibri" w:eastAsia="Calibri"/>
                      <w:color w:val="585858"/>
                      <w:spacing w:val="0"/>
                      <w:w w:val="100"/>
                      <w:sz w:val="18"/>
                      <w:vertAlign w:val="baseline"/>
                      <w:lang w:val="en-US"/>
                    </w:rPr>
                    <w:t xml:space="preserve">2020	</w:t>
                  </w:r>
                  <w:r>
                    <w:rPr>
                      <w:rFonts w:ascii="Calibri" w:hAnsi="Calibri" w:eastAsia="Calibri"/>
                      <w:color w:val="585858"/>
                      <w:spacing w:val="0"/>
                      <w:w w:val="100"/>
                      <w:sz w:val="18"/>
                      <w:vertAlign w:val="baseline"/>
                      <w:lang w:val="en-US"/>
                    </w:rPr>
                    <w:t xml:space="preserve">2021	</w:t>
                  </w:r>
                  <w:r>
                    <w:rPr>
                      <w:rFonts w:ascii="Calibri" w:hAnsi="Calibri" w:eastAsia="Calibri"/>
                      <w:color w:val="585858"/>
                      <w:spacing w:val="0"/>
                      <w:w w:val="100"/>
                      <w:sz w:val="18"/>
                      <w:vertAlign w:val="baseline"/>
                      <w:lang w:val="en-US"/>
                    </w:rPr>
                    <w:t xml:space="preserve">2022	</w:t>
                  </w:r>
                  <w:r>
                    <w:rPr>
                      <w:rFonts w:ascii="Calibri" w:hAnsi="Calibri" w:eastAsia="Calibri"/>
                      <w:color w:val="585858"/>
                      <w:spacing w:val="0"/>
                      <w:w w:val="100"/>
                      <w:sz w:val="18"/>
                      <w:vertAlign w:val="baseline"/>
                      <w:lang w:val="en-US"/>
                    </w:rPr>
                    <w:t xml:space="preserve">2023	</w:t>
                  </w:r>
                  <w:r>
                    <w:rPr>
                      <w:rFonts w:ascii="Calibri" w:hAnsi="Calibri" w:eastAsia="Calibri"/>
                      <w:color w:val="585858"/>
                      <w:spacing w:val="0"/>
                      <w:w w:val="100"/>
                      <w:sz w:val="18"/>
                      <w:vertAlign w:val="baseline"/>
                      <w:lang w:val="en-US"/>
                    </w:rPr>
                    <w:t xml:space="preserve">2024	</w:t>
                  </w:r>
                  <w:r>
                    <w:rPr>
                      <w:rFonts w:ascii="Calibri" w:hAnsi="Calibri" w:eastAsia="Calibri"/>
                      <w:color w:val="585858"/>
                      <w:spacing w:val="0"/>
                      <w:w w:val="100"/>
                      <w:sz w:val="18"/>
                      <w:vertAlign w:val="baseline"/>
                      <w:lang w:val="en-US"/>
                    </w:rPr>
                    <w:t xml:space="preserve">2025</w:t>
                  </w:r>
                </w:p>
              </w:txbxContent>
            </v:textbox>
          </v:shape>
        </w:pict>
      </w:r>
      <w:r>
        <w:pict>
          <v:shapetype id="_x0000_t478" coordsize="21600,21600" o:spt="202" path="m,l,21600r21600,l21600,xe">
            <v:stroke joinstyle="miter"/>
            <v:path gradientshapeok="t" o:connecttype="rect"/>
          </v:shapetype>
          <v:shape id="_x0000_s477" type="#_x0000_t478" filled="f" stroked="f" style="position:absolute;width:29.65pt;height:10.95pt;z-index:-1;margin-left:215.3pt;margin-top:472.4pt;mso-wrap-distance-left:0pt;mso-wrap-distance-right:0pt;mso-position-horizontal-relative:page;mso-position-vertical-relative:page">
            <w10:wrap type="square" side="both"/>
            <v:fill opacity="1" o:opacity2="1" recolor="f" rotate="f" type="solid"/>
            <v:textbox inset="0pt, 0pt, 0pt, 0pt">
              <w:txbxContent>
                <w:p>
                  <w:pPr>
                    <w:spacing w:before="20" w:after="0" w:line="19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5.00%</w:t>
                  </w:r>
                </w:p>
              </w:txbxContent>
            </v:textbox>
          </v:shape>
        </w:pict>
      </w:r>
      <w:r>
        <w:pict>
          <v:shapetype id="_x0000_t479" coordsize="21600,21600" o:spt="202" path="m,l,21600r21600,l21600,xe">
            <v:stroke joinstyle="miter"/>
            <v:path gradientshapeok="t" o:connecttype="rect"/>
          </v:shapetype>
          <v:shape id="_x0000_s478" type="#_x0000_t479" filled="f" stroked="f" style="position:absolute;width:29.65pt;height:10.95pt;z-index:-1;margin-left:215.3pt;margin-top:495.2pt;mso-wrap-distance-left:0pt;mso-wrap-distance-right:0pt;mso-position-horizontal-relative:page;mso-position-vertical-relative:page">
            <w10:wrap type="square" side="both"/>
            <v:fill opacity="1" o:opacity2="1" recolor="f" rotate="f" type="solid"/>
            <v:textbox inset="0pt, 0pt, 0pt, 0pt">
              <w:txbxContent>
                <w:p>
                  <w:pPr>
                    <w:spacing w:before="20" w:after="0" w:line="184"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4.00%</w:t>
                  </w:r>
                </w:p>
              </w:txbxContent>
            </v:textbox>
          </v:shape>
        </w:pict>
      </w:r>
      <w:r>
        <w:pict>
          <v:shapetype id="_x0000_t480" coordsize="21600,21600" o:spt="202" path="m,l,21600r21600,l21600,xe">
            <v:stroke joinstyle="miter"/>
            <v:path gradientshapeok="t" o:connecttype="rect"/>
          </v:shapetype>
          <v:shape id="_x0000_s479" type="#_x0000_t480" filled="f" stroked="f" style="position:absolute;width:612pt;height:52.8pt;z-index:1;margin-left:0pt;margin-top:664.05pt;mso-wrap-distance-left:0pt;mso-wrap-distance-right:0pt;mso-position-horizontal-relative:page;mso-position-vertical-relative:page">
            <w10:wrap anchorx="page" anchory="page"/>
            <v:fill opacity="1" o:opacity2="1" recolor="f" rotate="f" type="solid"/>
            <v:textbox inset="0pt, 0pt, 0pt, 0pt">
              <w:txbxContent>
                <w:p>
                  <w:pPr>
                    <w:spacing w:before="2" w:after="178" w:line="289" w:lineRule="exact"/>
                    <w:ind w:right="1440" w:left="1440" w:firstLine="0"/>
                    <w:jc w:val="both"/>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2023 U.S Census data indicate that the median household income in Yates County is $67,521, lower than the state median of $85,820. The gross hourly wage needed for a family of one adult and two children to cover household expenses gradually increased from $38.36 in 2021 to $51.14 in 2024. This figure</w:t>
                  </w:r>
                </w:p>
              </w:txbxContent>
            </v:textbox>
          </v:shape>
        </w:pict>
      </w:r>
      <w:r>
        <w:pict>
          <v:shapetype id="_x0000_t481" coordsize="21600,21600" o:spt="202" path="m,l,21600r21600,l21600,xe">
            <v:stroke joinstyle="miter"/>
            <v:path gradientshapeok="t" o:connecttype="rect"/>
          </v:shapetype>
          <v:shape id="_x0000_s480" type="#_x0000_t481"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81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162" w:after="0" w:line="288" w:lineRule="exact"/>
        <w:ind w:right="2088" w:left="1440" w:firstLine="0"/>
        <w:jc w:val="left"/>
        <w:textAlignment w:val="baseline"/>
        <w:rPr>
          <w:rFonts w:ascii="Calibri" w:hAnsi="Calibri" w:eastAsia="Calibri"/>
          <w:color w:val="000000"/>
          <w:spacing w:val="0"/>
          <w:w w:val="100"/>
          <w:sz w:val="22"/>
          <w:vertAlign w:val="baseline"/>
          <w:lang w:val="en-US"/>
        </w:rPr>
      </w:pPr>
      <w:r>
        <w:pict>
          <v:shapetype id="_x0000_t482" coordsize="21600,21600" o:spt="202" path="m,l,21600r21600,l21600,xe">
            <v:stroke joinstyle="miter"/>
            <v:path gradientshapeok="t" o:connecttype="rect"/>
          </v:shapetype>
          <v:shape id="_x0000_s481" type="#_x0000_t482"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13"/>
                    <w:gridCol w:w="9739"/>
                    <w:gridCol w:w="874"/>
                  </w:tblGrid>
                  <w:tr>
                    <w:trPr>
                      <w:trHeight w:val="988" w:hRule="exact"/>
                    </w:trPr>
                    <w:tc>
                      <w:tcPr>
                        <w:tcW w:w="1113"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6755" cy="609600"/>
                              <wp:docPr name="Picture" id="130"/>
                              <a:graphic>
                                <a:graphicData uri="http://schemas.openxmlformats.org/drawingml/2006/picture">
                                  <pic:pic>
                                    <pic:nvPicPr>
                                      <pic:cNvPr id="130" name="Picture"/>
                                      <pic:cNvPicPr preferRelativeResize="false"/>
                                    </pic:nvPicPr>
                                    <pic:blipFill>
                                      <a:blip r:embed="prId130"/>
                                      <a:stretch>
                                        <a:fillRect/>
                                      </a:stretch>
                                    </pic:blipFill>
                                    <pic:spPr>
                                      <a:xfrm>
                                        <a:off x="0" y="0"/>
                                        <a:ext cx="706755" cy="609600"/>
                                      </a:xfrm>
                                      <a:prstGeom prst="rect"/>
                                    </pic:spPr>
                                  </pic:pic>
                                </a:graphicData>
                              </a:graphic>
                            </wp:inline>
                          </w:drawing>
                        </w:r>
                      </w:p>
                    </w:tc>
                    <w:tc>
                      <w:tcPr>
                        <w:tcW w:w="9739"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31"/>
                              <a:graphic>
                                <a:graphicData uri="http://schemas.openxmlformats.org/drawingml/2006/picture">
                                  <pic:pic>
                                    <pic:nvPicPr>
                                      <pic:cNvPr id="131" name="Picture"/>
                                      <pic:cNvPicPr preferRelativeResize="false"/>
                                    </pic:nvPicPr>
                                    <pic:blipFill>
                                      <a:blip r:embed="prId131"/>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remains lower than the 2024 state value of $61.75 but higher than those of neighboring counties, Seneca, Steuben, and Schuyler.</w:t>
      </w:r>
    </w:p>
    <w:p>
      <w:pPr>
        <w:spacing w:before="225"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Nutrition Security</w:t>
      </w:r>
    </w:p>
    <w:p>
      <w:pPr>
        <w:spacing w:before="168"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It is important to note the definitional difference between nutrition and food security for data relevance. The New York State Prevention Agenda defines food security as having access to enough food. When a person reports they are food insecure, they recognize they have limited or uncertain access to food due to limited economic resources. Map Y3 shows the food insecurity rates of Yates and contiguous counties. On the other hand, nutrition security looks not only at food access, but also at consistent and equitable access to healthy, safe, affordable food. New York State has transitioned to focus on nutrition insecurity data, but food insecurity data remains relevant to ensure equitable access of food exists across all parts of the state.</w:t>
      </w:r>
    </w:p>
    <w:p>
      <w:pPr>
        <w:spacing w:before="166" w:after="23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Nutrition and food insecurity can lead to higher rates of chronic disease, poor child development, and overall diminished health and well-being. When families lack consistent access to affordable and nutritious food as well as community systems, such as healthcare and schools, they may feel the strain of long-term inequities, resulting in poorer health outcomes.</w:t>
      </w:r>
    </w:p>
    <w:tbl>
      <w:tblPr>
        <w:jc w:val="left"/>
        <w:tblLayout w:type="fixed"/>
        <w:tblCellMar>
          <w:left w:w="0" w:type="dxa"/>
          <w:right w:w="0" w:type="dxa"/>
        </w:tblCellMar>
      </w:tblPr>
      <w:tblGrid>
        <w:gridCol w:w="5875"/>
        <w:gridCol w:w="6365"/>
      </w:tblGrid>
      <w:tr>
        <w:trPr>
          <w:trHeight w:val="389" w:hRule="exact"/>
        </w:trPr>
        <w:tc>
          <w:tcPr>
            <w:tcW w:w="5875" w:type="dxa"/>
            <w:vMerge w:val="restart"/>
            <w:tcBorders>
              <w:top w:val="none"/>
              <w:left w:val="none"/>
              <w:bottom w:val="none"/>
              <w:right w:val="none"/>
            </w:tcBorders>
            <w:textDirection w:val="lrTb"/>
            <w:vAlign w:val="top"/>
          </w:tcPr>
          <w:p>
            <w:pPr>
              <w:spacing w:before="70" w:after="0" w:line="268" w:lineRule="exact"/>
              <w:ind w:right="21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Approximately one in four adults (24.9%) in New York State experience food insecurity. Having access to affordable, healthy food helps reduce hunger and prevent chronic disease. Food and nutrition security rates may be influenced by several factors, including income, employment, race/ethnicity, and disability.</w:t>
            </w:r>
            <w:r>
              <w:rPr>
                <w:rFonts w:ascii="Calibri" w:hAnsi="Calibri" w:eastAsia="Calibri"/>
                <w:color w:val="000000"/>
                <w:spacing w:val="0"/>
                <w:w w:val="100"/>
                <w:sz w:val="22"/>
                <w:vertAlign w:val="superscript"/>
                <w:lang w:val="en-US"/>
              </w:rPr>
              <w:t xml:space="preserve">36</w:t>
            </w:r>
            <w:r>
              <w:rPr>
                <w:rFonts w:ascii="Calibri" w:hAnsi="Calibri" w:eastAsia="Calibri"/>
                <w:color w:val="000000"/>
                <w:spacing w:val="0"/>
                <w:w w:val="100"/>
                <w:sz w:val="14"/>
                <w:vertAlign w:val="baseline"/>
                <w:lang w:val="en-US"/>
              </w:rPr>
              <w:t xml:space="preserve"> </w:t>
            </w:r>
            <w:r>
              <w:rPr>
                <w:rFonts w:ascii="Calibri" w:hAnsi="Calibri" w:eastAsia="Calibri"/>
                <w:color w:val="000000"/>
                <w:spacing w:val="0"/>
                <w:w w:val="100"/>
                <w:sz w:val="22"/>
                <w:vertAlign w:val="baseline"/>
                <w:lang w:val="en-US"/>
              </w:rPr>
              <w:t xml:space="preserve">Areas with higher poverty rates (Dundee, Himrod, and Dresden) will likely face greater challenges in accessing healthy, safe, and affordable food.</w:t>
            </w:r>
          </w:p>
          <w:p>
            <w:pPr>
              <w:spacing w:before="288" w:after="1065" w:line="268" w:lineRule="exact"/>
              <w:ind w:right="216" w:left="1440"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Additionally, children are disproportionately impacted by food insecurity. Feeding America closely monitors annual food insecurity and food costs using real-time data. In Yates County, approximately 950 children are food-insecure,</w:t>
            </w:r>
          </w:p>
        </w:tc>
        <w:tc>
          <w:tcPr>
            <w:tcW w:w="6365" w:type="dxa"/>
            <w:tcBorders>
              <w:top w:val="none"/>
              <w:left w:val="none"/>
              <w:bottom w:val="none"/>
              <w:right w:val="none"/>
            </w:tcBorders>
            <w:textDirection w:val="lrTb"/>
            <w:vAlign w:val="top"/>
          </w:tcPr>
          <w:p>
            <w:pPr>
              <w:spacing w:before="0" w:after="230" w:line="153" w:lineRule="exact"/>
              <w:ind w:right="4234" w:left="0" w:firstLine="0"/>
              <w:jc w:val="righ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Map Y3: Food Insecurity Rate</w:t>
            </w:r>
          </w:p>
        </w:tc>
      </w:tr>
      <w:tr>
        <w:trPr>
          <w:trHeight w:val="5332" w:hRule="exact"/>
        </w:trPr>
        <w:tc>
          <w:tcPr>
            <w:tcW w:w="5875" w:type="dxa"/>
            <w:vMerge w:val="continue"/>
            <w:tcBorders>
              <w:top w:val="none"/>
              <w:left w:val="none"/>
              <w:bottom w:val="none"/>
              <w:right w:val="none"/>
            </w:tcBorders>
            <w:textDirection w:val="lrTb"/>
            <w:vAlign w:val="top"/>
          </w:tcPr>
          <w:p/>
        </w:tc>
        <w:tc>
          <w:tcPr>
            <w:tcW w:w="6365" w:type="dxa"/>
            <w:tcBorders>
              <w:top w:val="none"/>
              <w:left w:val="none"/>
              <w:bottom w:val="none"/>
              <w:right w:val="none"/>
            </w:tcBorders>
            <w:textDirection w:val="lrTb"/>
            <w:vAlign w:val="top"/>
          </w:tcPr>
          <w:p>
            <w:pPr>
              <w:spacing w:before="0" w:after="0" w:line="240" w:lineRule="auto"/>
              <w:ind w:right="341" w:left="0"/>
              <w:jc w:val="left"/>
              <w:textAlignment w:val="baseline"/>
            </w:pPr>
            <w:r>
              <w:drawing>
                <wp:inline>
                  <wp:extent cx="3825240" cy="3385820"/>
                  <wp:docPr name="Picture" id="132"/>
                  <a:graphic>
                    <a:graphicData uri="http://schemas.openxmlformats.org/drawingml/2006/picture">
                      <pic:pic>
                        <pic:nvPicPr>
                          <pic:cNvPr id="132" name="Picture"/>
                          <pic:cNvPicPr preferRelativeResize="false"/>
                        </pic:nvPicPr>
                        <pic:blipFill>
                          <a:blip r:embed="prId132"/>
                          <a:stretch>
                            <a:fillRect/>
                          </a:stretch>
                        </pic:blipFill>
                        <pic:spPr>
                          <a:xfrm>
                            <a:off x="0" y="0"/>
                            <a:ext cx="3825240" cy="3385820"/>
                          </a:xfrm>
                          <a:prstGeom prst="rect"/>
                        </pic:spPr>
                      </pic:pic>
                    </a:graphicData>
                  </a:graphic>
                </wp:inline>
              </w:drawing>
            </w:r>
          </w:p>
        </w:tc>
      </w:tr>
    </w:tbl>
    <w:p>
      <w:pPr>
        <w:spacing w:before="0" w:after="1700" w:line="20" w:lineRule="exact"/>
      </w:pPr>
    </w:p>
    <w:p>
      <w:pPr>
        <w:spacing w:before="142" w:after="58" w:line="202"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7pt" strokecolor="#000000" from="72pt,696.7pt" to="216.3pt,696.7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36</w:t>
      </w:r>
      <w:r>
        <w:rPr>
          <w:rFonts w:ascii="Calibri" w:hAnsi="Calibri" w:eastAsia="Calibri"/>
          <w:color w:val="000000"/>
          <w:spacing w:val="0"/>
          <w:w w:val="100"/>
          <w:sz w:val="20"/>
          <w:vertAlign w:val="baseline"/>
          <w:lang w:val="en-US"/>
        </w:rPr>
        <w:t xml:space="preserve"> Source: Healthy People 2030, 2025</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82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240" w:right="0" w:left="0" w:header="720" w:footer="720"/>
          <w:titlePg w:val="false"/>
          <w:textDirection w:val="lrTb"/>
        </w:sectPr>
      </w:pPr>
    </w:p>
    <w:p>
      <w:pPr>
        <w:spacing w:before="200" w:after="267" w:line="248" w:lineRule="exact"/>
        <w:ind w:right="1584" w:left="1440" w:firstLine="0"/>
        <w:jc w:val="left"/>
        <w:textAlignment w:val="baseline"/>
        <w:rPr>
          <w:rFonts w:ascii="Calibri" w:hAnsi="Calibri" w:eastAsia="Calibri"/>
          <w:color w:val="000000"/>
          <w:spacing w:val="0"/>
          <w:w w:val="100"/>
          <w:sz w:val="22"/>
          <w:vertAlign w:val="baseline"/>
          <w:lang w:val="en-US"/>
        </w:rPr>
      </w:pPr>
      <w:r>
        <w:pict>
          <v:shapetype id="_x0000_t483" coordsize="21600,21600" o:spt="202" path="m,l,21600r21600,l21600,xe">
            <v:stroke joinstyle="miter"/>
            <v:path gradientshapeok="t" o:connecttype="rect"/>
          </v:shapetype>
          <v:shape id="_x0000_s482" type="#_x0000_t483"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88" w:hRule="exact"/>
                    </w:trPr>
                    <w:tc>
                      <w:tcPr>
                        <w:tcW w:w="110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3580" cy="609600"/>
                              <wp:docPr name="Picture" id="133"/>
                              <a:graphic>
                                <a:graphicData uri="http://schemas.openxmlformats.org/drawingml/2006/picture">
                                  <pic:pic>
                                    <pic:nvPicPr>
                                      <pic:cNvPr id="133" name="Picture"/>
                                      <pic:cNvPicPr preferRelativeResize="false"/>
                                    </pic:nvPicPr>
                                    <pic:blipFill>
                                      <a:blip r:embed="prId133"/>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34"/>
                              <a:graphic>
                                <a:graphicData uri="http://schemas.openxmlformats.org/drawingml/2006/picture">
                                  <pic:pic>
                                    <pic:nvPicPr>
                                      <pic:cNvPr id="134" name="Picture"/>
                                      <pic:cNvPicPr preferRelativeResize="false"/>
                                    </pic:nvPicPr>
                                    <pic:blipFill>
                                      <a:blip r:embed="prId134"/>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and the overall food insecurity rate for children is 16.9%, which is lower than the New York State rate of 19.0%.</w:t>
      </w:r>
      <w:r>
        <w:rPr>
          <w:rFonts w:ascii="Calibri" w:hAnsi="Calibri" w:eastAsia="Calibri"/>
          <w:color w:val="000000"/>
          <w:spacing w:val="0"/>
          <w:w w:val="100"/>
          <w:sz w:val="22"/>
          <w:vertAlign w:val="superscript"/>
          <w:lang w:val="en-US"/>
        </w:rPr>
        <w:t xml:space="preserve">37</w:t>
      </w:r>
      <w:r>
        <w:rPr>
          <w:rFonts w:ascii="Calibri" w:hAnsi="Calibri" w:eastAsia="Calibri"/>
          <w:color w:val="000000"/>
          <w:spacing w:val="0"/>
          <w:w w:val="100"/>
          <w:sz w:val="13"/>
          <w:vertAlign w:val="baseline"/>
          <w:lang w:val="en-US"/>
        </w:rPr>
        <w:t xml:space="preserve">
</w:t>
      </w:r>
    </w:p>
    <w:p>
      <w:pPr>
        <w:spacing w:before="52" w:after="0" w:line="20" w:lineRule="exact"/>
      </w:pPr>
    </w:p>
    <w:tbl>
      <w:tblPr>
        <w:jc w:val="left"/>
        <w:tblLayout w:type="fixed"/>
        <w:tblCellMar>
          <w:left w:w="0" w:type="dxa"/>
          <w:right w:w="0" w:type="dxa"/>
        </w:tblCellMar>
      </w:tblPr>
      <w:tblGrid>
        <w:gridCol w:w="6974"/>
        <w:gridCol w:w="5266"/>
      </w:tblGrid>
      <w:tr>
        <w:trPr>
          <w:trHeight w:val="4347" w:hRule="exact"/>
        </w:trPr>
        <w:tc>
          <w:tcPr>
            <w:tcW w:w="6974" w:type="dxa"/>
            <w:tcBorders>
              <w:top w:val="none"/>
              <w:left w:val="none"/>
              <w:bottom w:val="none"/>
              <w:right w:val="none"/>
            </w:tcBorders>
            <w:textDirection w:val="lrTb"/>
            <w:vAlign w:val="top"/>
          </w:tcPr>
          <w:p>
            <w:pPr>
              <w:spacing w:before="31" w:after="0" w:line="240" w:lineRule="auto"/>
              <w:ind w:right="0" w:left="581"/>
              <w:jc w:val="right"/>
              <w:textAlignment w:val="baseline"/>
            </w:pPr>
            <w:r>
              <w:drawing>
                <wp:inline>
                  <wp:extent cx="4059555" cy="2731135"/>
                  <wp:docPr name="Picture" id="135"/>
                  <a:graphic>
                    <a:graphicData uri="http://schemas.openxmlformats.org/drawingml/2006/picture">
                      <pic:pic>
                        <pic:nvPicPr>
                          <pic:cNvPr id="135" name="Picture"/>
                          <pic:cNvPicPr preferRelativeResize="false"/>
                        </pic:nvPicPr>
                        <pic:blipFill>
                          <a:blip r:embed="prId135"/>
                          <a:stretch>
                            <a:fillRect/>
                          </a:stretch>
                        </pic:blipFill>
                        <pic:spPr>
                          <a:xfrm>
                            <a:off x="0" y="0"/>
                            <a:ext cx="4059555" cy="2731135"/>
                          </a:xfrm>
                          <a:prstGeom prst="rect"/>
                        </pic:spPr>
                      </pic:pic>
                    </a:graphicData>
                  </a:graphic>
                </wp:inline>
              </w:drawing>
            </w:r>
          </w:p>
        </w:tc>
        <w:tc>
          <w:tcPr>
            <w:tcW w:w="5266" w:type="dxa"/>
            <w:tcBorders>
              <w:top w:val="none"/>
              <w:left w:val="none"/>
              <w:bottom w:val="none"/>
              <w:right w:val="none"/>
            </w:tcBorders>
            <w:textDirection w:val="lrTb"/>
            <w:vAlign w:val="top"/>
          </w:tcPr>
          <w:p>
            <w:pPr>
              <w:spacing w:before="0" w:after="0" w:line="271" w:lineRule="exact"/>
              <w:ind w:right="0" w:left="21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Food Environment Index of the</w:t>
              <w:br/>
            </w:r>
            <w:r>
              <w:rPr>
                <w:rFonts w:ascii="Calibri" w:hAnsi="Calibri" w:eastAsia="Calibri"/>
                <w:color w:val="000000"/>
                <w:spacing w:val="0"/>
                <w:w w:val="100"/>
                <w:sz w:val="22"/>
                <w:vertAlign w:val="baseline"/>
                <w:lang w:val="en-US"/>
              </w:rPr>
              <w:t xml:space="preserve">USDA Food Environment Atlas</w:t>
              <w:br/>
            </w:r>
            <w:r>
              <w:rPr>
                <w:rFonts w:ascii="Calibri" w:hAnsi="Calibri" w:eastAsia="Calibri"/>
                <w:color w:val="000000"/>
                <w:spacing w:val="0"/>
                <w:w w:val="100"/>
                <w:sz w:val="22"/>
                <w:vertAlign w:val="baseline"/>
                <w:lang w:val="en-US"/>
              </w:rPr>
              <w:t xml:space="preserve">measures how easy it is for residents to</w:t>
              <w:br/>
            </w:r>
            <w:r>
              <w:rPr>
                <w:rFonts w:ascii="Calibri" w:hAnsi="Calibri" w:eastAsia="Calibri"/>
                <w:color w:val="000000"/>
                <w:spacing w:val="0"/>
                <w:w w:val="100"/>
                <w:sz w:val="22"/>
                <w:vertAlign w:val="baseline"/>
                <w:lang w:val="en-US"/>
              </w:rPr>
              <w:t xml:space="preserve">access healthy, affordable</w:t>
            </w:r>
          </w:p>
          <w:p>
            <w:pPr>
              <w:spacing w:before="7" w:after="64" w:line="289" w:lineRule="exact"/>
              <w:ind w:right="0" w:left="21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food, combining rates of food insecurity</w:t>
              <w:br/>
            </w:r>
            <w:r>
              <w:rPr>
                <w:rFonts w:ascii="Calibri" w:hAnsi="Calibri" w:eastAsia="Calibri"/>
                <w:color w:val="000000"/>
                <w:spacing w:val="0"/>
                <w:w w:val="100"/>
                <w:sz w:val="22"/>
                <w:vertAlign w:val="baseline"/>
                <w:lang w:val="en-US"/>
              </w:rPr>
              <w:t xml:space="preserve">and the percentage of low-income</w:t>
              <w:br/>
            </w:r>
            <w:r>
              <w:rPr>
                <w:rFonts w:ascii="Calibri" w:hAnsi="Calibri" w:eastAsia="Calibri"/>
                <w:color w:val="000000"/>
                <w:spacing w:val="0"/>
                <w:w w:val="100"/>
                <w:sz w:val="22"/>
                <w:vertAlign w:val="baseline"/>
                <w:lang w:val="en-US"/>
              </w:rPr>
              <w:t xml:space="preserve">people living far from a grocery store.</w:t>
              <w:br/>
            </w:r>
            <w:r>
              <w:rPr>
                <w:rFonts w:ascii="Calibri" w:hAnsi="Calibri" w:eastAsia="Calibri"/>
                <w:color w:val="000000"/>
                <w:spacing w:val="0"/>
                <w:w w:val="100"/>
                <w:sz w:val="22"/>
                <w:vertAlign w:val="baseline"/>
                <w:lang w:val="en-US"/>
              </w:rPr>
              <w:t xml:space="preserve">Scores range from 0 (worst) to 10</w:t>
              <w:br/>
            </w:r>
            <w:r>
              <w:rPr>
                <w:rFonts w:ascii="Calibri" w:hAnsi="Calibri" w:eastAsia="Calibri"/>
                <w:color w:val="000000"/>
                <w:spacing w:val="0"/>
                <w:w w:val="100"/>
                <w:sz w:val="22"/>
                <w:vertAlign w:val="baseline"/>
                <w:lang w:val="en-US"/>
              </w:rPr>
              <w:t xml:space="preserve">(best). Yates County’s score decreased</w:t>
              <w:br/>
            </w:r>
            <w:r>
              <w:rPr>
                <w:rFonts w:ascii="Calibri" w:hAnsi="Calibri" w:eastAsia="Calibri"/>
                <w:color w:val="000000"/>
                <w:spacing w:val="0"/>
                <w:w w:val="100"/>
                <w:sz w:val="22"/>
                <w:vertAlign w:val="baseline"/>
                <w:lang w:val="en-US"/>
              </w:rPr>
              <w:t xml:space="preserve">from 8.9 in 2018 to 8.8 in 2022 and</w:t>
              <w:br/>
            </w:r>
            <w:r>
              <w:rPr>
                <w:rFonts w:ascii="Calibri" w:hAnsi="Calibri" w:eastAsia="Calibri"/>
                <w:color w:val="000000"/>
                <w:spacing w:val="0"/>
                <w:w w:val="100"/>
                <w:sz w:val="22"/>
                <w:vertAlign w:val="baseline"/>
                <w:lang w:val="en-US"/>
              </w:rPr>
              <w:t xml:space="preserve">is nearly equal to the state average of</w:t>
              <w:br/>
            </w:r>
            <w:r>
              <w:rPr>
                <w:rFonts w:ascii="Calibri" w:hAnsi="Calibri" w:eastAsia="Calibri"/>
                <w:color w:val="000000"/>
                <w:spacing w:val="0"/>
                <w:w w:val="100"/>
                <w:sz w:val="22"/>
                <w:vertAlign w:val="baseline"/>
                <w:lang w:val="en-US"/>
              </w:rPr>
              <w:t xml:space="preserve">8.7. This indicates that, on average,</w:t>
              <w:br/>
            </w:r>
            <w:r>
              <w:rPr>
                <w:rFonts w:ascii="Calibri" w:hAnsi="Calibri" w:eastAsia="Calibri"/>
                <w:color w:val="000000"/>
                <w:spacing w:val="0"/>
                <w:w w:val="100"/>
                <w:sz w:val="22"/>
                <w:vertAlign w:val="baseline"/>
                <w:lang w:val="en-US"/>
              </w:rPr>
              <w:t xml:space="preserve">residents face barriers to healthy food</w:t>
              <w:br/>
            </w:r>
            <w:r>
              <w:rPr>
                <w:rFonts w:ascii="Calibri" w:hAnsi="Calibri" w:eastAsia="Calibri"/>
                <w:color w:val="000000"/>
                <w:spacing w:val="0"/>
                <w:w w:val="100"/>
                <w:sz w:val="22"/>
                <w:vertAlign w:val="baseline"/>
                <w:lang w:val="en-US"/>
              </w:rPr>
              <w:t xml:space="preserve">access similar to those elsewhere in the</w:t>
              <w:br/>
            </w:r>
            <w:r>
              <w:rPr>
                <w:rFonts w:ascii="Calibri" w:hAnsi="Calibri" w:eastAsia="Calibri"/>
                <w:color w:val="000000"/>
                <w:spacing w:val="0"/>
                <w:w w:val="100"/>
                <w:sz w:val="22"/>
                <w:vertAlign w:val="baseline"/>
                <w:lang w:val="en-US"/>
              </w:rPr>
              <w:t xml:space="preserve">state.</w:t>
            </w:r>
          </w:p>
        </w:tc>
      </w:tr>
      <w:tr>
        <w:trPr>
          <w:trHeight w:val="896" w:hRule="exact"/>
        </w:trPr>
        <w:tc>
          <w:tcPr>
            <w:tcW w:w="6974" w:type="dxa"/>
            <w:tcBorders>
              <w:top w:val="none"/>
              <w:left w:val="none"/>
              <w:bottom w:val="none"/>
              <w:right w:val="none"/>
            </w:tcBorders>
            <w:textDirection w:val="lrTb"/>
            <w:vAlign w:val="top"/>
          </w:tcPr>
          <w:p>
            <w:pPr>
              <w:spacing w:before="108" w:after="0" w:line="180" w:lineRule="exact"/>
              <w:ind w:right="0" w:left="0" w:firstLine="0"/>
              <w:jc w:val="center"/>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Picture courtesy of Yates Chambers of Commerce of Windy Acres Farm Market</w:t>
            </w:r>
          </w:p>
          <w:p>
            <w:pPr>
              <w:spacing w:before="345" w:after="4" w:line="245" w:lineRule="exact"/>
              <w:ind w:right="1255" w:left="0" w:firstLine="0"/>
              <w:jc w:val="righ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Housing Stability and Affordability</w:t>
            </w:r>
          </w:p>
        </w:tc>
        <w:tc>
          <w:tcPr>
            <w:tcW w:w="5266" w:type="dxa"/>
            <w:tcBorders>
              <w:top w:val="none"/>
              <w:left w:val="none"/>
              <w:bottom w:val="none"/>
              <w:right w:val="none"/>
            </w:tcBorders>
            <w:textDirection w:val="lrTb"/>
            <w:vAlign w:val="top"/>
          </w:tcPr>
          <w:p/>
        </w:tc>
      </w:tr>
    </w:tbl>
    <w:p>
      <w:pPr>
        <w:spacing w:before="0" w:after="124" w:line="20" w:lineRule="exact"/>
      </w:pPr>
    </w:p>
    <w:p>
      <w:pPr>
        <w:spacing w:before="6" w:after="0" w:line="289"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Housing was identified as a top priority affecting community stability, access to basic needs, and overall health and well-being in Yates County. Housing instability and a lack of affordable options can leave families struggling to meet basic needs, often forcing them to choose between housing costs, food, and healthcare. When stable housing is out of reach, communities experience higher rates of homelessness, overcrowding, and financial stress, which can undermine overall health, safety, and economic growth.</w:t>
      </w:r>
    </w:p>
    <w:p>
      <w:pPr>
        <w:spacing w:before="165"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2021, 13% of households in Yates County experienced at least one of the following major housing problems: overcrowding, high housing costs, and/or lack of kitchen or plumbing facilities. This is well below the state average of 23% and reflects a 13% improvement since 2017. Severe housing cost burden has remained stable since 2021, with only 12% of households spending half or more of their income on housing, compared to 19% statewide. This represents an 8% improvement since 2019, when 13% of households were spending half or more of their income on housing. However, this progress is still concerning given that 14% of the population lives in poverty, leaving many households with very limited resources to meet basic needs beyond housing.</w:t>
      </w:r>
      <w:r>
        <w:rPr>
          <w:rFonts w:ascii="Calibri" w:hAnsi="Calibri" w:eastAsia="Calibri"/>
          <w:color w:val="000000"/>
          <w:spacing w:val="0"/>
          <w:w w:val="100"/>
          <w:sz w:val="22"/>
          <w:vertAlign w:val="superscript"/>
          <w:lang w:val="en-US"/>
        </w:rPr>
        <w:t xml:space="preserve">38</w:t>
      </w:r>
      <w:r>
        <w:rPr>
          <w:rFonts w:ascii="Calibri" w:hAnsi="Calibri" w:eastAsia="Calibri"/>
          <w:color w:val="000000"/>
          <w:spacing w:val="0"/>
          <w:w w:val="100"/>
          <w:sz w:val="13"/>
          <w:vertAlign w:val="baseline"/>
          <w:lang w:val="en-US"/>
        </w:rPr>
        <w:t xml:space="preserve">
</w:t>
      </w:r>
    </w:p>
    <w:p>
      <w:pPr>
        <w:spacing w:before="163" w:after="196" w:line="289" w:lineRule="exact"/>
        <w:ind w:right="1728"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 recurring issue raised by focus groups was the increasing use of rental properties for tourism, which drives up costs and reduces availability for residents. Homeownership rates in the county have decreased from 80% in 2019 to 77% in 2023, indicating that fewer residents live in owner-occupied residences.</w:t>
      </w:r>
      <w:r>
        <w:rPr>
          <w:rFonts w:ascii="Calibri" w:hAnsi="Calibri" w:eastAsia="Calibri"/>
          <w:color w:val="000000"/>
          <w:spacing w:val="-1"/>
          <w:w w:val="100"/>
          <w:sz w:val="22"/>
          <w:vertAlign w:val="superscript"/>
          <w:lang w:val="en-US"/>
        </w:rPr>
        <w:t xml:space="preserve">39</w:t>
      </w:r>
      <w:r>
        <w:rPr>
          <w:rFonts w:ascii="Calibri" w:hAnsi="Calibri" w:eastAsia="Calibri"/>
          <w:color w:val="000000"/>
          <w:spacing w:val="-1"/>
          <w:w w:val="100"/>
          <w:sz w:val="22"/>
          <w:vertAlign w:val="baseline"/>
          <w:lang w:val="en-US"/>
        </w:rPr>
        <w:t xml:space="preserve"> According to data from the 2023 American Community Survey 5-Year Estimates, Yates County has a total of 13,143 housing units, of which 4,048 units are vacant. Vacant housing includes</w:t>
      </w:r>
    </w:p>
    <w:p>
      <w:pPr>
        <w:spacing w:before="147" w:after="0" w:line="200" w:lineRule="exact"/>
        <w:ind w:right="0" w:left="1440" w:firstLine="0"/>
        <w:jc w:val="left"/>
        <w:textAlignment w:val="baseline"/>
        <w:rPr>
          <w:rFonts w:ascii="Calibri" w:hAnsi="Calibri" w:eastAsia="Calibri"/>
          <w:color w:val="000000"/>
          <w:spacing w:val="0"/>
          <w:w w:val="100"/>
          <w:sz w:val="13"/>
          <w:vertAlign w:val="superscript"/>
          <w:lang w:val="en-US"/>
        </w:rPr>
      </w:pPr>
      <w:r>
        <w:pict>
          <v:line strokeweight="0.95pt" strokecolor="#000000" from="72pt,671.3pt" to="216.3pt,671.3pt" style="position:absolute;mso-position-horizontal-relative:page;mso-position-vertical-relative:page;">
            <v:stroke dashstyle="solid"/>
          </v:line>
        </w:pict>
      </w:r>
      <w:r>
        <w:rPr>
          <w:rFonts w:ascii="Calibri" w:hAnsi="Calibri" w:eastAsia="Calibri"/>
          <w:color w:val="000000"/>
          <w:spacing w:val="0"/>
          <w:w w:val="100"/>
          <w:sz w:val="13"/>
          <w:vertAlign w:val="superscript"/>
          <w:lang w:val="en-US"/>
        </w:rPr>
        <w:t xml:space="preserve">37</w:t>
      </w:r>
      <w:r>
        <w:rPr>
          <w:rFonts w:ascii="Calibri" w:hAnsi="Calibri" w:eastAsia="Calibri"/>
          <w:color w:val="000000"/>
          <w:spacing w:val="0"/>
          <w:w w:val="100"/>
          <w:sz w:val="19"/>
          <w:vertAlign w:val="baseline"/>
          <w:lang w:val="en-US"/>
        </w:rPr>
        <w:t xml:space="preserve"> Source: Feeding America, 2023:</w:t>
      </w:r>
      <w:hyperlink r:id="dhId28">
        <w:r>
          <w:rPr>
            <w:rFonts w:ascii="Calibri" w:hAnsi="Calibri" w:eastAsia="Calibri"/>
            <w:color w:val="0000FF"/>
            <w:spacing w:val="0"/>
            <w:w w:val="100"/>
            <w:sz w:val="20"/>
            <w:u w:val="single"/>
            <w:vertAlign w:val="baseline"/>
            <w:lang w:val="en-US"/>
          </w:rPr>
          <w:t xml:space="preserve"> https://map.feedingamerica.org/county/2023/child/new-york/county/yates</w:t>
        </w:r>
      </w:hyperlink>
      <w:r>
        <w:rPr>
          <w:rFonts w:ascii="Calibri" w:hAnsi="Calibri" w:eastAsia="Calibri"/>
          <w:color w:val="487684"/>
          <w:spacing w:val="0"/>
          <w:w w:val="100"/>
          <w:sz w:val="19"/>
          <w:vertAlign w:val="baseline"/>
          <w:lang w:val="en-US"/>
        </w:rPr>
        <w:t xml:space="preserve">
</w:t>
      </w:r>
    </w:p>
    <w:p>
      <w:pPr>
        <w:spacing w:before="38" w:after="0" w:line="198"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38</w:t>
      </w:r>
      <w:r>
        <w:rPr>
          <w:rFonts w:ascii="Calibri" w:hAnsi="Calibri" w:eastAsia="Calibri"/>
          <w:color w:val="000000"/>
          <w:spacing w:val="0"/>
          <w:w w:val="100"/>
          <w:sz w:val="19"/>
          <w:vertAlign w:val="baseline"/>
          <w:lang w:val="en-US"/>
        </w:rPr>
        <w:t xml:space="preserve"> Source: U.S. Census Bureau, 2025</w:t>
      </w:r>
    </w:p>
    <w:p>
      <w:pPr>
        <w:spacing w:before="47" w:after="58" w:line="225"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39</w:t>
      </w:r>
      <w:r>
        <w:rPr>
          <w:rFonts w:ascii="Calibri" w:hAnsi="Calibri" w:eastAsia="Calibri"/>
          <w:color w:val="000000"/>
          <w:spacing w:val="0"/>
          <w:w w:val="100"/>
          <w:sz w:val="19"/>
          <w:vertAlign w:val="baseline"/>
          <w:lang w:val="en-US"/>
        </w:rPr>
        <w:t xml:space="preserve"> Source: </w:t>
      </w:r>
      <w:r>
        <w:rPr>
          <w:rFonts w:ascii="Calibri" w:hAnsi="Calibri" w:eastAsia="Calibri"/>
          <w:color w:val="000000"/>
          <w:spacing w:val="0"/>
          <w:w w:val="100"/>
          <w:sz w:val="22"/>
          <w:vertAlign w:val="baseline"/>
          <w:lang w:val="en-US"/>
        </w:rPr>
        <w:t xml:space="preserve">County Health Rankings &amp; Roadmaps, 2025</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83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24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84" coordsize="21600,21600" o:spt="202" path="m,l,21600r21600,l21600,xe">
            <v:stroke joinstyle="miter"/>
            <v:path gradientshapeok="t" o:connecttype="rect"/>
          </v:shapetype>
          <v:shape id="_x0000_s483" type="#_x0000_t484"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36"/>
                              <a:graphic>
                                <a:graphicData uri="http://schemas.openxmlformats.org/drawingml/2006/picture">
                                  <pic:pic>
                                    <pic:nvPicPr>
                                      <pic:cNvPr id="136" name="Picture"/>
                                      <pic:cNvPicPr preferRelativeResize="false"/>
                                    </pic:nvPicPr>
                                    <pic:blipFill>
                                      <a:blip r:embed="prId13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37"/>
                              <a:graphic>
                                <a:graphicData uri="http://schemas.openxmlformats.org/drawingml/2006/picture">
                                  <pic:pic>
                                    <pic:nvPicPr>
                                      <pic:cNvPr id="137" name="Picture"/>
                                      <pic:cNvPicPr preferRelativeResize="false"/>
                                    </pic:nvPicPr>
                                    <pic:blipFill>
                                      <a:blip r:embed="prId137"/>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612pt;height:589.65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5"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units with no occupants at the time of the census, temporarily occupied residences such as short-term rentals and vacation homes, and new units not yet occupied. As of 2025, Yates County has 615 short-term rental properties (i.e., residences available for rent up to 30 days) registered with the Department of Finance. </w:t>
                  </w:r>
                  <w:r>
                    <w:rPr>
                      <w:rFonts w:ascii="Calibri" w:hAnsi="Calibri" w:eastAsia="Calibri"/>
                      <w:color w:val="000000"/>
                      <w:spacing w:val="0"/>
                      <w:w w:val="100"/>
                      <w:sz w:val="22"/>
                      <w:vertAlign w:val="superscript"/>
                      <w:lang w:val="en-US"/>
                    </w:rPr>
                    <w:t xml:space="preserve">40</w:t>
                  </w:r>
                  <w:r>
                    <w:rPr>
                      <w:rFonts w:ascii="Calibri" w:hAnsi="Calibri" w:eastAsia="Calibri"/>
                      <w:color w:val="000000"/>
                      <w:spacing w:val="0"/>
                      <w:w w:val="100"/>
                      <w:sz w:val="14"/>
                      <w:vertAlign w:val="baseline"/>
                      <w:lang w:val="en-US"/>
                    </w:rPr>
                    <w:t xml:space="preserve">
</w:t>
                  </w:r>
                </w:p>
                <w:p>
                  <w:pPr>
                    <w:spacing w:before="177" w:after="0" w:line="289"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According to the American Community Survey 5-year Estimates, the 2023 vacancy rates (defined differently from the census) indicated the housing inventory available for long-term rent or sale were 2% for rental-occupied units and 1% for homeowner-occupied units. Concerns over a shortage of affordable middle-income housing and reasonably priced rental properties were also discussed in focus groups. Approximately 26% of renter-occupied households contribute more than 35% of their household's gross income towards rent, indicating a significant cost burden for many residents. Furthermore, the average rent in Yates County was $802 in 2023, which was lower than in neighboring counties. However, through discussions of lived experiences with focus groups, the cost of rent in 2025 is significantly higher than that of 2023.</w:t>
                  </w:r>
                </w:p>
                <w:p>
                  <w:pPr>
                    <w:spacing w:before="171"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Residents also raised the issue of lack of local senior housing and assisted living options that support aging in place. According to the Pro Action Office for the Aging, Yates County is home to six independent living homes and three higher-level care facilities for older adults. Admission to these facilities often involves strict eligibility requirements and higher costs for individuals and families. The ALICE Household Monthly Survival Budget estimates that a single senior needs $2,770/month to cover basic needs. New York State reports that the average cost of long-term care is between $5,500 and $13,000 per month, a significant contrast to what most older adults can afford.</w:t>
                  </w:r>
                  <w:r>
                    <w:rPr>
                      <w:rFonts w:ascii="Calibri" w:hAnsi="Calibri" w:eastAsia="Calibri"/>
                      <w:color w:val="000000"/>
                      <w:spacing w:val="0"/>
                      <w:w w:val="100"/>
                      <w:sz w:val="22"/>
                      <w:vertAlign w:val="superscript"/>
                      <w:lang w:val="en-US"/>
                    </w:rPr>
                    <w:t xml:space="preserve">41</w:t>
                  </w:r>
                  <w:r>
                    <w:rPr>
                      <w:rFonts w:ascii="Calibri" w:hAnsi="Calibri" w:eastAsia="Calibri"/>
                      <w:color w:val="000000"/>
                      <w:spacing w:val="0"/>
                      <w:w w:val="100"/>
                      <w:sz w:val="22"/>
                      <w:vertAlign w:val="baseline"/>
                      <w:lang w:val="en-US"/>
                    </w:rPr>
                    <w:t xml:space="preserve"> As a result, many local seniors are compelled to relocate to more suitable living arrangements elsewhere.</w:t>
                  </w:r>
                </w:p>
                <w:p>
                  <w:pPr>
                    <w:spacing w:before="162" w:after="0" w:line="289"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Focus group participants expressed a strong connection to their community and a desire to remain in Yates County as they age. However, barriers such as lack of in-home assistance, high costs, and transportation challenges were noted as reasons older adults often seek alternative living accommodations. Aging in place is associated with individual and community benefits, including improved life satisfaction and increased volunteerism.</w:t>
                  </w:r>
                  <w:r>
                    <w:rPr>
                      <w:rFonts w:ascii="Calibri" w:hAnsi="Calibri" w:eastAsia="Calibri"/>
                      <w:color w:val="000000"/>
                      <w:spacing w:val="-2"/>
                      <w:w w:val="100"/>
                      <w:sz w:val="22"/>
                      <w:vertAlign w:val="superscript"/>
                      <w:lang w:val="en-US"/>
                    </w:rPr>
                    <w:t xml:space="preserve">42</w:t>
                  </w:r>
                  <w:r>
                    <w:rPr>
                      <w:rFonts w:ascii="Calibri" w:hAnsi="Calibri" w:eastAsia="Calibri"/>
                      <w:color w:val="000000"/>
                      <w:spacing w:val="-2"/>
                      <w:w w:val="100"/>
                      <w:sz w:val="22"/>
                      <w:vertAlign w:val="baseline"/>
                      <w:lang w:val="en-US"/>
                    </w:rPr>
                    <w:t xml:space="preserve"> With nearly a quarter of the population aged 65 and older, concerns about the availability of aging in place options are likely to grow in the coming years.</w:t>
                  </w:r>
                </w:p>
                <w:p>
                  <w:pPr>
                    <w:spacing w:before="168" w:after="1009" w:line="289" w:lineRule="exact"/>
                    <w:ind w:right="1512"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Economic Stability Domain Summary</w:t>
                  </w:r>
                  <w:r>
                    <w:rPr>
                      <w:rFonts w:ascii="Calibri" w:hAnsi="Calibri" w:eastAsia="Calibri"/>
                      <w:color w:val="000000"/>
                      <w:spacing w:val="0"/>
                      <w:w w:val="100"/>
                      <w:sz w:val="22"/>
                      <w:vertAlign w:val="baseline"/>
                      <w:lang w:val="en-US"/>
                    </w:rPr>
                    <w:t xml:space="preserve">: The percent of people living in poverty in Yates County has shown a steady increase since 2018, rising from 11.4% (2018) to 14.1% (2023). This same upward trend in poverty rates can also be seen among populations who are 65 and older in Yates County. Employment indicators are strong, with lower unemployment, however, the gross hourly wage needed to sustain a family of four remains below the median household income. Nutrition security has improved, and the county’s overall food environment now aligns with the state average. Homeownership rates have declined, and significant cost burdens persist, especially for vulnerable populations like the aging and low-income residents.</w:t>
                  </w:r>
                </w:p>
              </w:txbxContent>
            </v:textbox>
          </v:shape>
        </w:pict>
      </w:r>
      <w:r>
        <w:pict>
          <v:shapetype id="_x0000_t486" coordsize="21600,21600" o:spt="202" path="m,l,21600r21600,l21600,xe">
            <v:stroke joinstyle="miter"/>
            <v:path gradientshapeok="t" o:connecttype="rect"/>
          </v:shapetype>
          <v:shape id="_x0000_s485" type="#_x0000_t486" filled="f" stroked="f" style="position:absolute;width:612pt;height:57.15pt;z-index:1;margin-left:0pt;margin-top:659.7pt;mso-wrap-distance-left:0pt;mso-wrap-distance-right:0pt;mso-position-horizontal-relative:page;mso-position-vertical-relative:page">
            <w10:wrap anchorx="page" anchory="page"/>
            <v:fill opacity="1" o:opacity2="1" recolor="f" rotate="f" type="solid"/>
            <v:textbox inset="0pt, 0pt, 0pt, 0pt">
              <w:txbxContent>
                <w:p>
                  <w:pPr>
                    <w:spacing w:before="98" w:after="0" w:line="247" w:lineRule="exact"/>
                    <w:ind w:right="1800" w:left="1440" w:firstLine="0"/>
                    <w:jc w:val="left"/>
                    <w:textAlignment w:val="baseline"/>
                    <w:rPr>
                      <w:rFonts w:ascii="Calibri" w:hAnsi="Calibri" w:eastAsia="Calibri"/>
                      <w:color w:val="000000"/>
                      <w:spacing w:val="-2"/>
                      <w:w w:val="100"/>
                      <w:sz w:val="13"/>
                      <w:vertAlign w:val="superscript"/>
                      <w:lang w:val="en-US"/>
                    </w:rPr>
                  </w:pPr>
                  <w:r>
                    <w:rPr>
                      <w:rFonts w:ascii="Calibri" w:hAnsi="Calibri" w:eastAsia="Calibri"/>
                      <w:color w:val="000000"/>
                      <w:spacing w:val="-2"/>
                      <w:w w:val="100"/>
                      <w:sz w:val="13"/>
                      <w:vertAlign w:val="superscript"/>
                      <w:lang w:val="en-US"/>
                    </w:rPr>
                    <w:t xml:space="preserve">40</w:t>
                  </w:r>
                  <w:r>
                    <w:rPr>
                      <w:rFonts w:ascii="Calibri" w:hAnsi="Calibri" w:eastAsia="Calibri"/>
                      <w:color w:val="000000"/>
                      <w:spacing w:val="-2"/>
                      <w:w w:val="100"/>
                      <w:sz w:val="20"/>
                      <w:vertAlign w:val="baseline"/>
                      <w:lang w:val="en-US"/>
                    </w:rPr>
                    <w:t xml:space="preserve"> Source: Yates County Document Center: </w:t>
                  </w:r>
                  <w:hyperlink r:id="dhId29">
                    <w:r>
                      <w:rPr>
                        <w:rFonts w:ascii="Calibri" w:hAnsi="Calibri" w:eastAsia="Calibri"/>
                        <w:color w:val="0000FF"/>
                        <w:spacing w:val="-2"/>
                        <w:w w:val="100"/>
                        <w:sz w:val="20"/>
                        <w:u w:val="single"/>
                        <w:vertAlign w:val="baseline"/>
                        <w:lang w:val="en-US"/>
                      </w:rPr>
                      <w:t xml:space="preserve">https://www.yatescountyny.gov/DocumentCenter/View/8733/Yates-County-Registered-STR-Properties?bidId=</w:t>
                    </w:r>
                  </w:hyperlink>
                  <w:r>
                    <w:rPr>
                      <w:rFonts w:ascii="Calibri" w:hAnsi="Calibri" w:eastAsia="Calibri"/>
                      <w:color w:val="000000"/>
                      <w:spacing w:val="-2"/>
                      <w:w w:val="100"/>
                      <w:sz w:val="20"/>
                      <w:vertAlign w:val="baseline"/>
                      <w:lang w:val="en-US"/>
                    </w:rPr>
                    <w:t xml:space="preserve">
</w:t>
                  </w:r>
                </w:p>
                <w:p>
                  <w:pPr>
                    <w:spacing w:before="39"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41</w:t>
                  </w:r>
                  <w:r>
                    <w:rPr>
                      <w:rFonts w:ascii="Calibri" w:hAnsi="Calibri" w:eastAsia="Calibri"/>
                      <w:color w:val="000000"/>
                      <w:spacing w:val="0"/>
                      <w:w w:val="100"/>
                      <w:sz w:val="20"/>
                      <w:vertAlign w:val="baseline"/>
                      <w:lang w:val="en-US"/>
                    </w:rPr>
                    <w:t xml:space="preserve"> Source: New York State Department of Financial Services, 2023</w:t>
                  </w:r>
                </w:p>
                <w:p>
                  <w:pPr>
                    <w:spacing w:before="43" w:after="60"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42</w:t>
                  </w:r>
                  <w:r>
                    <w:rPr>
                      <w:rFonts w:ascii="Calibri" w:hAnsi="Calibri" w:eastAsia="Calibri"/>
                      <w:color w:val="000000"/>
                      <w:spacing w:val="0"/>
                      <w:w w:val="100"/>
                      <w:sz w:val="20"/>
                      <w:vertAlign w:val="baseline"/>
                      <w:lang w:val="en-US"/>
                    </w:rPr>
                    <w:t xml:space="preserve"> Source: Rural Health Information Hub, 2019</w:t>
                  </w:r>
                </w:p>
              </w:txbxContent>
            </v:textbox>
          </v:shape>
        </w:pict>
      </w:r>
      <w:r>
        <w:pict>
          <v:shapetype id="_x0000_t487" coordsize="21600,21600" o:spt="202" path="m,l,21600r21600,l21600,xe">
            <v:stroke joinstyle="miter"/>
            <v:path gradientshapeok="t" o:connecttype="rect"/>
          </v:shapetype>
          <v:shape id="_x0000_s486" type="#_x0000_t487"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84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60.25pt" to="216.3pt,660.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88" coordsize="21600,21600" o:spt="202" path="m,l,21600r21600,l21600,xe">
            <v:stroke joinstyle="miter"/>
            <v:path gradientshapeok="t" o:connecttype="rect"/>
          </v:shapetype>
          <v:shape id="_x0000_s487" type="#_x0000_t488"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38"/>
                              <a:graphic>
                                <a:graphicData uri="http://schemas.openxmlformats.org/drawingml/2006/picture">
                                  <pic:pic>
                                    <pic:nvPicPr>
                                      <pic:cNvPr id="138" name="Picture"/>
                                      <pic:cNvPicPr preferRelativeResize="false"/>
                                    </pic:nvPicPr>
                                    <pic:blipFill>
                                      <a:blip r:embed="prId13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39"/>
                              <a:graphic>
                                <a:graphicData uri="http://schemas.openxmlformats.org/drawingml/2006/picture">
                                  <pic:pic>
                                    <pic:nvPicPr>
                                      <pic:cNvPr id="139" name="Picture"/>
                                      <pic:cNvPicPr preferRelativeResize="false"/>
                                    </pic:nvPicPr>
                                    <pic:blipFill>
                                      <a:blip r:embed="prId139"/>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489" coordsize="21600,21600" o:spt="202" path="m,l,21600r21600,l21600,xe">
            <v:stroke joinstyle="miter"/>
            <v:path gradientshapeok="t" o:connecttype="rect"/>
          </v:shapetype>
          <v:shape id="_x0000_s488" type="#_x0000_t489" filled="f" stroked="f" style="position:absolute;width:612pt;height:644.75pt;z-index:-1;margin-left:0pt;margin-top:72.1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1440" w:firstLine="0"/>
                    <w:jc w:val="left"/>
                    <w:textAlignment w:val="baseline"/>
                    <w:rPr>
                      <w:rFonts w:ascii="Calibri" w:hAnsi="Calibri" w:eastAsia="Calibri"/>
                      <w:b w:val="true"/>
                      <w:i w:val="true"/>
                      <w:color w:val="000000"/>
                      <w:spacing w:val="0"/>
                      <w:w w:val="100"/>
                      <w:sz w:val="28"/>
                      <w:vertAlign w:val="baseline"/>
                      <w:lang w:val="en-US"/>
                    </w:rPr>
                  </w:pPr>
                  <w:r>
                    <w:rPr>
                      <w:rFonts w:ascii="Calibri" w:hAnsi="Calibri" w:eastAsia="Calibri"/>
                      <w:b w:val="true"/>
                      <w:i w:val="true"/>
                      <w:color w:val="000000"/>
                      <w:spacing w:val="0"/>
                      <w:w w:val="100"/>
                      <w:sz w:val="28"/>
                      <w:vertAlign w:val="baseline"/>
                      <w:lang w:val="en-US"/>
                    </w:rPr>
                    <w:t xml:space="preserve">Domain: Social and Community Context</w:t>
                  </w:r>
                </w:p>
                <w:p>
                  <w:pPr>
                    <w:spacing w:before="234"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Good mental health is essential for daily functioning, healthy relationships, and resilience. Stress and</w:t>
                  </w:r>
                </w:p>
                <w:p>
                  <w:pPr>
                    <w:spacing w:before="0"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can harm the body, contribute to conditions like depression and substance misuse, and increase the risk of early death.</w:t>
                  </w:r>
                </w:p>
                <w:p>
                  <w:pPr>
                    <w:spacing w:before="158" w:after="0" w:line="290"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Nationally, suicide remains a major public health concern. Many high school students report suicidal thoughts or attempts, and death by suicide is still a leading cause of death among young people nationally.</w:t>
                  </w:r>
                </w:p>
                <w:p>
                  <w:pPr>
                    <w:spacing w:before="229"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Depression affects more than one in five New Yorkers each year and significantly disrupts daily life.</w:t>
                  </w:r>
                </w:p>
                <w:p>
                  <w:pPr>
                    <w:spacing w:before="0"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Certain groups face higher risks due to chronic stress, trauma, and systemic inequities. Many people still struggle to access or seek treatment because of stigma or limited services.</w:t>
                  </w:r>
                </w:p>
                <w:p>
                  <w:pPr>
                    <w:spacing w:before="155" w:after="0" w:line="292"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Substance use and overdose deaths continue to pose serious challenges in the state. Early alcohol and drug use, high availability of substances, and social norms contribute to risk.</w:t>
                  </w:r>
                </w:p>
                <w:p>
                  <w:pPr>
                    <w:spacing w:before="158"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Commercial tobacco use remains a leading cause of preventable illness and death, with significant disparities driven by targeted marketing, especially in low-income and minority communities. Excessive alcohol use is common and leads to thousands of deaths and billions of dollars in economic costs for New York State each year. Availability, low pricing, and targeted marketing contribute to unequal burdens among certain populations.</w:t>
                  </w:r>
                </w:p>
                <w:p>
                  <w:pPr>
                    <w:spacing w:before="163"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Adverse childhood experiences (ACEs) are events in childhood, such as abuse or neglect, that negatively impact long-term health. These experiences significantly increase the risk of chronic disease, mental health problems, and substance misuse later in life.</w:t>
                  </w:r>
                </w:p>
                <w:p>
                  <w:pPr>
                    <w:spacing w:before="163" w:after="0" w:line="288"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Healthy eating is vital for preventing chronic disease, yet many New Yorkers fall short of fulfilling the recommended intake of fruits, vegetables, and other nutrients.</w:t>
                  </w:r>
                </w:p>
                <w:p>
                  <w:pPr>
                    <w:spacing w:before="230"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Anxiety and Stress</w:t>
                  </w:r>
                </w:p>
                <w:p>
                  <w:pPr>
                    <w:spacing w:before="161"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Data from the BRFSS indicates that the percentage of adults reporting 14 or more days of poor mental health per month (age-adjusted) increased from 14% in 2018 to 19% in 2022, above the NYS average of 16%. Experiencing 14 or more days of poor mental health in a month is strongly linked to worse overall health outcomes. When this percentage rises, as it has in Yates County, it can signal increasing stress, depression, or anxiety in the community, which may lead to higher rates of chronic disease, substance use, reduced productivity, and greater demand for mental health and medical services.</w:t>
                  </w:r>
                </w:p>
                <w:p>
                  <w:pPr>
                    <w:spacing w:before="163" w:after="1368"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When comparing Yates County to New York State as a whole and other counties, Yates residents reportedly experience poor mental health at a greater rate (see Map Y4). According to County Health Rankings and Roadmaps, Yates County residents, on average, report 6.1 poor mental health days out of the last 30 days. Comparatively, surrounding counties report only 5.7 poor mental health days out of the last 30. This elevated rate suggests that residents may struggle more with daily functioning, decision-</w:t>
                  </w:r>
                  <w:r>
                    <w:rPr>
                      <w:rFonts w:ascii="Calibri" w:hAnsi="Calibri" w:eastAsia="Calibri"/>
                      <w:color w:val="000000"/>
                      <w:w w:val="100"/>
                      <w:sz w:val="24"/>
                      <w:vertAlign w:val="baseline"/>
                      <w:lang w:val="en-US"/>
                    </w:rPr>
                    <w:t xml:space="preserve">
</w:t>
                  </w:r>
                </w:p>
              </w:txbxContent>
            </v:textbox>
          </v:shape>
        </w:pict>
      </w:r>
      <w:r>
        <w:pict>
          <v:shapetype id="_x0000_t490" coordsize="21600,21600" o:spt="202" path="m,l,21600r21600,l21600,xe">
            <v:stroke joinstyle="miter"/>
            <v:path gradientshapeok="t" o:connecttype="rect"/>
          </v:shapetype>
          <v:shape id="_x0000_s489" type="#_x0000_t49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85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91" coordsize="21600,21600" o:spt="202" path="m,l,21600r21600,l21600,xe">
            <v:stroke joinstyle="miter"/>
            <v:path gradientshapeok="t" o:connecttype="rect"/>
          </v:shapetype>
          <v:shape id="_x0000_s490" type="#_x0000_t491"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3"/>
                    <w:gridCol w:w="9739"/>
                    <w:gridCol w:w="874"/>
                  </w:tblGrid>
                  <w:tr>
                    <w:trPr>
                      <w:trHeight w:val="988" w:hRule="exact"/>
                    </w:trPr>
                    <w:tc>
                      <w:tcPr>
                        <w:tcW w:w="1113"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6755" cy="609600"/>
                              <wp:docPr name="Picture" id="140"/>
                              <a:graphic>
                                <a:graphicData uri="http://schemas.openxmlformats.org/drawingml/2006/picture">
                                  <pic:pic>
                                    <pic:nvPicPr>
                                      <pic:cNvPr id="140" name="Picture"/>
                                      <pic:cNvPicPr preferRelativeResize="false"/>
                                    </pic:nvPicPr>
                                    <pic:blipFill>
                                      <a:blip r:embed="prId140"/>
                                      <a:stretch>
                                        <a:fillRect/>
                                      </a:stretch>
                                    </pic:blipFill>
                                    <pic:spPr>
                                      <a:xfrm>
                                        <a:off x="0" y="0"/>
                                        <a:ext cx="706755" cy="609600"/>
                                      </a:xfrm>
                                      <a:prstGeom prst="rect"/>
                                    </pic:spPr>
                                  </pic:pic>
                                </a:graphicData>
                              </a:graphic>
                            </wp:inline>
                          </w:drawing>
                        </w:r>
                      </w:p>
                    </w:tc>
                    <w:tc>
                      <w:tcPr>
                        <w:tcW w:w="9739"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41"/>
                              <a:graphic>
                                <a:graphicData uri="http://schemas.openxmlformats.org/drawingml/2006/picture">
                                  <pic:pic>
                                    <pic:nvPicPr>
                                      <pic:cNvPr id="141" name="Picture"/>
                                      <pic:cNvPicPr preferRelativeResize="false"/>
                                    </pic:nvPicPr>
                                    <pic:blipFill>
                                      <a:blip r:embed="prId141"/>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612pt;height:59pt;z-index:1;margin-left:0pt;margin-top:70.1pt;mso-wrap-distance-left:0pt;mso-wrap-distance-right:0pt;mso-position-horizontal-relative:page;mso-position-vertical-relative:page">
            <w10:wrap anchorx="page" anchory="page"/>
            <v:fill opacity="1" o:opacity2="1" recolor="f" rotate="f" type="solid"/>
            <v:textbox inset="0pt, 0pt, 0pt, 0pt">
              <w:txbxContent>
                <w:p>
                  <w:pPr>
                    <w:spacing w:before="18" w:after="0" w:line="279" w:lineRule="exact"/>
                    <w:ind w:right="237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making, and maintaining healthy behaviors, ultimately affecting both individual well-being and community health.</w:t>
                  </w:r>
                  <w:r>
                    <w:rPr>
                      <w:rFonts w:ascii="Calibri" w:hAnsi="Calibri" w:eastAsia="Calibri"/>
                      <w:color w:val="000000"/>
                      <w:spacing w:val="0"/>
                      <w:w w:val="100"/>
                      <w:sz w:val="22"/>
                      <w:vertAlign w:val="superscript"/>
                      <w:lang w:val="en-US"/>
                    </w:rPr>
                    <w:t xml:space="preserve">43</w:t>
                  </w:r>
                  <w:r>
                    <w:rPr>
                      <w:rFonts w:ascii="Calibri" w:hAnsi="Calibri" w:eastAsia="Calibri"/>
                      <w:color w:val="000000"/>
                      <w:spacing w:val="0"/>
                      <w:w w:val="100"/>
                      <w:sz w:val="14"/>
                      <w:vertAlign w:val="baseline"/>
                      <w:lang w:val="en-US"/>
                    </w:rPr>
                    <w:t xml:space="preserve">
</w:t>
                  </w:r>
                </w:p>
                <w:p>
                  <w:pPr>
                    <w:spacing w:before="223" w:after="196" w:line="180"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Map Y4. Poor Mental Health Days in New York</w:t>
                  </w:r>
                </w:p>
              </w:txbxContent>
            </v:textbox>
          </v:shape>
        </w:pict>
      </w:r>
      <w:r>
        <w:pict>
          <v:shapetype id="_x0000_t493" coordsize="21600,21600" o:spt="202" path="m,l,21600r21600,l21600,xe">
            <v:stroke joinstyle="miter"/>
            <v:path gradientshapeok="t" o:connecttype="rect"/>
          </v:shapetype>
          <v:shape id="_x0000_s492" type="#_x0000_t493" filled="f" stroked="f" style="position:absolute;width:612pt;height:314.75pt;z-index:-1;margin-left:0pt;margin-top:129.1pt;mso-wrap-distance-left:0pt;mso-wrap-distance-right:0pt;mso-position-horizontal-relative:page;mso-position-vertical-relative:page">
            <w10:wrap type="square" side="both"/>
            <v:fill opacity="1" o:opacity2="1" recolor="f" rotate="f" type="solid"/>
            <v:textbox inset="0pt, 0pt, 0pt, 0pt">
              <w:txbxContent>
                <w:p>
                  <w:pPr>
                    <w:spacing w:before="0" w:after="247" w:line="240" w:lineRule="auto"/>
                    <w:ind w:right="1450" w:left="1440"/>
                    <w:jc w:val="left"/>
                    <w:textAlignment w:val="baseline"/>
                  </w:pPr>
                  <w:r>
                    <w:drawing>
                      <wp:inline>
                        <wp:extent cx="5937250" cy="3840480"/>
                        <wp:docPr name="Picture" id="142"/>
                        <a:graphic>
                          <a:graphicData uri="http://schemas.openxmlformats.org/drawingml/2006/picture">
                            <pic:pic>
                              <pic:nvPicPr>
                                <pic:cNvPr id="142" name="Picture"/>
                                <pic:cNvPicPr preferRelativeResize="false"/>
                              </pic:nvPicPr>
                              <pic:blipFill>
                                <a:blip r:embed="prId142"/>
                                <a:stretch>
                                  <a:fillRect/>
                                </a:stretch>
                              </pic:blipFill>
                              <pic:spPr>
                                <a:xfrm>
                                  <a:off x="0" y="0"/>
                                  <a:ext cx="5937250" cy="3840480"/>
                                </a:xfrm>
                                <a:prstGeom prst="rect"/>
                              </pic:spPr>
                            </pic:pic>
                          </a:graphicData>
                        </a:graphic>
                      </wp:inline>
                    </w:drawing>
                  </w:r>
                </w:p>
              </w:txbxContent>
            </v:textbox>
          </v:shape>
        </w:pict>
      </w:r>
      <w:r>
        <w:pict>
          <v:shapetype id="_x0000_t494" coordsize="21600,21600" o:spt="202" path="m,l,21600r21600,l21600,xe">
            <v:stroke joinstyle="miter"/>
            <v:path gradientshapeok="t" o:connecttype="rect"/>
          </v:shapetype>
          <v:shape id="_x0000_s493" type="#_x0000_t494" filled="f" stroked="f" style="position:absolute;width:612pt;height:228.1pt;z-index:1;margin-left:0pt;margin-top:443.8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B2949"/>
                      <w:spacing w:val="0"/>
                      <w:w w:val="100"/>
                      <w:sz w:val="18"/>
                      <w:vertAlign w:val="baseline"/>
                      <w:lang w:val="en-US"/>
                    </w:rPr>
                  </w:pPr>
                  <w:r>
                    <w:rPr>
                      <w:rFonts w:ascii="Calibri" w:hAnsi="Calibri" w:eastAsia="Calibri"/>
                      <w:i w:val="true"/>
                      <w:color w:val="0B2949"/>
                      <w:spacing w:val="0"/>
                      <w:w w:val="100"/>
                      <w:sz w:val="18"/>
                      <w:vertAlign w:val="baseline"/>
                      <w:lang w:val="en-US"/>
                    </w:rPr>
                    <w:t xml:space="preserve">Source County Health Rankings and Roadmaps</w:t>
                  </w:r>
                </w:p>
                <w:p>
                  <w:pPr>
                    <w:spacing w:before="177" w:after="0" w:line="288"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health was a common concern across all ages and backgrounds, with many focus group respondents citing a range of compounding factors. Youth cited bullying and cyberbullying as key contributors, while older adults noted the rural community and social isolation as important factors. A shortage of mental health providers and ongoing barriers to seeking help, especially for marginalized groups such as older adults and the LGBTQ+ community, were cited as cause for concern. Other suggested root causes include an increased focus on social media and technology, stigma around receiving mental health care, and the effect of the high cost of living on quality of life.</w:t>
                  </w:r>
                </w:p>
                <w:p>
                  <w:pPr>
                    <w:spacing w:before="159" w:after="854" w:line="288"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Residents value organizations that facilitate social and personal connections, such as Pro Action Office for the Aging, community centers, health organizations, churches, libraries, and The Living Well. Many focus group participants commented on the wide range of community supports available and expressed gratitude for their work in the community. Volunteerism and peer support are seen as vital for</w:t>
                  </w:r>
                </w:p>
              </w:txbxContent>
            </v:textbox>
          </v:shape>
        </w:pict>
      </w:r>
      <w:r>
        <w:pict>
          <v:shapetype id="_x0000_t495" coordsize="21600,21600" o:spt="202" path="m,l,21600r21600,l21600,xe">
            <v:stroke joinstyle="miter"/>
            <v:path gradientshapeok="t" o:connecttype="rect"/>
          </v:shapetype>
          <v:shape id="_x0000_s494" type="#_x0000_t495"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02" w:after="58" w:line="243" w:lineRule="exact"/>
                    <w:ind w:right="180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43</w:t>
                  </w:r>
                  <w:r>
                    <w:rPr>
                      <w:rFonts w:ascii="Calibri" w:hAnsi="Calibri" w:eastAsia="Calibri"/>
                      <w:color w:val="000000"/>
                      <w:spacing w:val="0"/>
                      <w:w w:val="100"/>
                      <w:sz w:val="20"/>
                      <w:vertAlign w:val="baseline"/>
                      <w:lang w:val="en-US"/>
                    </w:rPr>
                    <w:t xml:space="preserve"> Source: Strine TW, Balluz L, Chapman DP, Moriarty DG, Owens M, Mokdad AH. Risk behaviors and healthcare coverage among adults by frequent mental distress status, 2001. Am J Prev Med. 2004 Apr;26(3):213-6. doi: 10.1016/j.amepre.2003.11.002. PMID: 15026100.</w:t>
                  </w:r>
                </w:p>
              </w:txbxContent>
            </v:textbox>
          </v:shape>
        </w:pict>
      </w:r>
      <w:r>
        <w:pict>
          <v:shapetype id="_x0000_t496" coordsize="21600,21600" o:spt="202" path="m,l,21600r21600,l21600,xe">
            <v:stroke joinstyle="miter"/>
            <v:path gradientshapeok="t" o:connecttype="rect"/>
          </v:shapetype>
          <v:shape id="_x0000_s495" type="#_x0000_t49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86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4"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97" coordsize="21600,21600" o:spt="202" path="m,l,21600r21600,l21600,xe">
            <v:stroke joinstyle="miter"/>
            <v:path gradientshapeok="t" o:connecttype="rect"/>
          </v:shapetype>
          <v:shape id="_x0000_s496" type="#_x0000_t49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43"/>
                              <a:graphic>
                                <a:graphicData uri="http://schemas.openxmlformats.org/drawingml/2006/picture">
                                  <pic:pic>
                                    <pic:nvPicPr>
                                      <pic:cNvPr id="143" name="Picture"/>
                                      <pic:cNvPicPr preferRelativeResize="false"/>
                                    </pic:nvPicPr>
                                    <pic:blipFill>
                                      <a:blip r:embed="prId14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44"/>
                              <a:graphic>
                                <a:graphicData uri="http://schemas.openxmlformats.org/drawingml/2006/picture">
                                  <pic:pic>
                                    <pic:nvPicPr>
                                      <pic:cNvPr id="144" name="Picture"/>
                                      <pic:cNvPicPr preferRelativeResize="false"/>
                                    </pic:nvPicPr>
                                    <pic:blipFill>
                                      <a:blip r:embed="prId144"/>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498" coordsize="21600,21600" o:spt="202" path="m,l,21600r21600,l21600,xe">
            <v:stroke joinstyle="miter"/>
            <v:path gradientshapeok="t" o:connecttype="rect"/>
          </v:shapetype>
          <v:shape id="_x0000_s497" type="#_x0000_t498" filled="f" stroked="f" style="position:absolute;width:612pt;height:601.9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8"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outreach and engagement, with many residents expressing a desire for more opportunities to connect with the various populations of Yates County.</w:t>
                  </w:r>
                </w:p>
                <w:p>
                  <w:pPr>
                    <w:spacing w:before="146"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Despite recognizing opportunities and a desire to grow community connections, isolation remains a frequent theme, particularly in the aging community. Beyond social connections, residents request more chances for mentorship and regular information sharing. There is a desire for more educational programming on topics such as chronic disease prevention and resource awareness. Community members feel that implementing such programs may assist in bringing together the community and removing the sense of isolation to better support and improve the overall quality of life in the community.</w:t>
                  </w:r>
                </w:p>
                <w:p>
                  <w:pPr>
                    <w:spacing w:before="230"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Suicide</w:t>
                  </w:r>
                </w:p>
                <w:p>
                  <w:pPr>
                    <w:spacing w:before="184"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National Center for Health Statistics notes that in 2022 the suicide rate in the county was 15.0 per 100,000 people, nearly double the NYS average of 8 per 100,000 people. This represents a 36% increase in deaths due to suicide since 2018. In contrast, the suicide rate among youth (15-19 years of age) was 0.0 per 100,000 people in 2022, which is lower than the NYS average of 5.6 and has remained unchanged since 2015. The rate of youth suicide remains a bright spot, suggesting strong protective factors and support systems for adolescents in the county. However, the substantial increase in deaths due to suicide among adults indicates that expanded mental health resources are needed to better support this population.</w:t>
                  </w:r>
                </w:p>
                <w:p>
                  <w:pPr>
                    <w:spacing w:before="164"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Rising suicide rates signal worsening mental health and increasing levels of stress, trauma, or unmet behavioral health needs in the community. When the county’s overall suicide rate exceeds the state average, it suggests that residents may face greater barriers to timely mental health care, social support, or crisis intervention. Higher suicide rates also have wide-reaching impacts, causing strain to families, schools, healthcare systems, and communities. It also potentially indicates deeper issues such as isolation, substance use, economic stress, or limited access to mental-health services.</w:t>
                  </w:r>
                  <w:r>
                    <w:rPr>
                      <w:rFonts w:ascii="Calibri" w:hAnsi="Calibri" w:eastAsia="Calibri"/>
                      <w:color w:val="000000"/>
                      <w:spacing w:val="0"/>
                      <w:w w:val="100"/>
                      <w:sz w:val="22"/>
                      <w:vertAlign w:val="superscript"/>
                      <w:lang w:val="en-US"/>
                    </w:rPr>
                    <w:t xml:space="preserve">44</w:t>
                  </w:r>
                  <w:r>
                    <w:rPr>
                      <w:rFonts w:ascii="Calibri" w:hAnsi="Calibri" w:eastAsia="Calibri"/>
                      <w:color w:val="000000"/>
                      <w:spacing w:val="0"/>
                      <w:w w:val="100"/>
                      <w:sz w:val="14"/>
                      <w:vertAlign w:val="baseline"/>
                      <w:lang w:val="en-US"/>
                    </w:rPr>
                    <w:t xml:space="preserve">
</w:t>
                  </w:r>
                </w:p>
                <w:p>
                  <w:pPr>
                    <w:spacing w:before="228" w:after="0" w:line="246" w:lineRule="exact"/>
                    <w:ind w:right="0" w:left="1440" w:firstLine="0"/>
                    <w:jc w:val="left"/>
                    <w:textAlignment w:val="baseline"/>
                    <w:rPr>
                      <w:rFonts w:ascii="Calibri" w:hAnsi="Calibri" w:eastAsia="Calibri"/>
                      <w:b w:val="true"/>
                      <w:color w:val="000000"/>
                      <w:spacing w:val="-1"/>
                      <w:w w:val="100"/>
                      <w:sz w:val="24"/>
                      <w:vertAlign w:val="baseline"/>
                      <w:lang w:val="en-US"/>
                    </w:rPr>
                  </w:pPr>
                  <w:r>
                    <w:rPr>
                      <w:rFonts w:ascii="Calibri" w:hAnsi="Calibri" w:eastAsia="Calibri"/>
                      <w:b w:val="true"/>
                      <w:color w:val="000000"/>
                      <w:spacing w:val="-1"/>
                      <w:w w:val="100"/>
                      <w:sz w:val="24"/>
                      <w:vertAlign w:val="baseline"/>
                      <w:lang w:val="en-US"/>
                    </w:rPr>
                    <w:t xml:space="preserve">Priority: Depression</w:t>
                  </w:r>
                </w:p>
                <w:p>
                  <w:pPr>
                    <w:spacing w:before="164"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Yates County, the age-adjusted percentage of adults reporting a depressive disorder in 2021 was 24.3%. This is greater than the NYS rate of 18.7% in the same year and has increased 40% since 2016. Elevated rates of depression are associated with increased risk of chronic diseases, substance use, social isolation, and suicide, as well as greater demand for mental health services. When the county rate is both higher than the state's average and rising, it indicates that many residents may not be receiving adequate treatment or support, contributing to long-term health disparities and strain on local healthcare and social services.</w:t>
                  </w:r>
                  <w:r>
                    <w:rPr>
                      <w:rFonts w:ascii="Calibri" w:hAnsi="Calibri" w:eastAsia="Calibri"/>
                      <w:color w:val="000000"/>
                      <w:spacing w:val="0"/>
                      <w:w w:val="100"/>
                      <w:sz w:val="22"/>
                      <w:vertAlign w:val="superscript"/>
                      <w:lang w:val="en-US"/>
                    </w:rPr>
                    <w:t xml:space="preserve">45</w:t>
                  </w:r>
                  <w:r>
                    <w:rPr>
                      <w:rFonts w:ascii="Calibri" w:hAnsi="Calibri" w:eastAsia="Calibri"/>
                      <w:color w:val="000000"/>
                      <w:spacing w:val="0"/>
                      <w:w w:val="100"/>
                      <w:sz w:val="14"/>
                      <w:vertAlign w:val="baseline"/>
                      <w:lang w:val="en-US"/>
                    </w:rPr>
                    <w:t xml:space="preserve">
</w:t>
                  </w:r>
                </w:p>
                <w:p>
                  <w:pPr>
                    <w:spacing w:before="170" w:after="432" w:line="289"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Focus groups identified several root causes of high depression rates in the area. Insights suggested that decreased resiliency, increased reliance on social media and technology, and the lingering mental health impacts of the pandemic have all played significant roles. Participants also identified broader societal influences, such as the stigma around receiving care, the high cost of living, and career burnout, as</w:t>
                  </w:r>
                </w:p>
              </w:txbxContent>
            </v:textbox>
          </v:shape>
        </w:pict>
      </w:r>
      <w:r>
        <w:pict>
          <v:shapetype id="_x0000_t499" coordsize="21600,21600" o:spt="202" path="m,l,21600r21600,l21600,xe">
            <v:stroke joinstyle="miter"/>
            <v:path gradientshapeok="t" o:connecttype="rect"/>
          </v:shapetype>
          <v:shape id="_x0000_s498" type="#_x0000_t499"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6"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44</w:t>
                  </w:r>
                  <w:r>
                    <w:rPr>
                      <w:rFonts w:ascii="Calibri" w:hAnsi="Calibri" w:eastAsia="Calibri"/>
                      <w:color w:val="000000"/>
                      <w:spacing w:val="0"/>
                      <w:w w:val="100"/>
                      <w:sz w:val="20"/>
                      <w:vertAlign w:val="baseline"/>
                      <w:lang w:val="en-US"/>
                    </w:rPr>
                    <w:t xml:space="preserve"> Source: </w:t>
                  </w:r>
                  <w:hyperlink r:id="dhId30">
                    <w:r>
                      <w:rPr>
                        <w:rFonts w:ascii="Calibri" w:hAnsi="Calibri" w:eastAsia="Calibri"/>
                        <w:color w:val="0000FF"/>
                        <w:spacing w:val="0"/>
                        <w:w w:val="100"/>
                        <w:sz w:val="20"/>
                        <w:u w:val="single"/>
                        <w:vertAlign w:val="baseline"/>
                        <w:lang w:val="en-US"/>
                      </w:rPr>
                      <w:t xml:space="preserve">https://www.cdc.gov/suicide/facts/index.html</w:t>
                    </w:r>
                  </w:hyperlink>
                  <w:r>
                    <w:rPr>
                      <w:rFonts w:ascii="Calibri" w:hAnsi="Calibri" w:eastAsia="Calibri"/>
                      <w:color w:val="000000"/>
                      <w:spacing w:val="0"/>
                      <w:w w:val="100"/>
                      <w:sz w:val="20"/>
                      <w:vertAlign w:val="baseline"/>
                      <w:lang w:val="en-US"/>
                    </w:rPr>
                    <w:t xml:space="preserve">
</w:t>
                  </w:r>
                </w:p>
                <w:p>
                  <w:pPr>
                    <w:spacing w:before="40" w:after="0"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45</w:t>
                  </w:r>
                  <w:r>
                    <w:rPr>
                      <w:rFonts w:ascii="Calibri" w:hAnsi="Calibri" w:eastAsia="Calibri"/>
                      <w:color w:val="000000"/>
                      <w:spacing w:val="0"/>
                      <w:w w:val="100"/>
                      <w:sz w:val="20"/>
                      <w:vertAlign w:val="baseline"/>
                      <w:lang w:val="en-US"/>
                    </w:rPr>
                    <w:t xml:space="preserve">Source: National Institute of Mental Health: </w:t>
                  </w:r>
                  <w:hyperlink r:id="dhId31">
                    <w:r>
                      <w:rPr>
                        <w:rFonts w:ascii="Calibri" w:hAnsi="Calibri" w:eastAsia="Calibri"/>
                        <w:color w:val="0000FF"/>
                        <w:spacing w:val="0"/>
                        <w:w w:val="100"/>
                        <w:sz w:val="20"/>
                        <w:u w:val="single"/>
                        <w:vertAlign w:val="baseline"/>
                        <w:lang w:val="en-US"/>
                      </w:rPr>
                      <w:t xml:space="preserve">https://www.nimh.nih.gov/health/publications/chronic-illness-</w:t>
                    </w:r>
                  </w:hyperlink>
                  <w:r>
                    <w:rPr>
                      <w:rFonts w:ascii="Calibri" w:hAnsi="Calibri" w:eastAsia="Calibri"/>
                      <w:color w:val="000000"/>
                      <w:w w:val="100"/>
                      <w:sz w:val="24"/>
                      <w:vertAlign w:val="baseline"/>
                      <w:lang w:val="en-US"/>
                    </w:rPr>
                    <w:t xml:space="preserve">
</w:t>
                  </w:r>
                </w:p>
                <w:p>
                  <w:pPr>
                    <w:spacing w:before="47" w:after="58" w:line="197" w:lineRule="exact"/>
                    <w:ind w:right="0" w:left="1440" w:firstLine="0"/>
                    <w:jc w:val="left"/>
                    <w:textAlignment w:val="baseline"/>
                    <w:rPr>
                      <w:rFonts w:ascii="Calibri" w:hAnsi="Calibri" w:eastAsia="Calibri"/>
                      <w:color w:val="000000"/>
                      <w:spacing w:val="0"/>
                      <w:w w:val="100"/>
                      <w:sz w:val="20"/>
                      <w:vertAlign w:val="baseline"/>
                      <w:lang w:val="en-US"/>
                    </w:rPr>
                  </w:pPr>
                  <w:r>
                    <w:rPr>
                      <w:rFonts w:ascii="Calibri" w:hAnsi="Calibri" w:eastAsia="Calibri"/>
                      <w:color w:val="000000"/>
                      <w:spacing w:val="0"/>
                      <w:w w:val="100"/>
                      <w:sz w:val="20"/>
                      <w:vertAlign w:val="baseline"/>
                      <w:lang w:val="en-US"/>
                    </w:rPr>
                    <w:t xml:space="preserve">mental-health?utm_source=</w:t>
                  </w:r>
                  <w:hyperlink r:id="dhId32">
                    <w:r>
                      <w:rPr>
                        <w:rFonts w:ascii="Calibri" w:hAnsi="Calibri" w:eastAsia="Calibri"/>
                        <w:color w:val="0000FF"/>
                        <w:spacing w:val="0"/>
                        <w:w w:val="100"/>
                        <w:sz w:val="20"/>
                        <w:u w:val="single"/>
                        <w:vertAlign w:val="baseline"/>
                        <w:lang w:val="en-US"/>
                      </w:rPr>
                      <w:t xml:space="preserve">chatgpt.com</w:t>
                    </w:r>
                  </w:hyperlink>
                  <w:r>
                    <w:rPr>
                      <w:rFonts w:ascii="Calibri" w:hAnsi="Calibri" w:eastAsia="Calibri"/>
                      <w:color w:val="000000"/>
                      <w:spacing w:val="0"/>
                      <w:w w:val="100"/>
                      <w:sz w:val="20"/>
                      <w:vertAlign w:val="baseline"/>
                      <w:lang w:val="en-US"/>
                    </w:rPr>
                    <w:t xml:space="preserve">
</w:t>
                  </w:r>
                </w:p>
              </w:txbxContent>
            </v:textbox>
          </v:shape>
        </w:pict>
      </w:r>
      <w:r>
        <w:pict>
          <v:shapetype id="_x0000_t500" coordsize="21600,21600" o:spt="202" path="m,l,21600r21600,l21600,xe">
            <v:stroke joinstyle="miter"/>
            <v:path gradientshapeok="t" o:connecttype="rect"/>
          </v:shapetype>
          <v:shape id="_x0000_s499" type="#_x0000_t50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87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01" coordsize="21600,21600" o:spt="202" path="m,l,21600r21600,l21600,xe">
            <v:stroke joinstyle="miter"/>
            <v:path gradientshapeok="t" o:connecttype="rect"/>
          </v:shapetype>
          <v:shape id="_x0000_s500" type="#_x0000_t501"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45"/>
                              <a:graphic>
                                <a:graphicData uri="http://schemas.openxmlformats.org/drawingml/2006/picture">
                                  <pic:pic>
                                    <pic:nvPicPr>
                                      <pic:cNvPr id="145" name="Picture"/>
                                      <pic:cNvPicPr preferRelativeResize="false"/>
                                    </pic:nvPicPr>
                                    <pic:blipFill>
                                      <a:blip r:embed="prId145"/>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46"/>
                              <a:graphic>
                                <a:graphicData uri="http://schemas.openxmlformats.org/drawingml/2006/picture">
                                  <pic:pic>
                                    <pic:nvPicPr>
                                      <pic:cNvPr id="146" name="Picture"/>
                                      <pic:cNvPicPr preferRelativeResize="false"/>
                                    </pic:nvPicPr>
                                    <pic:blipFill>
                                      <a:blip r:embed="prId146"/>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02" coordsize="21600,21600" o:spt="202" path="m,l,21600r21600,l21600,xe">
            <v:stroke joinstyle="miter"/>
            <v:path gradientshapeok="t" o:connecttype="rect"/>
          </v:shapetype>
          <v:shape id="_x0000_s501" type="#_x0000_t502" filled="f" stroked="f" style="position:absolute;width:612pt;height:626.3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additional influences on mental health. Focus groups did recognize that the screening process for mental health concerns has greatly improved, potentially identifying a higher number of cases compared to the past. However, it was consistently noted that the infrastructure of mental health care is lacking in the area, contributing to difficulty in receiving care when needed.</w:t>
                  </w:r>
                </w:p>
                <w:p>
                  <w:pPr>
                    <w:spacing w:before="155" w:after="0" w:line="290" w:lineRule="exact"/>
                    <w:ind w:right="2016"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The community emphasized that expanding opportunities for social support and community engagement would improve mental health across the county. It is also understood that geographic factors, such as the rural landscape of Yates County, can increase the risk of social isolation and contribute to depression rates. Considering this, participants stressed the importance of pursuing creative solutions that build on community strengths to better support those experiencing mental distress.</w:t>
                  </w:r>
                </w:p>
                <w:p>
                  <w:pPr>
                    <w:spacing w:before="231" w:after="0" w:line="246"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Primary Prevention, Substance Misuse, and Overdose Prevention</w:t>
                  </w:r>
                </w:p>
                <w:p>
                  <w:pPr>
                    <w:spacing w:before="163" w:after="0"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Since 2021, there has been a sharp decrease in overdose deaths involving any drug in Yates County, decreasing from a crude rate of 20 deaths per 100,000 population in 2021 to 8.2 deaths per 100,000 in 2022. Yates County also has a lower overdose death rate compared to the Finger Lakes Region as a whole. Opioids, opioid pain relievers, and synthetic opioids other than methadone saw a dramatic decline in overdose deaths. However, overdoses involving cocaine in Yates County have increased from a zero crude rate per 100,000 population in 2020 to 8.2 in 2022. This data supports anecdotal information from the community regarding a recent shift to increased use of cocaine and methamphetamine.</w:t>
                  </w:r>
                </w:p>
                <w:p>
                  <w:pPr>
                    <w:spacing w:before="158"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Focus groups expressed concern about the connection between mental health and substance use, remarking that poor access to mental health providers in the area may affect substance use rates. Individuals with lived experience noted the effect that social isolation has on substance use and mental health, adding that disciplinary actions such as revoking driver’s licenses intensify feelings of isolation. Yates County has one mental health provider for every 840 residents, more than three times the NYS ratio (260:1), indicating that Yates County has roughly two-thirds fewer available providers than the state. According to the Substance Abuse and Mental Health Administration (SAMHSA), a diagnosis such as anxiety or depression increases an individual’s risk for substance use. With limited access to mental health support, Yates residents with existing mental health concerns may be at a higher risk of substance use than those in surrounding counties.</w:t>
                  </w:r>
                  <w:r>
                    <w:rPr>
                      <w:rFonts w:ascii="Calibri" w:hAnsi="Calibri" w:eastAsia="Calibri"/>
                      <w:color w:val="000000"/>
                      <w:spacing w:val="0"/>
                      <w:w w:val="100"/>
                      <w:sz w:val="22"/>
                      <w:vertAlign w:val="superscript"/>
                      <w:lang w:val="en-US"/>
                    </w:rPr>
                    <w:t xml:space="preserve">46</w:t>
                  </w:r>
                  <w:r>
                    <w:rPr>
                      <w:rFonts w:ascii="Calibri" w:hAnsi="Calibri" w:eastAsia="Calibri"/>
                      <w:color w:val="000000"/>
                      <w:spacing w:val="0"/>
                      <w:w w:val="100"/>
                      <w:sz w:val="14"/>
                      <w:vertAlign w:val="baseline"/>
                      <w:lang w:val="en-US"/>
                    </w:rPr>
                    <w:t xml:space="preserve">
</w:t>
                  </w:r>
                </w:p>
                <w:p>
                  <w:pPr>
                    <w:spacing w:before="159" w:after="974"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community recognized Yates County’s efforts to address the opioid epidemic and the resulting progress. Since 2023, the county has recorded 269 Naloxone training sessions, 798 individuals trained in Naloxone distribution, and 495 Naloxone kits distributed. Despite the shifting trends in substance use, maintaining these initiatives is vital to prevent opioid-related deaths. Furthermore, the growing use of stimulants presents continued risks as these substances may be contaminated with high-risk drugs such as fentanyl. People who use substances consequently remain vulnerable to opioid-related injury or death, regardless of the type of substance being used. Ongoing community education about overdose prevention and substance use risks is critical in continuing the positive trends currently being experienced.</w:t>
                  </w:r>
                </w:p>
              </w:txbxContent>
            </v:textbox>
          </v:shape>
        </w:pict>
      </w:r>
      <w:r>
        <w:pict>
          <v:shapetype id="_x0000_t503" coordsize="21600,21600" o:spt="202" path="m,l,21600r21600,l21600,xe">
            <v:stroke joinstyle="miter"/>
            <v:path gradientshapeok="t" o:connecttype="rect"/>
          </v:shapetype>
          <v:shape id="_x0000_s502" type="#_x0000_t503" filled="f" stroked="f" style="position:absolute;width:612pt;height:20.55pt;z-index:1;margin-left:0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4" w:after="58"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46</w:t>
                  </w:r>
                  <w:r>
                    <w:rPr>
                      <w:rFonts w:ascii="Calibri" w:hAnsi="Calibri" w:eastAsia="Calibri"/>
                      <w:color w:val="000000"/>
                      <w:spacing w:val="0"/>
                      <w:w w:val="100"/>
                      <w:sz w:val="20"/>
                      <w:vertAlign w:val="baseline"/>
                      <w:lang w:val="en-US"/>
                    </w:rPr>
                    <w:t xml:space="preserve"> Source: Substance Abuse and Mental Health Administration (SAMHSA)</w:t>
                  </w:r>
                </w:p>
              </w:txbxContent>
            </v:textbox>
          </v:shape>
        </w:pict>
      </w:r>
      <w:r>
        <w:pict>
          <v:shapetype id="_x0000_t504" coordsize="21600,21600" o:spt="202" path="m,l,21600r21600,l21600,xe">
            <v:stroke joinstyle="miter"/>
            <v:path gradientshapeok="t" o:connecttype="rect"/>
          </v:shapetype>
          <v:shape id="_x0000_s503" type="#_x0000_t504"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88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05" coordsize="21600,21600" o:spt="202" path="m,l,21600r21600,l21600,xe">
            <v:stroke joinstyle="miter"/>
            <v:path gradientshapeok="t" o:connecttype="rect"/>
          </v:shapetype>
          <v:shape id="_x0000_s504" type="#_x0000_t505"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47"/>
                              <a:graphic>
                                <a:graphicData uri="http://schemas.openxmlformats.org/drawingml/2006/picture">
                                  <pic:pic>
                                    <pic:nvPicPr>
                                      <pic:cNvPr id="147" name="Picture"/>
                                      <pic:cNvPicPr preferRelativeResize="false"/>
                                    </pic:nvPicPr>
                                    <pic:blipFill>
                                      <a:blip r:embed="prId147"/>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48"/>
                              <a:graphic>
                                <a:graphicData uri="http://schemas.openxmlformats.org/drawingml/2006/picture">
                                  <pic:pic>
                                    <pic:nvPicPr>
                                      <pic:cNvPr id="148" name="Picture"/>
                                      <pic:cNvPicPr preferRelativeResize="false"/>
                                    </pic:nvPicPr>
                                    <pic:blipFill>
                                      <a:blip r:embed="prId148"/>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506" coordsize="21600,21600" o:spt="202" path="m,l,21600r21600,l21600,xe">
            <v:stroke joinstyle="miter"/>
            <v:path gradientshapeok="t" o:connecttype="rect"/>
          </v:shapetype>
          <v:shape id="_x0000_s505" type="#_x0000_t506" filled="f" stroked="f" style="position:absolute;width:612pt;height:563.3pt;z-index:1;margin-left:0pt;margin-top:72.05pt;mso-wrap-distance-left:0pt;mso-wrap-distance-right:0pt;mso-position-horizontal-relative:page;mso-position-vertical-relative:page">
            <w10:wrap anchorx="page" anchory="page"/>
            <v:fill opacity="1" o:opacity2="1" recolor="f" rotate="f" type="solid"/>
            <v:textbox inset="0pt, 0pt, 0pt, 0pt">
              <w:txbxContent>
                <w:p>
                  <w:pPr>
                    <w:spacing w:before="27" w:after="0" w:line="246" w:lineRule="exact"/>
                    <w:ind w:right="0" w:left="1440" w:firstLine="0"/>
                    <w:jc w:val="left"/>
                    <w:textAlignment w:val="baseline"/>
                    <w:rPr>
                      <w:rFonts w:ascii="Calibri" w:hAnsi="Calibri" w:eastAsia="Calibri"/>
                      <w:b w:val="true"/>
                      <w:color w:val="000000"/>
                      <w:spacing w:val="-1"/>
                      <w:w w:val="100"/>
                      <w:sz w:val="24"/>
                      <w:vertAlign w:val="baseline"/>
                      <w:lang w:val="en-US"/>
                    </w:rPr>
                  </w:pPr>
                  <w:r>
                    <w:rPr>
                      <w:rFonts w:ascii="Calibri" w:hAnsi="Calibri" w:eastAsia="Calibri"/>
                      <w:b w:val="true"/>
                      <w:color w:val="000000"/>
                      <w:spacing w:val="-1"/>
                      <w:w w:val="100"/>
                      <w:sz w:val="24"/>
                      <w:vertAlign w:val="baseline"/>
                      <w:lang w:val="en-US"/>
                    </w:rPr>
                    <w:t xml:space="preserve">Priority: Tobacco/E-cigarefte and Alcohol Use</w:t>
                  </w:r>
                </w:p>
                <w:p>
                  <w:pPr>
                    <w:spacing w:before="158"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According to data from the BRFSS, the percentage of adults who are current smokers (age-adjusted) has declined slightly since 2018 from 19% to 18% in 2022, which still remains above the New York State average of 12%. In contrast, the percentage of adults reporting binge or heavy drinking quickly rose from 16% (2021) to 22% (2022), higher than the state average of 20%. Data on e-cigarefte use among adults in the county are not available, but rates of vaping by middle and high school students are available. In 2022, 3.9% of middle school students reported vaping within the last 30 days, and 5.3% of high school students reported that they vaped within the last 30 days.</w:t>
                  </w:r>
                  <w:r>
                    <w:rPr>
                      <w:rFonts w:ascii="Calibri" w:hAnsi="Calibri" w:eastAsia="Calibri"/>
                      <w:color w:val="000000"/>
                      <w:spacing w:val="0"/>
                      <w:w w:val="100"/>
                      <w:sz w:val="22"/>
                      <w:vertAlign w:val="superscript"/>
                      <w:lang w:val="en-US"/>
                    </w:rPr>
                    <w:t xml:space="preserve">47</w:t>
                  </w:r>
                  <w:r>
                    <w:rPr>
                      <w:rFonts w:ascii="Calibri" w:hAnsi="Calibri" w:eastAsia="Calibri"/>
                      <w:color w:val="000000"/>
                      <w:spacing w:val="0"/>
                      <w:w w:val="100"/>
                      <w:sz w:val="14"/>
                      <w:vertAlign w:val="baseline"/>
                      <w:lang w:val="en-US"/>
                    </w:rPr>
                    <w:t xml:space="preserve">
</w:t>
                  </w:r>
                </w:p>
                <w:p>
                  <w:pPr>
                    <w:spacing w:before="155"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Both smoking and excessive alcohol use are major risk factors for chronic diseases, including heart disease, cancer, liver disease, and respiratory illnesses. Higher rates of these behaviors in the community increase the burden on healthcare systems, contribute to preventable morbidity and mortality, and can reduce quality of life. Persistent smoking above the state average and rising binge or heavy drinking indicate that residents may face elevated long-term health risks and that targeted prevention and intervention efforts are needed.</w:t>
                  </w:r>
                  <w:r>
                    <w:rPr>
                      <w:rFonts w:ascii="Calibri" w:hAnsi="Calibri" w:eastAsia="Calibri"/>
                      <w:color w:val="000000"/>
                      <w:spacing w:val="0"/>
                      <w:w w:val="100"/>
                      <w:sz w:val="22"/>
                      <w:vertAlign w:val="superscript"/>
                      <w:lang w:val="en-US"/>
                    </w:rPr>
                    <w:t xml:space="preserve">48</w:t>
                  </w:r>
                  <w:r>
                    <w:rPr>
                      <w:rFonts w:ascii="Calibri" w:hAnsi="Calibri" w:eastAsia="Calibri"/>
                      <w:color w:val="000000"/>
                      <w:spacing w:val="0"/>
                      <w:w w:val="100"/>
                      <w:sz w:val="14"/>
                      <w:vertAlign w:val="baseline"/>
                      <w:lang w:val="en-US"/>
                    </w:rPr>
                    <w:t xml:space="preserve">
</w:t>
                  </w:r>
                </w:p>
                <w:p>
                  <w:pPr>
                    <w:spacing w:before="236"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Adverse Childhood Experiences</w:t>
                  </w:r>
                </w:p>
                <w:p>
                  <w:pPr>
                    <w:spacing w:before="161"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Adverse Childhood Experiences (ACEs) are the emotional and physical circumstances one experiences before age 18. These may include neglect, sexual abuse, parental divorce, mental illness, and/or substance abuse in the home, and exposure to violence. ACEs impact individuals well into adulthood and may result in long-term physical and mental health problems. The age-adjusted percentage of adults with two or more adverse childhood experiences decreased from 29.4% in 2016 to 24.8% in 2021, below the current NYS average of 40.5%.</w:t>
                  </w:r>
                </w:p>
                <w:p>
                  <w:pPr>
                    <w:spacing w:before="154"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ACEs have long-lasting effects on physical, mental, and behavioral health. Experiencing two or more ACEs increases the risk of chronic diseases, mental health disorders, substance use, and social challenges well into adulthood. Even though the county’s rate of adults with two or more ACEs has decreased to 24.8%, this still represents a substantial portion of the population at higher risk for long-term health problems and increased healthcare and social service needs.</w:t>
                  </w:r>
                  <w:r>
                    <w:rPr>
                      <w:rFonts w:ascii="Calibri" w:hAnsi="Calibri" w:eastAsia="Calibri"/>
                      <w:color w:val="000000"/>
                      <w:spacing w:val="0"/>
                      <w:w w:val="100"/>
                      <w:sz w:val="22"/>
                      <w:vertAlign w:val="superscript"/>
                      <w:lang w:val="en-US"/>
                    </w:rPr>
                    <w:t xml:space="preserve">49</w:t>
                  </w:r>
                  <w:r>
                    <w:rPr>
                      <w:rFonts w:ascii="Calibri" w:hAnsi="Calibri" w:eastAsia="Calibri"/>
                      <w:color w:val="000000"/>
                      <w:spacing w:val="0"/>
                      <w:w w:val="100"/>
                      <w:sz w:val="14"/>
                      <w:vertAlign w:val="baseline"/>
                      <w:lang w:val="en-US"/>
                    </w:rPr>
                    <w:t xml:space="preserve">
</w:t>
                  </w:r>
                </w:p>
                <w:p>
                  <w:pPr>
                    <w:spacing w:before="229" w:after="0" w:line="246"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Healthy Eating</w:t>
                  </w:r>
                </w:p>
                <w:p>
                  <w:pPr>
                    <w:spacing w:before="164" w:after="1118" w:line="290" w:lineRule="exact"/>
                    <w:ind w:right="1728"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From 2016 to 2021, the percentage of adults who eat fruits daily (63.4%) increased by 16%, and those who eat vegetables daily (70.2%) decreased by 4%.</w:t>
                  </w:r>
                  <w:r>
                    <w:rPr>
                      <w:rFonts w:ascii="Calibri" w:hAnsi="Calibri" w:eastAsia="Calibri"/>
                      <w:color w:val="000000"/>
                      <w:spacing w:val="-1"/>
                      <w:w w:val="100"/>
                      <w:sz w:val="22"/>
                      <w:vertAlign w:val="superscript"/>
                      <w:lang w:val="en-US"/>
                    </w:rPr>
                    <w:t xml:space="preserve">50</w:t>
                  </w:r>
                  <w:r>
                    <w:rPr>
                      <w:rFonts w:ascii="Calibri" w:hAnsi="Calibri" w:eastAsia="Calibri"/>
                      <w:color w:val="000000"/>
                      <w:spacing w:val="-1"/>
                      <w:w w:val="100"/>
                      <w:sz w:val="22"/>
                      <w:vertAlign w:val="baseline"/>
                      <w:lang w:val="en-US"/>
                    </w:rPr>
                    <w:t xml:space="preserve"> An interesting dichotomy arose in focus groups where some individuals stated it was difficult to incorporate healthy eating into their routines, while others said it was very easy. Approximately 1 in 5 NYS adults consume at least one sugar-sweetened</w:t>
                  </w:r>
                </w:p>
              </w:txbxContent>
            </v:textbox>
          </v:shape>
        </w:pict>
      </w:r>
      <w:r>
        <w:pict>
          <v:shapetype id="_x0000_t507" coordsize="21600,21600" o:spt="202" path="m,l,21600r21600,l21600,xe">
            <v:stroke joinstyle="miter"/>
            <v:path gradientshapeok="t" o:connecttype="rect"/>
          </v:shapetype>
          <v:shape id="_x0000_s506" type="#_x0000_t507" filled="f" stroked="f" style="position:absolute;width:612pt;height:81.5pt;z-index:1;margin-left:0pt;margin-top:635.35pt;mso-wrap-distance-left:0pt;mso-wrap-distance-right:0pt;mso-position-horizontal-relative:page;mso-position-vertical-relative:page">
            <w10:wrap anchorx="page" anchory="page"/>
            <v:fill opacity="1" o:opacity2="1" recolor="f" rotate="f" type="solid"/>
            <v:textbox inset="0pt, 0pt, 0pt, 0pt">
              <w:txbxContent>
                <w:p>
                  <w:pPr>
                    <w:spacing w:before="144" w:after="0"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47</w:t>
                  </w:r>
                  <w:r>
                    <w:rPr>
                      <w:rFonts w:ascii="Calibri" w:hAnsi="Calibri" w:eastAsia="Calibri"/>
                      <w:color w:val="000000"/>
                      <w:spacing w:val="0"/>
                      <w:w w:val="100"/>
                      <w:sz w:val="20"/>
                      <w:vertAlign w:val="baseline"/>
                      <w:lang w:val="en-US"/>
                    </w:rPr>
                    <w:t xml:space="preserve"> Source: Yates County Evalumetric Youth Survey Report, 2022</w:t>
                  </w:r>
                </w:p>
                <w:p>
                  <w:pPr>
                    <w:spacing w:before="0" w:after="0" w:line="244" w:lineRule="exact"/>
                    <w:ind w:right="144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48</w:t>
                  </w:r>
                  <w:r>
                    <w:rPr>
                      <w:rFonts w:ascii="Calibri" w:hAnsi="Calibri" w:eastAsia="Calibri"/>
                      <w:color w:val="000000"/>
                      <w:spacing w:val="0"/>
                      <w:w w:val="100"/>
                      <w:sz w:val="20"/>
                      <w:vertAlign w:val="baseline"/>
                      <w:lang w:val="en-US"/>
                    </w:rPr>
                    <w:t xml:space="preserve"> Source: Kim Y. The effects of smoking, alcohol consumption, obesity, and physical inactivity on healthcare costs: a longitudinal cohort study. BMC Public Health. 2025 Mar 5;25(1):873. doi: 10.1186/s12889-025-22133-4. PMID: 40045251; PMCID: PMC11881326.</w:t>
                  </w:r>
                </w:p>
                <w:p>
                  <w:pPr>
                    <w:spacing w:before="42"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49</w:t>
                  </w:r>
                  <w:r>
                    <w:rPr>
                      <w:rFonts w:ascii="Calibri" w:hAnsi="Calibri" w:eastAsia="Calibri"/>
                      <w:color w:val="000000"/>
                      <w:spacing w:val="0"/>
                      <w:w w:val="100"/>
                      <w:sz w:val="20"/>
                      <w:vertAlign w:val="baseline"/>
                      <w:lang w:val="en-US"/>
                    </w:rPr>
                    <w:t xml:space="preserve"> Source: h</w:t>
                  </w:r>
                  <w:hyperlink r:id="dhId33">
                    <w:r>
                      <w:rPr>
                        <w:rFonts w:ascii="Calibri" w:hAnsi="Calibri" w:eastAsia="Calibri"/>
                        <w:color w:val="0000FF"/>
                        <w:spacing w:val="0"/>
                        <w:w w:val="100"/>
                        <w:sz w:val="20"/>
                        <w:u w:val="single"/>
                        <w:vertAlign w:val="baseline"/>
                        <w:lang w:val="en-US"/>
                      </w:rPr>
                      <w:t xml:space="preserve">ftps://www.cdc.gov/aces/about/index.html</w:t>
                    </w:r>
                  </w:hyperlink>
                  <w:r>
                    <w:rPr>
                      <w:rFonts w:ascii="Calibri" w:hAnsi="Calibri" w:eastAsia="Calibri"/>
                      <w:color w:val="000000"/>
                      <w:spacing w:val="0"/>
                      <w:w w:val="100"/>
                      <w:sz w:val="20"/>
                      <w:vertAlign w:val="baseline"/>
                      <w:lang w:val="en-US"/>
                    </w:rPr>
                    <w:t xml:space="preserve">
</w:t>
                  </w:r>
                </w:p>
                <w:p>
                  <w:pPr>
                    <w:spacing w:before="44" w:after="58"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50</w:t>
                  </w:r>
                  <w:r>
                    <w:rPr>
                      <w:rFonts w:ascii="Calibri" w:hAnsi="Calibri" w:eastAsia="Calibri"/>
                      <w:color w:val="000000"/>
                      <w:spacing w:val="0"/>
                      <w:w w:val="100"/>
                      <w:sz w:val="20"/>
                      <w:vertAlign w:val="baseline"/>
                      <w:lang w:val="en-US"/>
                    </w:rPr>
                    <w:t xml:space="preserve"> Source: Behavior Risk Factor Surveillance System (BRFSS), 2021</w:t>
                  </w:r>
                </w:p>
              </w:txbxContent>
            </v:textbox>
          </v:shape>
        </w:pict>
      </w:r>
      <w:r>
        <w:pict>
          <v:shapetype id="_x0000_t508" coordsize="21600,21600" o:spt="202" path="m,l,21600r21600,l21600,xe">
            <v:stroke joinstyle="miter"/>
            <v:path gradientshapeok="t" o:connecttype="rect"/>
          </v:shapetype>
          <v:shape id="_x0000_s507" type="#_x0000_t508"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89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35.75pt" to="216.3pt,635.7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09" coordsize="21600,21600" o:spt="202" path="m,l,21600r21600,l21600,xe">
            <v:stroke joinstyle="miter"/>
            <v:path gradientshapeok="t" o:connecttype="rect"/>
          </v:shapetype>
          <v:shape id="_x0000_s508" type="#_x0000_t509"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49"/>
                              <a:graphic>
                                <a:graphicData uri="http://schemas.openxmlformats.org/drawingml/2006/picture">
                                  <pic:pic>
                                    <pic:nvPicPr>
                                      <pic:cNvPr id="149" name="Picture"/>
                                      <pic:cNvPicPr preferRelativeResize="false"/>
                                    </pic:nvPicPr>
                                    <pic:blipFill>
                                      <a:blip r:embed="prId149"/>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50"/>
                              <a:graphic>
                                <a:graphicData uri="http://schemas.openxmlformats.org/drawingml/2006/picture">
                                  <pic:pic>
                                    <pic:nvPicPr>
                                      <pic:cNvPr id="150" name="Picture"/>
                                      <pic:cNvPicPr preferRelativeResize="false"/>
                                    </pic:nvPicPr>
                                    <pic:blipFill>
                                      <a:blip r:embed="prId150"/>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10" coordsize="21600,21600" o:spt="202" path="m,l,21600r21600,l21600,xe">
            <v:stroke joinstyle="miter"/>
            <v:path gradientshapeok="t" o:connecttype="rect"/>
          </v:shapetype>
          <v:shape id="_x0000_s509" type="#_x0000_t510" filled="f" stroked="f" style="position:absolute;width:612pt;height:602.9pt;z-index:1;margin-left:0pt;margin-top:69.05pt;mso-wrap-distance-left:0pt;mso-wrap-distance-right:0pt;mso-position-horizontal-relative:page;mso-position-vertical-relative:page">
            <w10:wrap anchorx="page" anchory="page"/>
            <v:fill opacity="1" o:opacity2="1" recolor="f" rotate="f" type="solid"/>
            <v:textbox inset="0pt, 0pt, 0pt, 0pt">
              <w:txbxContent>
                <w:p>
                  <w:pPr>
                    <w:spacing w:before="17" w:after="0" w:line="290" w:lineRule="exact"/>
                    <w:ind w:right="1944" w:left="1440"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beverage daily.</w:t>
                  </w:r>
                  <w:r>
                    <w:rPr>
                      <w:rFonts w:ascii="Calibri" w:hAnsi="Calibri" w:eastAsia="Calibri"/>
                      <w:color w:val="000000"/>
                      <w:spacing w:val="-3"/>
                      <w:w w:val="100"/>
                      <w:sz w:val="22"/>
                      <w:vertAlign w:val="superscript"/>
                      <w:lang w:val="en-US"/>
                    </w:rPr>
                    <w:t xml:space="preserve">51</w:t>
                  </w:r>
                  <w:r>
                    <w:rPr>
                      <w:rFonts w:ascii="Calibri" w:hAnsi="Calibri" w:eastAsia="Calibri"/>
                      <w:color w:val="000000"/>
                      <w:spacing w:val="-3"/>
                      <w:w w:val="100"/>
                      <w:sz w:val="22"/>
                      <w:vertAlign w:val="baseline"/>
                      <w:lang w:val="en-US"/>
                    </w:rPr>
                    <w:t xml:space="preserve"> In Yates County, the percentage of adults with annual incomes below $25,000 who drink one or more sugar-sweetened beverages has increased from 10.7% in 2016 to 17.1% in 2018.</w:t>
                  </w:r>
                </w:p>
                <w:p>
                  <w:pPr>
                    <w:spacing w:before="158"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Low consumption of fruits and vegetables and high intake of sugary drinks contribute to poor nutrition, obesity, diabetes, heart disease, and other chronic conditions. Addressing sugar-sweetened beverage consumption is important because studies have found that frequently drinking these beverages is linked to weight gain, tooth decay and cavities, heart disease, stroke, and type 2 diabetes in adults.</w:t>
                  </w:r>
                  <w:r>
                    <w:rPr>
                      <w:rFonts w:ascii="Calibri" w:hAnsi="Calibri" w:eastAsia="Calibri"/>
                      <w:color w:val="000000"/>
                      <w:spacing w:val="0"/>
                      <w:w w:val="100"/>
                      <w:sz w:val="22"/>
                      <w:vertAlign w:val="superscript"/>
                      <w:lang w:val="en-US"/>
                    </w:rPr>
                    <w:t xml:space="preserve">52</w:t>
                  </w:r>
                  <w:r>
                    <w:rPr>
                      <w:rFonts w:ascii="Calibri" w:hAnsi="Calibri" w:eastAsia="Calibri"/>
                      <w:color w:val="000000"/>
                      <w:spacing w:val="0"/>
                      <w:w w:val="100"/>
                      <w:sz w:val="22"/>
                      <w:vertAlign w:val="baseline"/>
                      <w:lang w:val="en-US"/>
                    </w:rPr>
                    <w:t xml:space="preserve"> When access to healthy foods is limited, especially for lower-income populations, residents are more likely to develop diet-related illnesses, increasing healthcare costs and reducing overall community health and quality of life.</w:t>
                  </w:r>
                  <w:r>
                    <w:rPr>
                      <w:rFonts w:ascii="Calibri" w:hAnsi="Calibri" w:eastAsia="Calibri"/>
                      <w:color w:val="000000"/>
                      <w:spacing w:val="0"/>
                      <w:w w:val="100"/>
                      <w:sz w:val="22"/>
                      <w:vertAlign w:val="superscript"/>
                      <w:lang w:val="en-US"/>
                    </w:rPr>
                    <w:t xml:space="preserve">53</w:t>
                  </w:r>
                  <w:r>
                    <w:rPr>
                      <w:rFonts w:ascii="Calibri" w:hAnsi="Calibri" w:eastAsia="Calibri"/>
                      <w:color w:val="000000"/>
                      <w:spacing w:val="0"/>
                      <w:w w:val="100"/>
                      <w:sz w:val="14"/>
                      <w:vertAlign w:val="baseline"/>
                      <w:lang w:val="en-US"/>
                    </w:rPr>
                    <w:t xml:space="preserve">
</w:t>
                  </w:r>
                </w:p>
                <w:p>
                  <w:pPr>
                    <w:spacing w:before="160" w:after="0" w:line="290" w:lineRule="exact"/>
                    <w:ind w:right="144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Social and Community Context Domain Summary: </w:t>
                  </w:r>
                  <w:r>
                    <w:rPr>
                      <w:rFonts w:ascii="Calibri" w:hAnsi="Calibri" w:eastAsia="Calibri"/>
                      <w:color w:val="000000"/>
                      <w:spacing w:val="0"/>
                      <w:w w:val="100"/>
                      <w:sz w:val="22"/>
                      <w:vertAlign w:val="baseline"/>
                      <w:lang w:val="en-US"/>
                    </w:rPr>
                    <w:t xml:space="preserve">Yates County is experiencing significant mental and behavioral health challenges. Rates of poor mental health, depression, and suicide all exceed state averages, signaling rising stress, untreated mental health needs, and growing demand for services. Substance use concerns are also increasing, with sharp rises in overdose deaths involving non-opioid drugs, despite overall rates remaining below the New York State average. Risk behaviors such as smoking and heavy drinking continue to contribute to preventable health problems, while mixed trends in healthy eating and persistent impacts of adverse childhood experiences further underscore ongoing vulnerabilities. Together, these indicators highlight mental health, substance use, and related social factors as critical priorities for improving community well-being.</w:t>
                  </w:r>
                </w:p>
                <w:p>
                  <w:pPr>
                    <w:spacing w:before="236" w:after="0" w:line="287" w:lineRule="exact"/>
                    <w:ind w:right="0" w:left="1440" w:firstLine="0"/>
                    <w:jc w:val="left"/>
                    <w:textAlignment w:val="baseline"/>
                    <w:rPr>
                      <w:rFonts w:ascii="Calibri" w:hAnsi="Calibri" w:eastAsia="Calibri"/>
                      <w:b w:val="true"/>
                      <w:i w:val="true"/>
                      <w:color w:val="000000"/>
                      <w:spacing w:val="0"/>
                      <w:w w:val="100"/>
                      <w:sz w:val="28"/>
                      <w:vertAlign w:val="baseline"/>
                      <w:lang w:val="en-US"/>
                    </w:rPr>
                  </w:pPr>
                  <w:r>
                    <w:rPr>
                      <w:rFonts w:ascii="Calibri" w:hAnsi="Calibri" w:eastAsia="Calibri"/>
                      <w:b w:val="true"/>
                      <w:i w:val="true"/>
                      <w:color w:val="000000"/>
                      <w:spacing w:val="0"/>
                      <w:w w:val="100"/>
                      <w:sz w:val="28"/>
                      <w:vertAlign w:val="baseline"/>
                      <w:lang w:val="en-US"/>
                    </w:rPr>
                    <w:t xml:space="preserve">Domain: Neighborhood and Built Environment</w:t>
                  </w:r>
                </w:p>
                <w:p>
                  <w:pPr>
                    <w:spacing w:before="162" w:after="0" w:line="290" w:lineRule="exact"/>
                    <w:ind w:right="180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Regular physical activity offers wide-ranging benefits at every age. It lowers the risk of major chronic diseases, including heart disease, stroke, type 2 diabetes, and several cancers, and supports stronger bones and muscles, better sleep, improved mental health, and longer life expectancy.</w:t>
                  </w:r>
                </w:p>
                <w:p>
                  <w:pPr>
                    <w:spacing w:before="163" w:after="0" w:line="290"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physical activity is not equal. Structural barriers such as unsafe neighborhoods, limited accessible facilities, or environments not designed for diverse needs shape how people can be active. Social factors like income, education, community support, and cultural attitudes also influence activity levels. Physical environment features, including parks, safe sidewalks, bike lanes, and walkable neighborhood layouts, also play a major role.</w:t>
                  </w:r>
                </w:p>
                <w:p>
                  <w:pPr>
                    <w:spacing w:before="159" w:after="0" w:line="290" w:lineRule="exact"/>
                    <w:ind w:right="1728"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Active transportation, such as walking or biking, to reach daily destinations can help integrate physical activity into everyday routines, but it requires safe, well-connected routes and nearby destinations.</w:t>
                  </w:r>
                </w:p>
                <w:p>
                  <w:pPr>
                    <w:spacing w:before="157"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Injuries are a leading cause of premature death. Motor vehicle crashes, falls, and overdoses are major contributors, with disparities affecting racial and ethnic minorities, older adults, and workers in high-risk occupations.</w:t>
                  </w:r>
                </w:p>
                <w:p>
                  <w:pPr>
                    <w:spacing w:before="230" w:after="0" w:line="246"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Opportunities for Active Transportation and Physical Activity</w:t>
                  </w:r>
                </w:p>
                <w:p>
                  <w:pPr>
                    <w:spacing w:before="229"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Focus groups report mixed experiences related to community amenities and social infrastructure</w:t>
                  </w:r>
                </w:p>
                <w:p>
                  <w:pPr>
                    <w:spacing w:before="71" w:after="345"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supporting health. As of 2024, the percentage of the population with adequate access to physical activity</w:t>
                  </w:r>
                </w:p>
              </w:txbxContent>
            </v:textbox>
          </v:shape>
        </w:pict>
      </w:r>
      <w:r>
        <w:pict>
          <v:shapetype id="_x0000_t511" coordsize="21600,21600" o:spt="202" path="m,l,21600r21600,l21600,xe">
            <v:stroke joinstyle="miter"/>
            <v:path gradientshapeok="t" o:connecttype="rect"/>
          </v:shapetype>
          <v:shape id="_x0000_s510" type="#_x0000_t511"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6"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51</w:t>
                  </w:r>
                  <w:r>
                    <w:rPr>
                      <w:rFonts w:ascii="Calibri" w:hAnsi="Calibri" w:eastAsia="Calibri"/>
                      <w:color w:val="000000"/>
                      <w:spacing w:val="0"/>
                      <w:w w:val="100"/>
                      <w:sz w:val="20"/>
                      <w:vertAlign w:val="baseline"/>
                      <w:lang w:val="en-US"/>
                    </w:rPr>
                    <w:t xml:space="preserve"> Source: Behavior Risk Factor Surveillance System (BRFSS), 2021</w:t>
                  </w:r>
                </w:p>
                <w:p>
                  <w:pPr>
                    <w:spacing w:before="39"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52</w:t>
                  </w:r>
                  <w:r>
                    <w:rPr>
                      <w:rFonts w:ascii="Calibri" w:hAnsi="Calibri" w:eastAsia="Calibri"/>
                      <w:color w:val="000000"/>
                      <w:spacing w:val="0"/>
                      <w:w w:val="100"/>
                      <w:sz w:val="20"/>
                      <w:vertAlign w:val="baseline"/>
                      <w:lang w:val="en-US"/>
                    </w:rPr>
                    <w:t xml:space="preserve"> Source: Behavior Risk Factor Surveillance System (BRFSS), 2021</w:t>
                  </w:r>
                </w:p>
                <w:p>
                  <w:pPr>
                    <w:spacing w:before="44" w:after="58"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53</w:t>
                  </w:r>
                  <w:r>
                    <w:rPr>
                      <w:rFonts w:ascii="Calibri" w:hAnsi="Calibri" w:eastAsia="Calibri"/>
                      <w:color w:val="000000"/>
                      <w:spacing w:val="0"/>
                      <w:w w:val="100"/>
                      <w:sz w:val="20"/>
                      <w:vertAlign w:val="baseline"/>
                      <w:lang w:val="en-US"/>
                    </w:rPr>
                    <w:t xml:space="preserve"> Source: </w:t>
                  </w:r>
                  <w:hyperlink r:id="dhId34">
                    <w:r>
                      <w:rPr>
                        <w:rFonts w:ascii="Calibri" w:hAnsi="Calibri" w:eastAsia="Calibri"/>
                        <w:color w:val="0000FF"/>
                        <w:spacing w:val="0"/>
                        <w:w w:val="100"/>
                        <w:sz w:val="20"/>
                        <w:u w:val="single"/>
                        <w:vertAlign w:val="baseline"/>
                        <w:lang w:val="en-US"/>
                      </w:rPr>
                      <w:t xml:space="preserve">https://www.cdc.gov/nutrition/php/about/index.html</w:t>
                    </w:r>
                  </w:hyperlink>
                  <w:r>
                    <w:rPr>
                      <w:rFonts w:ascii="Calibri" w:hAnsi="Calibri" w:eastAsia="Calibri"/>
                      <w:color w:val="000000"/>
                      <w:spacing w:val="0"/>
                      <w:w w:val="100"/>
                      <w:sz w:val="20"/>
                      <w:vertAlign w:val="baseline"/>
                      <w:lang w:val="en-US"/>
                    </w:rPr>
                    <w:t xml:space="preserve">
</w:t>
                  </w:r>
                </w:p>
              </w:txbxContent>
            </v:textbox>
          </v:shape>
        </w:pict>
      </w:r>
      <w:r>
        <w:pict>
          <v:shapetype id="_x0000_t512" coordsize="21600,21600" o:spt="202" path="m,l,21600r21600,l21600,xe">
            <v:stroke joinstyle="miter"/>
            <v:path gradientshapeok="t" o:connecttype="rect"/>
          </v:shapetype>
          <v:shape id="_x0000_s511" type="#_x0000_t512"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90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09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13" coordsize="21600,21600" o:spt="202" path="m,l,21600r21600,l21600,xe">
            <v:stroke joinstyle="miter"/>
            <v:path gradientshapeok="t" o:connecttype="rect"/>
          </v:shapetype>
          <v:shape id="_x0000_s512" type="#_x0000_t513"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51"/>
                              <a:graphic>
                                <a:graphicData uri="http://schemas.openxmlformats.org/drawingml/2006/picture">
                                  <pic:pic>
                                    <pic:nvPicPr>
                                      <pic:cNvPr id="151" name="Picture"/>
                                      <pic:cNvPicPr preferRelativeResize="false"/>
                                    </pic:nvPicPr>
                                    <pic:blipFill>
                                      <a:blip r:embed="prId151"/>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52"/>
                              <a:graphic>
                                <a:graphicData uri="http://schemas.openxmlformats.org/drawingml/2006/picture">
                                  <pic:pic>
                                    <pic:nvPicPr>
                                      <pic:cNvPr id="152" name="Picture"/>
                                      <pic:cNvPicPr preferRelativeResize="false"/>
                                    </pic:nvPicPr>
                                    <pic:blipFill>
                                      <a:blip r:embed="prId152"/>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514" coordsize="21600,21600" o:spt="202" path="m,l,21600r21600,l21600,xe">
            <v:stroke joinstyle="miter"/>
            <v:path gradientshapeok="t" o:connecttype="rect"/>
          </v:shapetype>
          <v:shape id="_x0000_s513" type="#_x0000_t514" filled="f" stroked="f" style="position:absolute;width:612pt;height:588.45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3"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locations is 44%. This has remained stable since 2022 but is well below the NYS average of 93%. Some residents praise the available nature trails and recreational spaces for opportunities to maintain health, while others cite a lack of such opportunities in more rural areas. Many focus group respondents note that the Village of Penn Yan has adequate access to amenities that promote health, such as the Yates Community Center. Participants also observed that agencies such as Yates County Public Health and the Yates Office for the Aging (OFA), administered by Pro Action of Steuben and Yates, Inc., provide ample support to the community as a whole.</w:t>
                  </w:r>
                </w:p>
                <w:p>
                  <w:pPr>
                    <w:spacing w:before="167"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However, these positive experiences are not shared equally throughout the county. Many respondents comment on a lack of health-supporting community amenities and social opportunities. One focus group participant noted that “if you live in Dundee...there is nothing to access </w:t>
                  </w:r>
                  <w:r>
                    <w:rPr>
                      <w:rFonts w:ascii="Calibri" w:hAnsi="Calibri" w:eastAsia="Calibri"/>
                      <w:i w:val="true"/>
                      <w:color w:val="000000"/>
                      <w:spacing w:val="0"/>
                      <w:w w:val="100"/>
                      <w:sz w:val="22"/>
                      <w:vertAlign w:val="baseline"/>
                      <w:lang w:val="en-US"/>
                    </w:rPr>
                    <w:t xml:space="preserve">inside </w:t>
                  </w:r>
                  <w:r>
                    <w:rPr>
                      <w:rFonts w:ascii="Calibri" w:hAnsi="Calibri" w:eastAsia="Calibri"/>
                      <w:color w:val="000000"/>
                      <w:spacing w:val="0"/>
                      <w:w w:val="100"/>
                      <w:sz w:val="22"/>
                      <w:vertAlign w:val="baseline"/>
                      <w:lang w:val="en-US"/>
                    </w:rPr>
                    <w:t xml:space="preserve">where people can have a social network”. Several other community members supported the notion that maintaining health outside of larger villages and towns is difficult, particularly in areas such as Branchport and Potter, which “need more resources for health”. This is reflected in data from 2022, when 27% of adults reported no leisure-time physical activity. This is slightly higher than the NYS average of 25% and an increase of 23% from 2021.</w:t>
                  </w:r>
                  <w:r>
                    <w:rPr>
                      <w:rFonts w:ascii="Calibri" w:hAnsi="Calibri" w:eastAsia="Calibri"/>
                      <w:color w:val="000000"/>
                      <w:spacing w:val="0"/>
                      <w:w w:val="100"/>
                      <w:sz w:val="22"/>
                      <w:vertAlign w:val="superscript"/>
                      <w:lang w:val="en-US"/>
                    </w:rPr>
                    <w:t xml:space="preserve">54</w:t>
                  </w:r>
                  <w:r>
                    <w:rPr>
                      <w:rFonts w:ascii="Calibri" w:hAnsi="Calibri" w:eastAsia="Calibri"/>
                      <w:color w:val="000000"/>
                      <w:spacing w:val="0"/>
                      <w:w w:val="100"/>
                      <w:sz w:val="22"/>
                      <w:vertAlign w:val="baseline"/>
                      <w:lang w:val="en-US"/>
                    </w:rPr>
                    <w:t xml:space="preserve"> A frequently expressed suggestion across multiple focus groups was the need for a community pool to help address gaps in health-promoting amenities. The disparity between more populated areas and their more rural counterparts emphasizes an opportunity to support recreation, social connection, and safety measures in less populated communities.</w:t>
                  </w:r>
                </w:p>
                <w:p>
                  <w:pPr>
                    <w:spacing w:before="167"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addition to concerns about health-supporting community amenities, focus group members repeatedly noted a need for improvements to county-wide built infrastructure. </w:t>
                  </w:r>
                  <w:r>
                    <w:rPr>
                      <w:rFonts w:ascii="Calibri" w:hAnsi="Calibri" w:eastAsia="Calibri"/>
                      <w:color w:val="000000"/>
                      <w:spacing w:val="0"/>
                      <w:w w:val="100"/>
                      <w:sz w:val="22"/>
                      <w:vertAlign w:val="superscript"/>
                      <w:lang w:val="en-US"/>
                    </w:rPr>
                    <w:t xml:space="preserve">55</w:t>
                  </w:r>
                  <w:r>
                    <w:rPr>
                      <w:rFonts w:ascii="Calibri" w:hAnsi="Calibri" w:eastAsia="Calibri"/>
                      <w:color w:val="000000"/>
                      <w:spacing w:val="0"/>
                      <w:w w:val="100"/>
                      <w:sz w:val="22"/>
                      <w:vertAlign w:val="baseline"/>
                      <w:lang w:val="en-US"/>
                    </w:rPr>
                    <w:t xml:space="preserve"> Many neighborhoods lack accessible sidewalks, causing pedestrians to walk in the streets. This is reflected in a poor Walkability Index (3.67 out of 20).</w:t>
                  </w:r>
                  <w:r>
                    <w:rPr>
                      <w:rFonts w:ascii="Calibri" w:hAnsi="Calibri" w:eastAsia="Calibri"/>
                      <w:color w:val="000000"/>
                      <w:spacing w:val="0"/>
                      <w:w w:val="100"/>
                      <w:sz w:val="22"/>
                      <w:vertAlign w:val="superscript"/>
                      <w:lang w:val="en-US"/>
                    </w:rPr>
                    <w:t xml:space="preserve">56</w:t>
                  </w:r>
                  <w:r>
                    <w:rPr>
                      <w:rFonts w:ascii="Calibri" w:hAnsi="Calibri" w:eastAsia="Calibri"/>
                      <w:color w:val="000000"/>
                      <w:spacing w:val="0"/>
                      <w:w w:val="100"/>
                      <w:sz w:val="22"/>
                      <w:vertAlign w:val="baseline"/>
                      <w:lang w:val="en-US"/>
                    </w:rPr>
                    <w:t xml:space="preserve">The National Walkability Index accounts for the built environment’s effect on the probability that a person will walk as a mode of transportation and reflects street intersection density, proximity to transit stops, and land-use diversity.</w:t>
                  </w:r>
                  <w:r>
                    <w:rPr>
                      <w:rFonts w:ascii="Calibri" w:hAnsi="Calibri" w:eastAsia="Calibri"/>
                      <w:color w:val="000000"/>
                      <w:spacing w:val="0"/>
                      <w:w w:val="100"/>
                      <w:sz w:val="22"/>
                      <w:vertAlign w:val="superscript"/>
                      <w:lang w:val="en-US"/>
                    </w:rPr>
                    <w:t xml:space="preserve">57</w:t>
                  </w:r>
                  <w:r>
                    <w:rPr>
                      <w:rFonts w:ascii="Calibri" w:hAnsi="Calibri" w:eastAsia="Calibri"/>
                      <w:color w:val="000000"/>
                      <w:spacing w:val="0"/>
                      <w:w w:val="100"/>
                      <w:sz w:val="22"/>
                      <w:vertAlign w:val="baseline"/>
                      <w:lang w:val="en-US"/>
                    </w:rPr>
                    <w:t xml:space="preserve"> The low walkability index in Yates County raises concern for the 13% of residents without access to a vehicle, who may face transportation challenges</w:t>
                  </w:r>
                  <w:r>
                    <w:rPr>
                      <w:rFonts w:ascii="Calibri" w:hAnsi="Calibri" w:eastAsia="Calibri"/>
                      <w:b w:val="true"/>
                      <w:color w:val="000000"/>
                      <w:spacing w:val="0"/>
                      <w:w w:val="100"/>
                      <w:sz w:val="21"/>
                      <w:vertAlign w:val="baseline"/>
                      <w:lang w:val="en-US"/>
                    </w:rPr>
                    <w:t xml:space="preserve">. </w:t>
                  </w:r>
                  <w:r>
                    <w:rPr>
                      <w:rFonts w:ascii="Calibri" w:hAnsi="Calibri" w:eastAsia="Calibri"/>
                      <w:color w:val="000000"/>
                      <w:spacing w:val="0"/>
                      <w:w w:val="100"/>
                      <w:sz w:val="22"/>
                      <w:vertAlign w:val="baseline"/>
                      <w:lang w:val="en-US"/>
                    </w:rPr>
                    <w:t xml:space="preserve">Residents recognized improvements made, specifically in Dundee, but would like to see these projects continued.</w:t>
                  </w:r>
                </w:p>
                <w:p>
                  <w:pPr>
                    <w:spacing w:before="157"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Other concerns, such as speeding, poor signage, and unsafe roads, especially near playgrounds and schools, are widely noted. Road and sidewalk safety are compounded by increased traffic during the tourist season and horse-and-buggy use from the large Mennonite community. Many residents express the need for an allotted bike and/or horse and buggy lane to improve safety for all when traveling. Overall, residents express a strong desire for traffic calming, better signage, and safer pedestrian environments.</w:t>
                  </w:r>
                </w:p>
                <w:p>
                  <w:pPr>
                    <w:spacing w:before="151" w:after="422" w:line="289" w:lineRule="exact"/>
                    <w:ind w:right="1584"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Accessibility for those with mobility differences and the need for assistive devices was raised as a concern. Residents noted accessibility is limited by a lack of ramps and safe infrastructure. Several anecdotes were shared about experiences with limited accessibility, especially in downtown Penn Yan. Limited accessibility is compounded by poor lighting, poorly maintained sidewalks and roads, and a lack</w:t>
                  </w:r>
                </w:p>
              </w:txbxContent>
            </v:textbox>
          </v:shape>
        </w:pict>
      </w:r>
      <w:r>
        <w:pict>
          <v:shapetype id="_x0000_t515" coordsize="21600,21600" o:spt="202" path="m,l,21600r21600,l21600,xe">
            <v:stroke joinstyle="miter"/>
            <v:path gradientshapeok="t" o:connecttype="rect"/>
          </v:shapetype>
          <v:shape id="_x0000_s514" type="#_x0000_t515" filled="f" stroked="f" style="position:absolute;width:612pt;height:58.35pt;z-index:1;margin-left:0pt;margin-top:658.5pt;mso-wrap-distance-left:0pt;mso-wrap-distance-right:0pt;mso-position-horizontal-relative:page;mso-position-vertical-relative:page">
            <w10:wrap anchorx="page" anchory="page"/>
            <v:fill opacity="1" o:opacity2="1" recolor="f" rotate="f" type="solid"/>
            <v:textbox inset="0pt, 0pt, 0pt, 0pt">
              <w:txbxContent>
                <w:p>
                  <w:pPr>
                    <w:spacing w:before="148" w:after="0" w:line="199"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54</w:t>
                  </w:r>
                  <w:r>
                    <w:rPr>
                      <w:rFonts w:ascii="Calibri" w:hAnsi="Calibri" w:eastAsia="Calibri"/>
                      <w:color w:val="000000"/>
                      <w:spacing w:val="3"/>
                      <w:w w:val="100"/>
                      <w:sz w:val="19"/>
                      <w:vertAlign w:val="baseline"/>
                      <w:lang w:val="en-US"/>
                    </w:rPr>
                    <w:t xml:space="preserve"> Sources: U.S. Census, County Health Rankings, EPA Office of Community Revitalization</w:t>
                  </w:r>
                </w:p>
                <w:p>
                  <w:pPr>
                    <w:spacing w:before="39" w:after="0" w:line="225"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55</w:t>
                  </w:r>
                  <w:r>
                    <w:rPr>
                      <w:rFonts w:ascii="Calibri" w:hAnsi="Calibri" w:eastAsia="Calibri"/>
                      <w:color w:val="000000"/>
                      <w:spacing w:val="0"/>
                      <w:w w:val="100"/>
                      <w:sz w:val="19"/>
                      <w:vertAlign w:val="baseline"/>
                      <w:lang w:val="en-US"/>
                    </w:rPr>
                    <w:t xml:space="preserve"> Source: </w:t>
                  </w:r>
                  <w:r>
                    <w:rPr>
                      <w:rFonts w:ascii="Calibri" w:hAnsi="Calibri" w:eastAsia="Calibri"/>
                      <w:color w:val="000000"/>
                      <w:spacing w:val="0"/>
                      <w:w w:val="100"/>
                      <w:sz w:val="22"/>
                      <w:vertAlign w:val="baseline"/>
                      <w:lang w:val="en-US"/>
                    </w:rPr>
                    <w:t xml:space="preserve">EPA Office of Community Revitalization, 2021</w:t>
                  </w:r>
                </w:p>
                <w:p>
                  <w:pPr>
                    <w:spacing w:before="45" w:after="0" w:line="200"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56</w:t>
                  </w:r>
                  <w:r>
                    <w:rPr>
                      <w:rFonts w:ascii="Calibri" w:hAnsi="Calibri" w:eastAsia="Calibri"/>
                      <w:color w:val="000000"/>
                      <w:spacing w:val="3"/>
                      <w:w w:val="100"/>
                      <w:sz w:val="19"/>
                      <w:vertAlign w:val="baseline"/>
                      <w:lang w:val="en-US"/>
                    </w:rPr>
                    <w:t xml:space="preserve"> Source: National Walkability Index Methodology and User Guide</w:t>
                  </w:r>
                </w:p>
                <w:p>
                  <w:pPr>
                    <w:spacing w:before="45" w:after="58" w:line="199"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57</w:t>
                  </w:r>
                  <w:r>
                    <w:rPr>
                      <w:rFonts w:ascii="Calibri" w:hAnsi="Calibri" w:eastAsia="Calibri"/>
                      <w:color w:val="000000"/>
                      <w:spacing w:val="3"/>
                      <w:w w:val="100"/>
                      <w:sz w:val="19"/>
                      <w:vertAlign w:val="baseline"/>
                      <w:lang w:val="en-US"/>
                    </w:rPr>
                    <w:t xml:space="preserve"> Source: EPA Office of Community Revitalization, 2021</w:t>
                  </w:r>
                </w:p>
              </w:txbxContent>
            </v:textbox>
          </v:shape>
        </w:pict>
      </w:r>
      <w:r>
        <w:pict>
          <v:shapetype id="_x0000_t516" coordsize="21600,21600" o:spt="202" path="m,l,21600r21600,l21600,xe">
            <v:stroke joinstyle="miter"/>
            <v:path gradientshapeok="t" o:connecttype="rect"/>
          </v:shapetype>
          <v:shape id="_x0000_s515" type="#_x0000_t51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91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59.05pt" to="216.3pt,659.0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17" coordsize="21600,21600" o:spt="202" path="m,l,21600r21600,l21600,xe">
            <v:stroke joinstyle="miter"/>
            <v:path gradientshapeok="t" o:connecttype="rect"/>
          </v:shapetype>
          <v:shape id="_x0000_s516" type="#_x0000_t51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53"/>
                              <a:graphic>
                                <a:graphicData uri="http://schemas.openxmlformats.org/drawingml/2006/picture">
                                  <pic:pic>
                                    <pic:nvPicPr>
                                      <pic:cNvPr id="153" name="Picture"/>
                                      <pic:cNvPicPr preferRelativeResize="false"/>
                                    </pic:nvPicPr>
                                    <pic:blipFill>
                                      <a:blip r:embed="prId15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54"/>
                              <a:graphic>
                                <a:graphicData uri="http://schemas.openxmlformats.org/drawingml/2006/picture">
                                  <pic:pic>
                                    <pic:nvPicPr>
                                      <pic:cNvPr id="154" name="Picture"/>
                                      <pic:cNvPicPr preferRelativeResize="false"/>
                                    </pic:nvPicPr>
                                    <pic:blipFill>
                                      <a:blip r:embed="prId154"/>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18" coordsize="21600,21600" o:spt="202" path="m,l,21600r21600,l21600,xe">
            <v:stroke joinstyle="miter"/>
            <v:path gradientshapeok="t" o:connecttype="rect"/>
          </v:shapetype>
          <v:shape id="_x0000_s517" type="#_x0000_t518" filled="f" stroked="f" style="position:absolute;width:612pt;height:614.1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7"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of accessibility buttons for doors. Residents collectively express a desire for safer, more inclusive, and better lit areas for activity. Access to safe spaces for physical activity, transportation options, and walkable environments directly affects residents’ ability to maintain regular exercise. Low physical activity is linked to higher risks of obesity, heart disease, diabetes, mental health issues, and overall premature mortality. Limited walkability and inadequate access to activity locations or transportation can create barriers to healthy lifestyles, contributing to long-term health disparities in the community.</w:t>
                  </w:r>
                  <w:r>
                    <w:rPr>
                      <w:rFonts w:ascii="Calibri" w:hAnsi="Calibri" w:eastAsia="Calibri"/>
                      <w:color w:val="000000"/>
                      <w:spacing w:val="-2"/>
                      <w:w w:val="100"/>
                      <w:sz w:val="22"/>
                      <w:vertAlign w:val="superscript"/>
                      <w:lang w:val="en-US"/>
                    </w:rPr>
                    <w:t xml:space="preserve">58</w:t>
                  </w:r>
                  <w:r>
                    <w:rPr>
                      <w:rFonts w:ascii="Calibri" w:hAnsi="Calibri" w:eastAsia="Calibri"/>
                      <w:color w:val="000000"/>
                      <w:spacing w:val="-2"/>
                      <w:w w:val="100"/>
                      <w:sz w:val="14"/>
                      <w:vertAlign w:val="baseline"/>
                      <w:lang w:val="en-US"/>
                    </w:rPr>
                    <w:t xml:space="preserve">
</w:t>
                  </w:r>
                </w:p>
                <w:p>
                  <w:pPr>
                    <w:spacing w:before="225"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Access to Community Services and Support</w:t>
                  </w:r>
                </w:p>
                <w:p>
                  <w:pPr>
                    <w:spacing w:before="171"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Social Vulnerability Index (SVI) is a composite measure reflecting factors such as poverty, unemployment, housing, disability, minority status, and access to transportation. It is used to identify communities that may need additional support during emergencies or public health interventions. SVI is measured from 0 to 1, with values closer to zero indicating less vulnerability. Yates County’s SVI was 0.6066 as measured in 2022, indicating moderate social vulnerability. This is an improvement from an SVI of 0.7377 in 2014, but a poorer score than the 2018 score of 0.4918. This fluctuation represents changes in the community, with recent progress in addressing underlying risk factors.</w:t>
                  </w:r>
                </w:p>
                <w:p>
                  <w:pPr>
                    <w:spacing w:before="166"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Civic engagement and strong community networks, such as high voter participation and membership in organizations, help build social cohesion, improve disaster preparedness, and support collective action during crises. Civic engagement may be measured as voting, volunteering, and participating in community events. The percentage of the voting-age population who voted in the 2020 presidential election was 56.2%. Per the National County Health Rankings, Yates County has 11.9 membership organizations per 10,000 people, representing civic, political, religious, sports, and professional organizations.</w:t>
                  </w:r>
                  <w:r>
                    <w:rPr>
                      <w:rFonts w:ascii="Calibri" w:hAnsi="Calibri" w:eastAsia="Calibri"/>
                      <w:color w:val="000000"/>
                      <w:spacing w:val="0"/>
                      <w:w w:val="100"/>
                      <w:sz w:val="22"/>
                      <w:vertAlign w:val="superscript"/>
                      <w:lang w:val="en-US"/>
                    </w:rPr>
                    <w:t xml:space="preserve">13</w:t>
                  </w:r>
                  <w:r>
                    <w:rPr>
                      <w:rFonts w:ascii="Calibri" w:hAnsi="Calibri" w:eastAsia="Calibri"/>
                      <w:color w:val="000000"/>
                      <w:spacing w:val="0"/>
                      <w:w w:val="100"/>
                      <w:sz w:val="14"/>
                      <w:vertAlign w:val="baseline"/>
                      <w:lang w:val="en-US"/>
                    </w:rPr>
                    <w:t xml:space="preserve">
</w:t>
                  </w:r>
                </w:p>
                <w:p>
                  <w:pPr>
                    <w:spacing w:before="166"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Examining the SVI and civic engagement together can help us predict how the community might respond to challenges, such as a disaster or emergency. A community with a higher SVI may face a greater risk of harm and slower recovery, while a community with strong civic engagement may have more community support to respond to the challenges. Yates County’s relatively low SVI and strong civic involvement suggest it has a solid foundation to respond to community challenges, though vulnerabilities still exist for certain populations.</w:t>
                  </w:r>
                  <w:r>
                    <w:rPr>
                      <w:rFonts w:ascii="Calibri" w:hAnsi="Calibri" w:eastAsia="Calibri"/>
                      <w:color w:val="000000"/>
                      <w:spacing w:val="0"/>
                      <w:w w:val="100"/>
                      <w:sz w:val="22"/>
                      <w:vertAlign w:val="superscript"/>
                      <w:lang w:val="en-US"/>
                    </w:rPr>
                    <w:t xml:space="preserve">59</w:t>
                  </w:r>
                  <w:r>
                    <w:rPr>
                      <w:rFonts w:ascii="Calibri" w:hAnsi="Calibri" w:eastAsia="Calibri"/>
                      <w:color w:val="000000"/>
                      <w:spacing w:val="0"/>
                      <w:w w:val="100"/>
                      <w:sz w:val="14"/>
                      <w:vertAlign w:val="baseline"/>
                      <w:lang w:val="en-US"/>
                    </w:rPr>
                    <w:t xml:space="preserve">
</w:t>
                  </w:r>
                </w:p>
                <w:p>
                  <w:pPr>
                    <w:spacing w:before="226"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Injuries and Violence</w:t>
                  </w:r>
                </w:p>
                <w:p>
                  <w:pPr>
                    <w:spacing w:before="169" w:after="2006"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Unintentional injury death is the third leading cause of death in Yates County. </w:t>
                  </w:r>
                  <w:r>
                    <w:rPr>
                      <w:rFonts w:ascii="Arial" w:hAnsi="Arial" w:eastAsia="Arial"/>
                      <w:color w:val="000000"/>
                      <w:spacing w:val="0"/>
                      <w:w w:val="100"/>
                      <w:sz w:val="22"/>
                      <w:vertAlign w:val="baseline"/>
                      <w:lang w:val="en-US"/>
                    </w:rPr>
                    <w:t xml:space="preserve">Death resulting from f</w:t>
                  </w:r>
                  <w:r>
                    <w:rPr>
                      <w:rFonts w:ascii="Calibri" w:hAnsi="Calibri" w:eastAsia="Calibri"/>
                      <w:color w:val="000000"/>
                      <w:spacing w:val="0"/>
                      <w:w w:val="100"/>
                      <w:sz w:val="22"/>
                      <w:vertAlign w:val="baseline"/>
                      <w:lang w:val="en-US"/>
                    </w:rPr>
                    <w:t xml:space="preserve">irearms and motor vehicle crashes are above state rates and increasing. Overall, injury and violence-related deaths are a growing threat to community health and safety. Table Y3 details age-adjusted injury and violence death rates per 100,000 population.</w:t>
                  </w:r>
                </w:p>
              </w:txbxContent>
            </v:textbox>
          </v:shape>
        </w:pict>
      </w:r>
      <w:r>
        <w:pict>
          <v:shapetype id="_x0000_t519" coordsize="21600,21600" o:spt="202" path="m,l,21600r21600,l21600,xe">
            <v:stroke joinstyle="miter"/>
            <v:path gradientshapeok="t" o:connecttype="rect"/>
          </v:shapetype>
          <v:shape id="_x0000_s518" type="#_x0000_t519" filled="f" stroked="f" style="position:absolute;width:612pt;height:32.7pt;z-index:1;margin-left:0pt;margin-top:684.15pt;mso-wrap-distance-left:0pt;mso-wrap-distance-right:0pt;mso-position-horizontal-relative:page;mso-position-vertical-relative:page">
            <w10:wrap anchorx="page" anchory="page"/>
            <v:fill opacity="1" o:opacity2="1" recolor="f" rotate="f" type="solid"/>
            <v:textbox inset="0pt, 0pt, 0pt, 0pt">
              <w:txbxContent>
                <w:p>
                  <w:pPr>
                    <w:spacing w:before="143" w:after="0"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58</w:t>
                  </w:r>
                  <w:r>
                    <w:rPr>
                      <w:rFonts w:ascii="Calibri" w:hAnsi="Calibri" w:eastAsia="Calibri"/>
                      <w:color w:val="000000"/>
                      <w:spacing w:val="0"/>
                      <w:w w:val="100"/>
                      <w:sz w:val="20"/>
                      <w:vertAlign w:val="baseline"/>
                      <w:lang w:val="en-US"/>
                    </w:rPr>
                    <w:t xml:space="preserve"> Source: </w:t>
                  </w:r>
                  <w:hyperlink r:id="dhId35">
                    <w:r>
                      <w:rPr>
                        <w:rFonts w:ascii="Calibri" w:hAnsi="Calibri" w:eastAsia="Calibri"/>
                        <w:color w:val="0000FF"/>
                        <w:spacing w:val="0"/>
                        <w:w w:val="100"/>
                        <w:sz w:val="20"/>
                        <w:u w:val="single"/>
                        <w:vertAlign w:val="baseline"/>
                        <w:lang w:val="en-US"/>
                      </w:rPr>
                      <w:t xml:space="preserve">https://www.who.int/news-room/fact-sheets/detail/physical-activity</w:t>
                    </w:r>
                  </w:hyperlink>
                  <w:r>
                    <w:rPr>
                      <w:rFonts w:ascii="Calibri" w:hAnsi="Calibri" w:eastAsia="Calibri"/>
                      <w:color w:val="000000"/>
                      <w:spacing w:val="0"/>
                      <w:w w:val="100"/>
                      <w:sz w:val="20"/>
                      <w:vertAlign w:val="baseline"/>
                      <w:lang w:val="en-US"/>
                    </w:rPr>
                    <w:t xml:space="preserve">
</w:t>
                  </w:r>
                </w:p>
                <w:p>
                  <w:pPr>
                    <w:spacing w:before="42" w:after="58" w:line="202"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59</w:t>
                  </w:r>
                  <w:r>
                    <w:rPr>
                      <w:rFonts w:ascii="Calibri" w:hAnsi="Calibri" w:eastAsia="Calibri"/>
                      <w:color w:val="000000"/>
                      <w:spacing w:val="0"/>
                      <w:w w:val="100"/>
                      <w:sz w:val="20"/>
                      <w:vertAlign w:val="baseline"/>
                      <w:lang w:val="en-US"/>
                    </w:rPr>
                    <w:t xml:space="preserve"> Source: County Health Rankings.</w:t>
                  </w:r>
                </w:p>
              </w:txbxContent>
            </v:textbox>
          </v:shape>
        </w:pict>
      </w:r>
      <w:r>
        <w:pict>
          <v:shapetype id="_x0000_t520" coordsize="21600,21600" o:spt="202" path="m,l,21600r21600,l21600,xe">
            <v:stroke joinstyle="miter"/>
            <v:path gradientshapeok="t" o:connecttype="rect"/>
          </v:shapetype>
          <v:shape id="_x0000_s519" type="#_x0000_t52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92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84.7pt" to="216.3pt,684.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21" coordsize="21600,21600" o:spt="202" path="m,l,21600r21600,l21600,xe">
            <v:stroke joinstyle="miter"/>
            <v:path gradientshapeok="t" o:connecttype="rect"/>
          </v:shapetype>
          <v:shape id="_x0000_s520" type="#_x0000_t521"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55"/>
                              <a:graphic>
                                <a:graphicData uri="http://schemas.openxmlformats.org/drawingml/2006/picture">
                                  <pic:pic>
                                    <pic:nvPicPr>
                                      <pic:cNvPr id="155" name="Picture"/>
                                      <pic:cNvPicPr preferRelativeResize="false"/>
                                    </pic:nvPicPr>
                                    <pic:blipFill>
                                      <a:blip r:embed="prId155"/>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56"/>
                              <a:graphic>
                                <a:graphicData uri="http://schemas.openxmlformats.org/drawingml/2006/picture">
                                  <pic:pic>
                                    <pic:nvPicPr>
                                      <pic:cNvPr id="156" name="Picture"/>
                                      <pic:cNvPicPr preferRelativeResize="false"/>
                                    </pic:nvPicPr>
                                    <pic:blipFill>
                                      <a:blip r:embed="prId156"/>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522" coordsize="21600,21600" o:spt="202" path="m,l,21600r21600,l21600,xe">
            <v:stroke joinstyle="miter"/>
            <v:path gradientshapeok="t" o:connecttype="rect"/>
          </v:shapetype>
          <v:shape id="_x0000_s521" type="#_x0000_t522" filled="f" stroked="f" style="position:absolute;width:612pt;height:19.6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0" w:after="186" w:line="180"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Table Y3. Rates of Age-Adjusted Cause of Death (measured per 100,000 population)</w:t>
                  </w:r>
                </w:p>
              </w:txbxContent>
            </v:textbox>
          </v:shape>
        </w:pict>
      </w:r>
      <w:r>
        <w:pict>
          <v:shapetype id="_x0000_t523" coordsize="21600,21600" o:spt="202" path="m,l,21600r21600,l21600,xe">
            <v:stroke joinstyle="miter"/>
            <v:path gradientshapeok="t" o:connecttype="rect"/>
          </v:shapetype>
          <v:shape id="_x0000_s522" type="#_x0000_t523" filled="f" stroked="f" style="position:absolute;width:612pt;height:240.8pt;z-index:1;margin-left:0pt;margin-top:91.7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3028"/>
                    <w:gridCol w:w="1479"/>
                    <w:gridCol w:w="1877"/>
                    <w:gridCol w:w="5856"/>
                  </w:tblGrid>
                  <w:tr>
                    <w:trPr>
                      <w:trHeight w:val="538" w:hRule="exact"/>
                    </w:trPr>
                    <w:tc>
                      <w:tcPr>
                        <w:tcW w:w="12240" w:type="dxa"/>
                        <w:gridSpan w:val="4"/>
                        <w:tcBorders>
                          <w:top w:val="none"/>
                          <w:left w:val="none"/>
                          <w:bottom w:val="none"/>
                          <w:right w:val="none"/>
                        </w:tcBorders>
                        <w:shd w:val="clear" w:color="145F82" w:fill="145F82"/>
                        <w:textDirection w:val="lrTb"/>
                        <w:vAlign w:val="top"/>
                      </w:tcPr>
                      <w:p>
                        <w:pPr>
                          <w:tabs>
                            <w:tab w:val="left" w:leader="none" w:pos="4752"/>
                            <w:tab w:val="left" w:leader="none" w:pos="8208"/>
                          </w:tabs>
                          <w:spacing w:before="0" w:after="0" w:line="226" w:lineRule="exact"/>
                          <w:ind w:right="312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Incidence	</w:t>
                        </w:r>
                        <w:r>
                          <w:rPr>
                            <w:rFonts w:ascii="Calibri" w:hAnsi="Calibri" w:eastAsia="Calibri"/>
                            <w:b w:val="true"/>
                            <w:color w:val="FFFFFF"/>
                            <w:spacing w:val="0"/>
                            <w:w w:val="100"/>
                            <w:sz w:val="22"/>
                            <w:vertAlign w:val="baseline"/>
                            <w:lang w:val="en-US"/>
                          </w:rPr>
                          <w:t xml:space="preserve">% change from	</w:t>
                        </w:r>
                        <w:r>
                          <w:rPr>
                            <w:rFonts w:ascii="Calibri" w:hAnsi="Calibri" w:eastAsia="Calibri"/>
                            <w:b w:val="true"/>
                            <w:color w:val="FFFFFF"/>
                            <w:spacing w:val="0"/>
                            <w:w w:val="100"/>
                            <w:sz w:val="22"/>
                            <w:vertAlign w:val="baseline"/>
                            <w:lang w:val="en-US"/>
                          </w:rPr>
                          <w:t xml:space="preserve">Definition</w:t>
                        </w:r>
                      </w:p>
                      <w:p>
                        <w:pPr>
                          <w:tabs>
                            <w:tab w:val="left" w:leader="none" w:pos="5256"/>
                          </w:tabs>
                          <w:spacing w:before="38" w:after="11" w:line="225" w:lineRule="exact"/>
                          <w:ind w:right="654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Rate (2022)	</w:t>
                        </w:r>
                        <w:r>
                          <w:rPr>
                            <w:rFonts w:ascii="Calibri" w:hAnsi="Calibri" w:eastAsia="Calibri"/>
                            <w:b w:val="true"/>
                            <w:color w:val="FFFFFF"/>
                            <w:spacing w:val="0"/>
                            <w:w w:val="100"/>
                            <w:sz w:val="22"/>
                            <w:vertAlign w:val="baseline"/>
                            <w:lang w:val="en-US"/>
                          </w:rPr>
                          <w:t xml:space="preserve">2018</w:t>
                        </w:r>
                      </w:p>
                    </w:tc>
                  </w:tr>
                  <w:tr>
                    <w:trPr>
                      <w:trHeight w:val="1080" w:hRule="exact"/>
                    </w:trPr>
                    <w:tc>
                      <w:tcPr>
                        <w:tcW w:w="3028" w:type="dxa"/>
                        <w:tcBorders>
                          <w:top w:val="none"/>
                          <w:left w:val="none"/>
                          <w:bottom w:val="none"/>
                          <w:right w:val="none"/>
                        </w:tcBorders>
                        <w:shd w:val="clear" w:color="145F82" w:fill="145F82"/>
                        <w:textDirection w:val="lrTb"/>
                        <w:vAlign w:val="center"/>
                      </w:tcPr>
                      <w:p>
                        <w:pPr>
                          <w:spacing w:before="260" w:after="274" w:line="268" w:lineRule="exact"/>
                          <w:ind w:right="0" w:left="1656"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Unintentional Injury Death</w:t>
                        </w:r>
                      </w:p>
                    </w:tc>
                    <w:tc>
                      <w:tcPr>
                        <w:tcW w:w="1479" w:type="dxa"/>
                        <w:tcBorders>
                          <w:top w:val="none"/>
                          <w:left w:val="none"/>
                          <w:bottom w:val="none"/>
                          <w:right w:val="none"/>
                        </w:tcBorders>
                        <w:shd w:val="clear" w:color="83C9EB" w:fill="83C9EB"/>
                        <w:textDirection w:val="lrTb"/>
                        <w:vAlign w:val="center"/>
                      </w:tcPr>
                      <w:p>
                        <w:pPr>
                          <w:spacing w:before="436" w:after="41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80.3</w:t>
                        </w:r>
                      </w:p>
                    </w:tc>
                    <w:tc>
                      <w:tcPr>
                        <w:tcW w:w="1877" w:type="dxa"/>
                        <w:tcBorders>
                          <w:top w:val="none"/>
                          <w:left w:val="none"/>
                          <w:bottom w:val="none"/>
                          <w:right w:val="none"/>
                        </w:tcBorders>
                        <w:shd w:val="clear" w:color="83C9EB" w:fill="83C9EB"/>
                        <w:textDirection w:val="lrTb"/>
                        <w:vAlign w:val="center"/>
                      </w:tcPr>
                      <w:p>
                        <w:pPr>
                          <w:spacing w:before="436" w:after="41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+267%</w:t>
                        </w:r>
                      </w:p>
                    </w:tc>
                    <w:tc>
                      <w:tcPr>
                        <w:tcW w:w="5856" w:type="dxa"/>
                        <w:tcBorders>
                          <w:top w:val="none"/>
                          <w:left w:val="none"/>
                          <w:bottom w:val="none"/>
                          <w:right w:val="none"/>
                        </w:tcBorders>
                        <w:shd w:val="clear" w:color="83C9EB" w:fill="83C9EB"/>
                        <w:textDirection w:val="lrTb"/>
                        <w:vAlign w:val="top"/>
                      </w:tcPr>
                      <w:p>
                        <w:pPr>
                          <w:spacing w:before="0" w:after="10" w:line="265"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Injury resulting in death that are unplanned and</w:t>
                          <w:br/>
                        </w:r>
                        <w:r>
                          <w:rPr>
                            <w:rFonts w:ascii="Calibri" w:hAnsi="Calibri" w:eastAsia="Calibri"/>
                            <w:color w:val="000000"/>
                            <w:spacing w:val="0"/>
                            <w:w w:val="100"/>
                            <w:sz w:val="22"/>
                            <w:vertAlign w:val="baseline"/>
                            <w:lang w:val="en-US"/>
                          </w:rPr>
                          <w:t xml:space="preserve">often</w:t>
                          <w:br/>
                        </w:r>
                        <w:r>
                          <w:rPr>
                            <w:rFonts w:ascii="Calibri" w:hAnsi="Calibri" w:eastAsia="Calibri"/>
                            <w:color w:val="000000"/>
                            <w:spacing w:val="0"/>
                            <w:w w:val="100"/>
                            <w:sz w:val="22"/>
                            <w:vertAlign w:val="baseline"/>
                            <w:lang w:val="en-US"/>
                          </w:rPr>
                          <w:t xml:space="preserve">preventable (i.e., poisonings, vehicle accidents,</w:t>
                          <w:br/>
                        </w:r>
                        <w:r>
                          <w:rPr>
                            <w:rFonts w:ascii="Calibri" w:hAnsi="Calibri" w:eastAsia="Calibri"/>
                            <w:color w:val="000000"/>
                            <w:spacing w:val="0"/>
                            <w:w w:val="100"/>
                            <w:sz w:val="22"/>
                            <w:vertAlign w:val="baseline"/>
                            <w:lang w:val="en-US"/>
                          </w:rPr>
                          <w:t xml:space="preserve">drowning, fires, farm equipment, falls, etc.)</w:t>
                        </w:r>
                      </w:p>
                    </w:tc>
                  </w:tr>
                  <w:tr>
                    <w:trPr>
                      <w:trHeight w:val="547" w:hRule="exact"/>
                    </w:trPr>
                    <w:tc>
                      <w:tcPr>
                        <w:tcW w:w="3028" w:type="dxa"/>
                        <w:tcBorders>
                          <w:top w:val="none"/>
                          <w:left w:val="none"/>
                          <w:bottom w:val="none"/>
                          <w:right w:val="none"/>
                        </w:tcBorders>
                        <w:shd w:val="clear" w:color="145F82" w:fill="145F82"/>
                        <w:textDirection w:val="lrTb"/>
                        <w:vAlign w:val="top"/>
                      </w:tcPr>
                      <w:p>
                        <w:pPr>
                          <w:spacing w:before="0" w:after="6" w:line="265" w:lineRule="exact"/>
                          <w:ind w:right="0" w:left="1872" w:hanging="216"/>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Death due to Firearms</w:t>
                        </w:r>
                      </w:p>
                    </w:tc>
                    <w:tc>
                      <w:tcPr>
                        <w:tcW w:w="1479" w:type="dxa"/>
                        <w:tcBorders>
                          <w:top w:val="none"/>
                          <w:left w:val="none"/>
                          <w:bottom w:val="none"/>
                          <w:right w:val="none"/>
                        </w:tcBorders>
                        <w:shd w:val="clear" w:color="C1E3F5" w:fill="C1E3F5"/>
                        <w:textDirection w:val="lrTb"/>
                        <w:vAlign w:val="center"/>
                      </w:tcPr>
                      <w:p>
                        <w:pPr>
                          <w:spacing w:before="172" w:after="1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9</w:t>
                        </w:r>
                      </w:p>
                    </w:tc>
                    <w:tc>
                      <w:tcPr>
                        <w:tcW w:w="1877" w:type="dxa"/>
                        <w:tcBorders>
                          <w:top w:val="none"/>
                          <w:left w:val="none"/>
                          <w:bottom w:val="none"/>
                          <w:right w:val="none"/>
                        </w:tcBorders>
                        <w:shd w:val="clear" w:color="C1E3F5" w:fill="C1E3F5"/>
                        <w:textDirection w:val="lrTb"/>
                        <w:vAlign w:val="top"/>
                      </w:tcPr>
                      <w:p>
                        <w:pPr>
                          <w:spacing w:before="0" w:after="11" w:line="263"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 baseline data</w:t>
                          <w:br/>
                        </w:r>
                        <w:r>
                          <w:rPr>
                            <w:rFonts w:ascii="Calibri" w:hAnsi="Calibri" w:eastAsia="Calibri"/>
                            <w:color w:val="000000"/>
                            <w:spacing w:val="0"/>
                            <w:w w:val="100"/>
                            <w:sz w:val="22"/>
                            <w:vertAlign w:val="baseline"/>
                            <w:lang w:val="en-US"/>
                          </w:rPr>
                          <w:t xml:space="preserve">available</w:t>
                        </w:r>
                      </w:p>
                    </w:tc>
                    <w:tc>
                      <w:tcPr>
                        <w:tcW w:w="5856" w:type="dxa"/>
                        <w:tcBorders>
                          <w:top w:val="none"/>
                          <w:left w:val="none"/>
                          <w:bottom w:val="none"/>
                          <w:right w:val="none"/>
                        </w:tcBorders>
                        <w:shd w:val="clear" w:color="C1E3F5" w:fill="C1E3F5"/>
                        <w:textDirection w:val="lrTb"/>
                        <w:vAlign w:val="top"/>
                      </w:tcPr>
                      <w:p>
                        <w:pPr>
                          <w:spacing w:before="0" w:after="9" w:line="264" w:lineRule="exact"/>
                          <w:ind w:right="0" w:left="432" w:hanging="288"/>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caused by gunshot wound or penetrating</w:t>
                          <w:br/>
                        </w:r>
                        <w:r>
                          <w:rPr>
                            <w:rFonts w:ascii="Calibri" w:hAnsi="Calibri" w:eastAsia="Calibri"/>
                            <w:color w:val="000000"/>
                            <w:spacing w:val="0"/>
                            <w:w w:val="100"/>
                            <w:sz w:val="22"/>
                            <w:vertAlign w:val="baseline"/>
                            <w:lang w:val="en-US"/>
                          </w:rPr>
                          <w:t xml:space="preserve">injury from weapon that uses gun powder</w:t>
                        </w:r>
                      </w:p>
                    </w:tc>
                  </w:tr>
                  <w:tr>
                    <w:trPr>
                      <w:trHeight w:val="547" w:hRule="exact"/>
                    </w:trPr>
                    <w:tc>
                      <w:tcPr>
                        <w:tcW w:w="3028" w:type="dxa"/>
                        <w:tcBorders>
                          <w:top w:val="none"/>
                          <w:left w:val="none"/>
                          <w:bottom w:val="none"/>
                          <w:right w:val="none"/>
                        </w:tcBorders>
                        <w:shd w:val="clear" w:color="145F82" w:fill="145F82"/>
                        <w:textDirection w:val="lrTb"/>
                        <w:vAlign w:val="top"/>
                      </w:tcPr>
                      <w:p>
                        <w:pPr>
                          <w:spacing w:before="0" w:after="4" w:line="266" w:lineRule="exact"/>
                          <w:ind w:right="0" w:left="2016" w:hanging="216"/>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Intentional Injury</w:t>
                        </w:r>
                      </w:p>
                    </w:tc>
                    <w:tc>
                      <w:tcPr>
                        <w:tcW w:w="1479" w:type="dxa"/>
                        <w:tcBorders>
                          <w:top w:val="none"/>
                          <w:left w:val="none"/>
                          <w:bottom w:val="none"/>
                          <w:right w:val="none"/>
                        </w:tcBorders>
                        <w:shd w:val="clear" w:color="83C9EB" w:fill="83C9EB"/>
                        <w:textDirection w:val="lrTb"/>
                        <w:vAlign w:val="center"/>
                      </w:tcPr>
                      <w:p>
                        <w:pPr>
                          <w:spacing w:before="172" w:after="1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79</w:t>
                        </w:r>
                      </w:p>
                    </w:tc>
                    <w:tc>
                      <w:tcPr>
                        <w:tcW w:w="1877" w:type="dxa"/>
                        <w:tcBorders>
                          <w:top w:val="none"/>
                          <w:left w:val="none"/>
                          <w:bottom w:val="none"/>
                          <w:right w:val="none"/>
                        </w:tcBorders>
                        <w:shd w:val="clear" w:color="83C9EB" w:fill="83C9EB"/>
                        <w:textDirection w:val="lrTb"/>
                        <w:vAlign w:val="center"/>
                      </w:tcPr>
                      <w:p>
                        <w:pPr>
                          <w:spacing w:before="172" w:after="145"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w:t>
                        </w:r>
                      </w:p>
                    </w:tc>
                    <w:tc>
                      <w:tcPr>
                        <w:tcW w:w="5856" w:type="dxa"/>
                        <w:tcBorders>
                          <w:top w:val="none"/>
                          <w:left w:val="none"/>
                          <w:bottom w:val="none"/>
                          <w:right w:val="none"/>
                        </w:tcBorders>
                        <w:shd w:val="clear" w:color="83C9EB" w:fill="83C9EB"/>
                        <w:textDirection w:val="lrTb"/>
                        <w:vAlign w:val="top"/>
                      </w:tcPr>
                      <w:p>
                        <w:pPr>
                          <w:spacing w:before="0" w:after="9" w:line="264" w:lineRule="exact"/>
                          <w:ind w:right="0" w:left="1368" w:hanging="864"/>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caused by physical harm that was</w:t>
                          <w:br/>
                        </w:r>
                        <w:r>
                          <w:rPr>
                            <w:rFonts w:ascii="Calibri" w:hAnsi="Calibri" w:eastAsia="Calibri"/>
                            <w:color w:val="000000"/>
                            <w:spacing w:val="0"/>
                            <w:w w:val="100"/>
                            <w:sz w:val="22"/>
                            <w:vertAlign w:val="baseline"/>
                            <w:lang w:val="en-US"/>
                          </w:rPr>
                          <w:t xml:space="preserve">inflicted purposefully</w:t>
                        </w:r>
                      </w:p>
                    </w:tc>
                  </w:tr>
                  <w:tr>
                    <w:trPr>
                      <w:trHeight w:val="816" w:hRule="exact"/>
                    </w:trPr>
                    <w:tc>
                      <w:tcPr>
                        <w:tcW w:w="3028" w:type="dxa"/>
                        <w:tcBorders>
                          <w:top w:val="none"/>
                          <w:left w:val="none"/>
                          <w:bottom w:val="none"/>
                          <w:right w:val="none"/>
                        </w:tcBorders>
                        <w:shd w:val="clear" w:color="145F82" w:fill="145F82"/>
                        <w:textDirection w:val="lrTb"/>
                        <w:vAlign w:val="top"/>
                      </w:tcPr>
                      <w:p>
                        <w:pPr>
                          <w:spacing w:before="0" w:after="9" w:line="267" w:lineRule="exact"/>
                          <w:ind w:right="0" w:left="1728" w:firstLine="72"/>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Deaths by suicide (Age- adjusted)</w:t>
                        </w:r>
                      </w:p>
                    </w:tc>
                    <w:tc>
                      <w:tcPr>
                        <w:tcW w:w="1479" w:type="dxa"/>
                        <w:tcBorders>
                          <w:top w:val="none"/>
                          <w:left w:val="none"/>
                          <w:bottom w:val="none"/>
                          <w:right w:val="none"/>
                        </w:tcBorders>
                        <w:shd w:val="clear" w:color="C1E3F5" w:fill="C1E3F5"/>
                        <w:textDirection w:val="lrTb"/>
                        <w:vAlign w:val="center"/>
                      </w:tcPr>
                      <w:p>
                        <w:pPr>
                          <w:spacing w:before="307" w:after="284"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15</w:t>
                        </w:r>
                      </w:p>
                    </w:tc>
                    <w:tc>
                      <w:tcPr>
                        <w:tcW w:w="1877" w:type="dxa"/>
                        <w:tcBorders>
                          <w:top w:val="none"/>
                          <w:left w:val="none"/>
                          <w:bottom w:val="none"/>
                          <w:right w:val="none"/>
                        </w:tcBorders>
                        <w:shd w:val="clear" w:color="C1E3F5" w:fill="C1E3F5"/>
                        <w:textDirection w:val="lrTb"/>
                        <w:vAlign w:val="bottom"/>
                      </w:tcPr>
                      <w:p>
                        <w:pPr>
                          <w:spacing w:before="441" w:after="150"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+ 36%</w:t>
                        </w:r>
                      </w:p>
                    </w:tc>
                    <w:tc>
                      <w:tcPr>
                        <w:tcW w:w="5856" w:type="dxa"/>
                        <w:tcBorders>
                          <w:top w:val="none"/>
                          <w:left w:val="none"/>
                          <w:bottom w:val="none"/>
                          <w:right w:val="none"/>
                        </w:tcBorders>
                        <w:shd w:val="clear" w:color="C1E3F5" w:fill="C1E3F5"/>
                        <w:textDirection w:val="lrTb"/>
                        <w:vAlign w:val="center"/>
                      </w:tcPr>
                      <w:p>
                        <w:pPr>
                          <w:spacing w:before="123" w:after="150" w:line="269" w:lineRule="exact"/>
                          <w:ind w:right="0" w:left="1728" w:hanging="1296"/>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caused by injuring oneself with the</w:t>
                          <w:br/>
                        </w:r>
                        <w:r>
                          <w:rPr>
                            <w:rFonts w:ascii="Calibri" w:hAnsi="Calibri" w:eastAsia="Calibri"/>
                            <w:color w:val="000000"/>
                            <w:spacing w:val="0"/>
                            <w:w w:val="100"/>
                            <w:sz w:val="22"/>
                            <w:vertAlign w:val="baseline"/>
                            <w:lang w:val="en-US"/>
                          </w:rPr>
                          <w:t xml:space="preserve">intent to die</w:t>
                        </w:r>
                      </w:p>
                    </w:tc>
                  </w:tr>
                  <w:tr>
                    <w:trPr>
                      <w:trHeight w:val="816" w:hRule="exact"/>
                    </w:trPr>
                    <w:tc>
                      <w:tcPr>
                        <w:tcW w:w="3028" w:type="dxa"/>
                        <w:tcBorders>
                          <w:top w:val="none"/>
                          <w:left w:val="none"/>
                          <w:bottom w:val="none"/>
                          <w:right w:val="none"/>
                        </w:tcBorders>
                        <w:shd w:val="clear" w:color="145F82" w:fill="145F82"/>
                        <w:textDirection w:val="lrTb"/>
                        <w:vAlign w:val="top"/>
                      </w:tcPr>
                      <w:p>
                        <w:pPr>
                          <w:spacing w:before="0" w:after="16" w:line="266" w:lineRule="exact"/>
                          <w:ind w:right="0" w:left="1800" w:hanging="144"/>
                          <w:jc w:val="left"/>
                          <w:textAlignment w:val="baseline"/>
                          <w:rPr>
                            <w:rFonts w:ascii="Calibri" w:hAnsi="Calibri" w:eastAsia="Calibri"/>
                            <w:b w:val="true"/>
                            <w:color w:val="FFFFFF"/>
                            <w:spacing w:val="-4"/>
                            <w:w w:val="100"/>
                            <w:sz w:val="22"/>
                            <w:vertAlign w:val="baseline"/>
                            <w:lang w:val="en-US"/>
                          </w:rPr>
                        </w:pPr>
                        <w:r>
                          <w:rPr>
                            <w:rFonts w:ascii="Calibri" w:hAnsi="Calibri" w:eastAsia="Calibri"/>
                            <w:b w:val="true"/>
                            <w:color w:val="FFFFFF"/>
                            <w:spacing w:val="-4"/>
                            <w:w w:val="100"/>
                            <w:sz w:val="22"/>
                            <w:vertAlign w:val="baseline"/>
                            <w:lang w:val="en-US"/>
                          </w:rPr>
                          <w:t xml:space="preserve">Death due to Motor vehicle crash</w:t>
                        </w:r>
                      </w:p>
                    </w:tc>
                    <w:tc>
                      <w:tcPr>
                        <w:tcW w:w="1479" w:type="dxa"/>
                        <w:tcBorders>
                          <w:top w:val="none"/>
                          <w:left w:val="none"/>
                          <w:bottom w:val="none"/>
                          <w:right w:val="none"/>
                        </w:tcBorders>
                        <w:shd w:val="clear" w:color="83C9EB" w:fill="83C9EB"/>
                        <w:textDirection w:val="lrTb"/>
                        <w:vAlign w:val="center"/>
                      </w:tcPr>
                      <w:p>
                        <w:pPr>
                          <w:spacing w:before="307" w:after="28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w:t>
                        </w:r>
                      </w:p>
                    </w:tc>
                    <w:tc>
                      <w:tcPr>
                        <w:tcW w:w="1877" w:type="dxa"/>
                        <w:tcBorders>
                          <w:top w:val="none"/>
                          <w:left w:val="none"/>
                          <w:bottom w:val="none"/>
                          <w:right w:val="none"/>
                        </w:tcBorders>
                        <w:shd w:val="clear" w:color="83C9EB" w:fill="83C9EB"/>
                        <w:textDirection w:val="lrTb"/>
                        <w:vAlign w:val="center"/>
                      </w:tcPr>
                      <w:p>
                        <w:pPr>
                          <w:spacing w:before="307" w:after="289" w:line="220"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w:t>
                        </w:r>
                      </w:p>
                    </w:tc>
                    <w:tc>
                      <w:tcPr>
                        <w:tcW w:w="5856" w:type="dxa"/>
                        <w:tcBorders>
                          <w:top w:val="none"/>
                          <w:left w:val="none"/>
                          <w:bottom w:val="none"/>
                          <w:right w:val="none"/>
                        </w:tcBorders>
                        <w:shd w:val="clear" w:color="83C9EB" w:fill="83C9EB"/>
                        <w:textDirection w:val="lrTb"/>
                        <w:vAlign w:val="center"/>
                      </w:tcPr>
                      <w:p>
                        <w:pPr>
                          <w:spacing w:before="124" w:after="154" w:line="269" w:lineRule="exact"/>
                          <w:ind w:right="0" w:left="432" w:hanging="216"/>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Death resulting from car accident upon impact</w:t>
                          <w:br/>
                        </w:r>
                        <w:r>
                          <w:rPr>
                            <w:rFonts w:ascii="Calibri" w:hAnsi="Calibri" w:eastAsia="Calibri"/>
                            <w:color w:val="000000"/>
                            <w:spacing w:val="0"/>
                            <w:w w:val="100"/>
                            <w:sz w:val="22"/>
                            <w:vertAlign w:val="baseline"/>
                            <w:lang w:val="en-US"/>
                          </w:rPr>
                          <w:t xml:space="preserve">or death occurs within 30 days of accident</w:t>
                        </w:r>
                      </w:p>
                    </w:tc>
                  </w:tr>
                </w:tbl>
                <w:p>
                  <w:pPr>
                    <w:spacing w:before="0" w:after="438" w:line="20" w:lineRule="exact"/>
                  </w:pPr>
                </w:p>
              </w:txbxContent>
            </v:textbox>
          </v:shape>
        </w:pict>
      </w:r>
      <w:r>
        <w:pict>
          <v:shapetype id="_x0000_t524" coordsize="21600,21600" o:spt="202" path="m,l,21600r21600,l21600,xe">
            <v:stroke joinstyle="miter"/>
            <v:path gradientshapeok="t" o:connecttype="rect"/>
          </v:shapetype>
          <v:shape id="_x0000_s523" type="#_x0000_t524" filled="f" stroked="f" style="position:absolute;width:612pt;height:363.8pt;z-index:1;margin-left:0pt;margin-top:332.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0"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Rates above state averages and increasing trends indicate rising risk factors, such as unsafe environments, mental health challenges, substance use, and lack of safety interventions. High injury and violence-related death rates also strain healthcare systems, emergency services, and social support networks, highlighting the need for targeted prevention, education, and community safety initiatives.</w:t>
                  </w:r>
                  <w:r>
                    <w:rPr>
                      <w:rFonts w:ascii="Calibri" w:hAnsi="Calibri" w:eastAsia="Calibri"/>
                      <w:color w:val="000000"/>
                      <w:spacing w:val="-1"/>
                      <w:w w:val="100"/>
                      <w:sz w:val="22"/>
                      <w:vertAlign w:val="superscript"/>
                      <w:lang w:val="en-US"/>
                    </w:rPr>
                    <w:t xml:space="preserve">60</w:t>
                  </w:r>
                  <w:r>
                    <w:rPr>
                      <w:rFonts w:ascii="Calibri" w:hAnsi="Calibri" w:eastAsia="Calibri"/>
                      <w:color w:val="000000"/>
                      <w:spacing w:val="-1"/>
                      <w:w w:val="100"/>
                      <w:sz w:val="14"/>
                      <w:vertAlign w:val="baseline"/>
                      <w:lang w:val="en-US"/>
                    </w:rPr>
                    <w:t xml:space="preserve">
</w:t>
                  </w:r>
                </w:p>
                <w:p>
                  <w:pPr>
                    <w:spacing w:before="182" w:after="0" w:line="268" w:lineRule="exact"/>
                    <w:ind w:right="1512"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Neighborhood and Built Environment Domain Summary: </w:t>
                  </w:r>
                  <w:r>
                    <w:rPr>
                      <w:rFonts w:ascii="Calibri" w:hAnsi="Calibri" w:eastAsia="Calibri"/>
                      <w:color w:val="000000"/>
                      <w:spacing w:val="0"/>
                      <w:w w:val="100"/>
                      <w:sz w:val="22"/>
                      <w:vertAlign w:val="baseline"/>
                      <w:lang w:val="en-US"/>
                    </w:rPr>
                    <w:t xml:space="preserve">Residents in Yates County face limited access to physical activity spaces, low walkability, and moderate social vulnerability, creating additional barriers to healthy living. Although some indicators, such as reduced ACEs and stable youth suicide rates, show progress, the overall pattern highlights significant and growing needs across mental health, substance use, injury prevention, and community support systems.</w:t>
                  </w:r>
                </w:p>
                <w:p>
                  <w:pPr>
                    <w:spacing w:before="255" w:after="0" w:line="287" w:lineRule="exact"/>
                    <w:ind w:right="0" w:left="1440" w:firstLine="0"/>
                    <w:jc w:val="left"/>
                    <w:textAlignment w:val="baseline"/>
                    <w:rPr>
                      <w:rFonts w:ascii="Calibri" w:hAnsi="Calibri" w:eastAsia="Calibri"/>
                      <w:b w:val="true"/>
                      <w:i w:val="true"/>
                      <w:color w:val="000000"/>
                      <w:spacing w:val="0"/>
                      <w:w w:val="100"/>
                      <w:sz w:val="28"/>
                      <w:vertAlign w:val="baseline"/>
                      <w:lang w:val="en-US"/>
                    </w:rPr>
                  </w:pPr>
                  <w:r>
                    <w:rPr>
                      <w:rFonts w:ascii="Calibri" w:hAnsi="Calibri" w:eastAsia="Calibri"/>
                      <w:b w:val="true"/>
                      <w:i w:val="true"/>
                      <w:color w:val="000000"/>
                      <w:spacing w:val="0"/>
                      <w:w w:val="100"/>
                      <w:sz w:val="28"/>
                      <w:vertAlign w:val="baseline"/>
                      <w:lang w:val="en-US"/>
                    </w:rPr>
                    <w:t xml:space="preserve">Domain: Health Care Access and Quality</w:t>
                  </w:r>
                </w:p>
                <w:p>
                  <w:pPr>
                    <w:spacing w:before="235"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Health care access and quality are critical aspects of community health. Positive health outcomes are</w:t>
                  </w:r>
                </w:p>
                <w:p>
                  <w:pPr>
                    <w:spacing w:before="5"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influenced by access to health promotion and therapeutic interventions, which are often limited in rural areas. This includes access to primary care, specialists, and dental care.</w:t>
                  </w:r>
                </w:p>
                <w:p>
                  <w:pPr>
                    <w:spacing w:before="162" w:after="0" w:line="290" w:lineRule="exact"/>
                    <w:ind w:right="1728"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Access to prenatal care and health of parents creates the foundation for positive health outcomes throughout life. Care is most effective when initiated early and maintained throughout pregnancy. Prenatal care reduces risks such as preterm birth, low birth weight, and maternal and infant mortality.</w:t>
                  </w:r>
                </w:p>
                <w:p>
                  <w:pPr>
                    <w:spacing w:before="159" w:after="705"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Routine immunizations and screenings help children stay healthy, yet access and uptake remain uneven due to systemic inequities, transportation barriers, and historical mistrust. In addition, poor oral health impacts nutrition, speech, social development, and overall well-being. Vulnerable populations, including low-income communities, face higher rates of untreated dental disease.</w:t>
                  </w:r>
                </w:p>
              </w:txbxContent>
            </v:textbox>
          </v:shape>
        </w:pict>
      </w:r>
      <w:r>
        <w:pict>
          <v:shapetype id="_x0000_t525" coordsize="21600,21600" o:spt="202" path="m,l,21600r21600,l21600,xe">
            <v:stroke joinstyle="miter"/>
            <v:path gradientshapeok="t" o:connecttype="rect"/>
          </v:shapetype>
          <v:shape id="_x0000_s524" type="#_x0000_t525" filled="f" stroked="f" style="position:absolute;width:612pt;height:20.55pt;z-index:1;margin-left:0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4" w:after="58"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60</w:t>
                  </w:r>
                  <w:r>
                    <w:rPr>
                      <w:rFonts w:ascii="Calibri" w:hAnsi="Calibri" w:eastAsia="Calibri"/>
                      <w:color w:val="000000"/>
                      <w:spacing w:val="0"/>
                      <w:w w:val="100"/>
                      <w:sz w:val="20"/>
                      <w:vertAlign w:val="baseline"/>
                      <w:lang w:val="en-US"/>
                    </w:rPr>
                    <w:t xml:space="preserve"> Source: </w:t>
                  </w:r>
                  <w:hyperlink r:id="dhId36">
                    <w:r>
                      <w:rPr>
                        <w:rFonts w:ascii="Calibri" w:hAnsi="Calibri" w:eastAsia="Calibri"/>
                        <w:color w:val="0000FF"/>
                        <w:spacing w:val="0"/>
                        <w:w w:val="100"/>
                        <w:sz w:val="20"/>
                        <w:u w:val="single"/>
                        <w:vertAlign w:val="baseline"/>
                        <w:lang w:val="en-US"/>
                      </w:rPr>
                      <w:t xml:space="preserve">https://www.cdc.gov/injury/index.html</w:t>
                    </w:r>
                  </w:hyperlink>
                  <w:r>
                    <w:rPr>
                      <w:rFonts w:ascii="Calibri" w:hAnsi="Calibri" w:eastAsia="Calibri"/>
                      <w:color w:val="000000"/>
                      <w:spacing w:val="0"/>
                      <w:w w:val="100"/>
                      <w:sz w:val="20"/>
                      <w:vertAlign w:val="baseline"/>
                      <w:lang w:val="en-US"/>
                    </w:rPr>
                    <w:t xml:space="preserve">
</w:t>
                  </w:r>
                </w:p>
              </w:txbxContent>
            </v:textbox>
          </v:shape>
        </w:pict>
      </w:r>
      <w:r>
        <w:pict>
          <v:shapetype id="_x0000_t526" coordsize="21600,21600" o:spt="202" path="m,l,21600r21600,l21600,xe">
            <v:stroke joinstyle="miter"/>
            <v:path gradientshapeok="t" o:connecttype="rect"/>
          </v:shapetype>
          <v:shape id="_x0000_s525" type="#_x0000_t52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93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27" coordsize="21600,21600" o:spt="202" path="m,l,21600r21600,l21600,xe">
            <v:stroke joinstyle="miter"/>
            <v:path gradientshapeok="t" o:connecttype="rect"/>
          </v:shapetype>
          <v:shape id="_x0000_s526" type="#_x0000_t527" fillcolor="#FDFCFA" stroked="f" style="position:absolute;width:612pt;height:792pt;z-index:-999;margin-left:0pt;margin-top:0pt;mso-position-horizontal-relative:page;mso-position-vertical-relative:page">
            <v:textbox>
              <w:txbxContent/>
            </v:textbox>
          </v:shape>
        </w:pict>
      </w:r>
      <w:r>
        <w:pict>
          <v:shapetype id="_x0000_t528" coordsize="21600,21600" o:spt="202" path="m,l,21600r21600,l21600,xe">
            <v:stroke joinstyle="miter"/>
            <v:path gradientshapeok="t" o:connecttype="rect"/>
          </v:shapetype>
          <v:shape id="_x0000_s527" type="#_x0000_t528"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88" w:hRule="exact"/>
                    </w:trPr>
                    <w:tc>
                      <w:tcPr>
                        <w:tcW w:w="110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3580" cy="609600"/>
                              <wp:docPr name="Picture" id="157"/>
                              <a:graphic>
                                <a:graphicData uri="http://schemas.openxmlformats.org/drawingml/2006/picture">
                                  <pic:pic>
                                    <pic:nvPicPr>
                                      <pic:cNvPr id="157" name="Picture"/>
                                      <pic:cNvPicPr preferRelativeResize="false"/>
                                    </pic:nvPicPr>
                                    <pic:blipFill>
                                      <a:blip r:embed="prId157"/>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58"/>
                              <a:graphic>
                                <a:graphicData uri="http://schemas.openxmlformats.org/drawingml/2006/picture">
                                  <pic:pic>
                                    <pic:nvPicPr>
                                      <pic:cNvPr id="158" name="Picture"/>
                                      <pic:cNvPicPr preferRelativeResize="false"/>
                                    </pic:nvPicPr>
                                    <pic:blipFill>
                                      <a:blip r:embed="prId158"/>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29" coordsize="21600,21600" o:spt="202" path="m,l,21600r21600,l21600,xe">
            <v:stroke joinstyle="miter"/>
            <v:path gradientshapeok="t" o:connecttype="rect"/>
          </v:shapetype>
          <v:shape id="_x0000_s528" type="#_x0000_t529" filled="f" stroked="f" style="position:absolute;width:486pt;height:107.95pt;z-index:1;margin-left:72.5pt;margin-top:72.05pt;mso-wrap-distance-left:0pt;mso-wrap-distance-right:0pt;mso-position-horizontal-relative:page;mso-position-vertical-relative:page">
            <w10:wrap anchorx="page" anchory="page"/>
            <v:fill opacity="1" o:opacity2="1" recolor="f" rotate="f" type="solid"/>
            <v:textbox inset="0pt, 0pt, 0pt, 0pt">
              <w:txbxContent>
                <w:p>
                  <w:pPr>
                    <w:spacing w:before="27" w:after="0" w:line="246" w:lineRule="exact"/>
                    <w:ind w:right="0" w:left="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Emergency Department Visits and Potentially Preventable Hospitalizations</w:t>
                  </w:r>
                </w:p>
                <w:p>
                  <w:pPr>
                    <w:spacing w:before="164" w:after="0" w:line="289" w:lineRule="exact"/>
                    <w:ind w:right="43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Maps Y5 and Y6 detail emergency department (ED) visits and preventable hospitalizations (hospital admissions that could have been potentially avoided with timely and effective outpatient care or disease management) by zip code in Yates County. Table Y4 highlights the difference in ED visits in Yates County compared with NYS.</w:t>
                  </w:r>
                </w:p>
                <w:p>
                  <w:pPr>
                    <w:spacing w:before="223" w:after="163" w:line="180" w:lineRule="exact"/>
                    <w:ind w:right="0" w:left="72" w:firstLine="0"/>
                    <w:jc w:val="left"/>
                    <w:textAlignment w:val="baseline"/>
                    <w:rPr>
                      <w:rFonts w:ascii="Calibri" w:hAnsi="Calibri" w:eastAsia="Calibri"/>
                      <w:i w:val="true"/>
                      <w:color w:val="0C2846"/>
                      <w:spacing w:val="0"/>
                      <w:w w:val="100"/>
                      <w:sz w:val="18"/>
                      <w:vertAlign w:val="baseline"/>
                      <w:lang w:val="en-US"/>
                    </w:rPr>
                  </w:pPr>
                  <w:r>
                    <w:rPr>
                      <w:rFonts w:ascii="Calibri" w:hAnsi="Calibri" w:eastAsia="Calibri"/>
                      <w:i w:val="true"/>
                      <w:color w:val="0C2846"/>
                      <w:spacing w:val="0"/>
                      <w:w w:val="100"/>
                      <w:sz w:val="18"/>
                      <w:vertAlign w:val="baseline"/>
                      <w:lang w:val="en-US"/>
                    </w:rPr>
                    <w:t xml:space="preserve">Map Y5: ED Visit Rate by Zip Code</w:t>
                  </w:r>
                </w:p>
              </w:txbxContent>
            </v:textbox>
          </v:shape>
        </w:pict>
      </w:r>
      <w:r>
        <w:pict>
          <v:shapetype id="_x0000_t530" coordsize="21600,21600" o:spt="202" path="m,l,21600r21600,l21600,xe">
            <v:stroke joinstyle="miter"/>
            <v:path gradientshapeok="t" o:connecttype="rect"/>
          </v:shapetype>
          <v:shape id="_x0000_s529" type="#_x0000_t530" filled="f" stroked="f" style="position:absolute;width:486pt;height:228.55pt;z-index:-1;margin-left:72.5pt;margin-top:180pt;mso-wrap-distance-left:0pt;mso-wrap-distance-right:0pt;mso-position-horizontal-relative:page;mso-position-vertical-relative:page">
            <w10:wrap type="square" side="both"/>
            <v:fill opacity="1" o:opacity2="1" recolor="f" rotate="f" type="solid"/>
            <v:textbox inset="0pt, 0pt, 0pt, 0pt">
              <w:txbxContent>
                <w:p>
                  <w:pPr>
                    <w:spacing w:before="0" w:after="309" w:line="240" w:lineRule="auto"/>
                    <w:ind w:right="34" w:left="86"/>
                    <w:jc w:val="left"/>
                    <w:textAlignment w:val="baseline"/>
                  </w:pPr>
                  <w:r>
                    <w:drawing>
                      <wp:inline>
                        <wp:extent cx="6096000" cy="2706370"/>
                        <wp:docPr name="Picture" id="159"/>
                        <a:graphic>
                          <a:graphicData uri="http://schemas.openxmlformats.org/drawingml/2006/picture">
                            <pic:pic>
                              <pic:nvPicPr>
                                <pic:cNvPr id="159" name="Picture"/>
                                <pic:cNvPicPr preferRelativeResize="false"/>
                              </pic:nvPicPr>
                              <pic:blipFill>
                                <a:blip r:embed="prId159"/>
                                <a:stretch>
                                  <a:fillRect/>
                                </a:stretch>
                              </pic:blipFill>
                              <pic:spPr>
                                <a:xfrm>
                                  <a:off x="0" y="0"/>
                                  <a:ext cx="6096000" cy="2706370"/>
                                </a:xfrm>
                                <a:prstGeom prst="rect"/>
                              </pic:spPr>
                            </pic:pic>
                          </a:graphicData>
                        </a:graphic>
                      </wp:inline>
                    </w:drawing>
                  </w:r>
                </w:p>
              </w:txbxContent>
            </v:textbox>
          </v:shape>
        </w:pict>
      </w:r>
      <w:r>
        <w:pict>
          <v:shapetype id="_x0000_t531" coordsize="21600,21600" o:spt="202" path="m,l,21600r21600,l21600,xe">
            <v:stroke joinstyle="miter"/>
            <v:path gradientshapeok="t" o:connecttype="rect"/>
          </v:shapetype>
          <v:shape id="_x0000_s530" type="#_x0000_t531" filled="f" stroked="f" style="position:absolute;width:486pt;height:23.45pt;z-index:1;margin-left:72.5pt;margin-top:408.55pt;mso-wrap-distance-left:0pt;mso-wrap-distance-right:0pt;mso-position-horizontal-relative:page;mso-position-vertical-relative:page">
            <w10:wrap anchorx="page" anchory="page"/>
            <v:fill opacity="1" o:opacity2="1" recolor="f" rotate="f" type="solid"/>
            <v:textbox inset="0pt, 0pt, 0pt, 0pt">
              <w:txbxContent>
                <w:p>
                  <w:pPr>
                    <w:spacing w:before="20" w:after="269" w:line="180" w:lineRule="exact"/>
                    <w:ind w:right="0" w:left="72" w:firstLine="0"/>
                    <w:jc w:val="left"/>
                    <w:textAlignment w:val="baseline"/>
                    <w:rPr>
                      <w:rFonts w:ascii="Calibri" w:hAnsi="Calibri" w:eastAsia="Calibri"/>
                      <w:i w:val="true"/>
                      <w:color w:val="0C2846"/>
                      <w:spacing w:val="0"/>
                      <w:w w:val="100"/>
                      <w:sz w:val="18"/>
                      <w:vertAlign w:val="baseline"/>
                      <w:lang w:val="en-US"/>
                    </w:rPr>
                  </w:pPr>
                  <w:r>
                    <w:rPr>
                      <w:rFonts w:ascii="Calibri" w:hAnsi="Calibri" w:eastAsia="Calibri"/>
                      <w:i w:val="true"/>
                      <w:color w:val="0C2846"/>
                      <w:spacing w:val="0"/>
                      <w:w w:val="100"/>
                      <w:sz w:val="18"/>
                      <w:vertAlign w:val="baseline"/>
                      <w:lang w:val="en-US"/>
                    </w:rPr>
                    <w:t xml:space="preserve">Map Y6: Preventable Hospitalizations by Zip Code</w:t>
                  </w:r>
                </w:p>
              </w:txbxContent>
            </v:textbox>
          </v:shape>
        </w:pict>
      </w:r>
      <w:r>
        <w:pict>
          <v:shapetype id="_x0000_t532" coordsize="21600,21600" o:spt="202" path="m,l,21600r21600,l21600,xe">
            <v:stroke joinstyle="miter"/>
            <v:path gradientshapeok="t" o:connecttype="rect"/>
          </v:shapetype>
          <v:shape id="_x0000_s531" type="#_x0000_t532" filled="f" stroked="f" style="position:absolute;width:486pt;height:284.85pt;z-index:-1;margin-left:72.5pt;margin-top:432pt;mso-wrap-distance-left:0pt;mso-wrap-distance-right:0pt;mso-position-horizontal-relative:page;mso-position-vertical-relative:page">
            <w10:wrap type="square" side="both"/>
            <v:fill opacity="1" o:opacity2="1" recolor="f" rotate="f" type="solid"/>
            <v:textbox inset="0pt, 0pt, 0pt, 0pt">
              <w:txbxContent>
                <w:p>
                  <w:pPr>
                    <w:spacing w:before="0" w:after="1833" w:line="240" w:lineRule="auto"/>
                    <w:ind w:right="308" w:left="48"/>
                    <w:jc w:val="left"/>
                    <w:textAlignment w:val="baseline"/>
                  </w:pPr>
                  <w:r>
                    <w:drawing>
                      <wp:inline>
                        <wp:extent cx="5946140" cy="2453640"/>
                        <wp:docPr name="Picture" id="160"/>
                        <a:graphic>
                          <a:graphicData uri="http://schemas.openxmlformats.org/drawingml/2006/picture">
                            <pic:pic>
                              <pic:nvPicPr>
                                <pic:cNvPr id="160" name="Picture"/>
                                <pic:cNvPicPr preferRelativeResize="false"/>
                              </pic:nvPicPr>
                              <pic:blipFill>
                                <a:blip r:embed="prId160"/>
                                <a:stretch>
                                  <a:fillRect/>
                                </a:stretch>
                              </pic:blipFill>
                              <pic:spPr>
                                <a:xfrm>
                                  <a:off x="0" y="0"/>
                                  <a:ext cx="5946140" cy="2453640"/>
                                </a:xfrm>
                                <a:prstGeom prst="rect"/>
                              </pic:spPr>
                            </pic:pic>
                          </a:graphicData>
                        </a:graphic>
                      </wp:inline>
                    </w:drawing>
                  </w:r>
                </w:p>
              </w:txbxContent>
            </v:textbox>
          </v:shape>
        </w:pict>
      </w:r>
      <w:r>
        <w:pict>
          <v:shapetype id="_x0000_t533" coordsize="21600,21600" o:spt="202" path="m,l,21600r21600,l21600,xe">
            <v:stroke joinstyle="miter"/>
            <v:path gradientshapeok="t" o:connecttype="rect"/>
          </v:shapetype>
          <v:shape id="_x0000_s532" type="#_x0000_t53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94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34" coordsize="21600,21600" o:spt="202" path="m,l,21600r21600,l21600,xe">
            <v:stroke joinstyle="miter"/>
            <v:path gradientshapeok="t" o:connecttype="rect"/>
          </v:shapetype>
          <v:shape id="_x0000_s533" type="#_x0000_t534"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61"/>
                              <a:graphic>
                                <a:graphicData uri="http://schemas.openxmlformats.org/drawingml/2006/picture">
                                  <pic:pic>
                                    <pic:nvPicPr>
                                      <pic:cNvPr id="161" name="Picture"/>
                                      <pic:cNvPicPr preferRelativeResize="false"/>
                                    </pic:nvPicPr>
                                    <pic:blipFill>
                                      <a:blip r:embed="prId161"/>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62"/>
                              <a:graphic>
                                <a:graphicData uri="http://schemas.openxmlformats.org/drawingml/2006/picture">
                                  <pic:pic>
                                    <pic:nvPicPr>
                                      <pic:cNvPr id="162" name="Picture"/>
                                      <pic:cNvPicPr preferRelativeResize="false"/>
                                    </pic:nvPicPr>
                                    <pic:blipFill>
                                      <a:blip r:embed="prId162"/>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535" coordsize="21600,21600" o:spt="202" path="m,l,21600r21600,l21600,xe">
            <v:stroke joinstyle="miter"/>
            <v:path gradientshapeok="t" o:connecttype="rect"/>
          </v:shapetype>
          <v:shape id="_x0000_s534" type="#_x0000_t535" filled="f" stroked="f" style="position:absolute;width:612pt;height:18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20" w:after="158"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Table Y4: Emergency Department Visits</w:t>
                  </w:r>
                </w:p>
              </w:txbxContent>
            </v:textbox>
          </v:shape>
        </w:pict>
      </w:r>
      <w:r>
        <w:pict>
          <v:shapetype id="_x0000_t536" coordsize="21600,21600" o:spt="202" path="m,l,21600r21600,l21600,xe">
            <v:stroke joinstyle="miter"/>
            <v:path gradientshapeok="t" o:connecttype="rect"/>
          </v:shapetype>
          <v:shape id="_x0000_s535" type="#_x0000_t536" filled="f" stroked="f" style="position:absolute;width:612pt;height:234.7pt;z-index:1;margin-left:0pt;margin-top:90.1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4536"/>
                    <w:gridCol w:w="2035"/>
                    <w:gridCol w:w="2064"/>
                    <w:gridCol w:w="3605"/>
                  </w:tblGrid>
                  <w:tr>
                    <w:trPr>
                      <w:trHeight w:val="806" w:hRule="exact"/>
                    </w:trPr>
                    <w:tc>
                      <w:tcPr>
                        <w:tcW w:w="12240" w:type="dxa"/>
                        <w:gridSpan w:val="4"/>
                        <w:tcBorders>
                          <w:top w:val="none"/>
                          <w:left w:val="none"/>
                          <w:bottom w:val="none"/>
                          <w:right w:val="none"/>
                        </w:tcBorders>
                        <w:shd w:val="clear" w:color="145F82" w:fill="145F82"/>
                        <w:textDirection w:val="lrTb"/>
                        <w:vAlign w:val="top"/>
                      </w:tcPr>
                      <w:p>
                        <w:pPr>
                          <w:tabs>
                            <w:tab w:val="left" w:leader="none" w:pos="7056"/>
                          </w:tabs>
                          <w:spacing w:before="0" w:after="0" w:line="180" w:lineRule="exact"/>
                          <w:ind w:right="402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Yates County Rate	</w:t>
                        </w:r>
                        <w:r>
                          <w:rPr>
                            <w:rFonts w:ascii="Calibri" w:hAnsi="Calibri" w:eastAsia="Calibri"/>
                            <w:b w:val="true"/>
                            <w:color w:val="FFFFFF"/>
                            <w:spacing w:val="0"/>
                            <w:w w:val="100"/>
                            <w:sz w:val="22"/>
                            <w:vertAlign w:val="baseline"/>
                            <w:lang w:val="en-US"/>
                          </w:rPr>
                          <w:t xml:space="preserve">NYS Rate Per</w:t>
                        </w:r>
                      </w:p>
                      <w:p>
                        <w:pPr>
                          <w:tabs>
                            <w:tab w:val="left" w:leader="none" w:pos="9360"/>
                          </w:tabs>
                          <w:spacing w:before="0" w:after="0" w:line="154" w:lineRule="exact"/>
                          <w:ind w:right="1944"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Issue	</w:t>
                        </w:r>
                        <w:r>
                          <w:rPr>
                            <w:rFonts w:ascii="Calibri" w:hAnsi="Calibri" w:eastAsia="Calibri"/>
                            <w:b w:val="true"/>
                            <w:color w:val="FFFFFF"/>
                            <w:spacing w:val="0"/>
                            <w:w w:val="100"/>
                            <w:sz w:val="22"/>
                            <w:vertAlign w:val="baseline"/>
                            <w:lang w:val="en-US"/>
                          </w:rPr>
                          <w:t xml:space="preserve">% Change</w:t>
                        </w:r>
                      </w:p>
                      <w:p>
                        <w:pPr>
                          <w:tabs>
                            <w:tab w:val="left" w:leader="none" w:pos="7272"/>
                            <w:tab w:val="left" w:leader="none" w:pos="9216"/>
                          </w:tabs>
                          <w:spacing w:before="0" w:after="0" w:line="247" w:lineRule="exact"/>
                          <w:ind w:right="1944"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Per 100,000	</w:t>
                        </w:r>
                        <w:r>
                          <w:rPr>
                            <w:rFonts w:ascii="Calibri" w:hAnsi="Calibri" w:eastAsia="Calibri"/>
                            <w:b w:val="true"/>
                            <w:color w:val="FFFFFF"/>
                            <w:spacing w:val="0"/>
                            <w:w w:val="100"/>
                            <w:sz w:val="22"/>
                            <w:vertAlign w:val="baseline"/>
                            <w:lang w:val="en-US"/>
                          </w:rPr>
                          <w:t xml:space="preserve">100,000	</w:t>
                        </w:r>
                        <w:r>
                          <w:rPr>
                            <w:rFonts w:ascii="Calibri" w:hAnsi="Calibri" w:eastAsia="Calibri"/>
                            <w:b w:val="true"/>
                            <w:color w:val="FFFFFF"/>
                            <w:spacing w:val="0"/>
                            <w:w w:val="100"/>
                            <w:sz w:val="22"/>
                            <w:vertAlign w:val="baseline"/>
                            <w:lang w:val="en-US"/>
                          </w:rPr>
                          <w:t xml:space="preserve">(from 2017)</w:t>
                        </w:r>
                      </w:p>
                      <w:p>
                        <w:pPr>
                          <w:tabs>
                            <w:tab w:val="left" w:leader="none" w:pos="7272"/>
                          </w:tabs>
                          <w:spacing w:before="0" w:after="16" w:line="181" w:lineRule="exact"/>
                          <w:ind w:right="429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(2023)	</w:t>
                        </w:r>
                        <w:r>
                          <w:rPr>
                            <w:rFonts w:ascii="Calibri" w:hAnsi="Calibri" w:eastAsia="Calibri"/>
                            <w:b w:val="true"/>
                            <w:color w:val="FFFFFF"/>
                            <w:spacing w:val="0"/>
                            <w:w w:val="100"/>
                            <w:sz w:val="22"/>
                            <w:vertAlign w:val="baseline"/>
                            <w:lang w:val="en-US"/>
                          </w:rPr>
                          <w:t xml:space="preserve">(2023)</w:t>
                        </w:r>
                      </w:p>
                    </w:tc>
                  </w:tr>
                  <w:tr>
                    <w:trPr>
                      <w:trHeight w:val="773" w:hRule="exact"/>
                    </w:trPr>
                    <w:tc>
                      <w:tcPr>
                        <w:tcW w:w="4536" w:type="dxa"/>
                        <w:tcBorders>
                          <w:top w:val="none"/>
                          <w:left w:val="none"/>
                          <w:bottom w:val="none"/>
                          <w:right w:val="none"/>
                        </w:tcBorders>
                        <w:shd w:val="clear" w:color="145F82" w:fill="145F82"/>
                        <w:textDirection w:val="lrTb"/>
                        <w:vAlign w:val="center"/>
                      </w:tcPr>
                      <w:p>
                        <w:pPr>
                          <w:spacing w:before="283" w:after="266" w:line="224" w:lineRule="exact"/>
                          <w:ind w:right="96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All ED Visits</w:t>
                        </w:r>
                      </w:p>
                    </w:tc>
                    <w:tc>
                      <w:tcPr>
                        <w:tcW w:w="2035" w:type="dxa"/>
                        <w:tcBorders>
                          <w:top w:val="none"/>
                          <w:left w:val="none"/>
                          <w:bottom w:val="none"/>
                          <w:right w:val="none"/>
                        </w:tcBorders>
                        <w:shd w:val="clear" w:color="83C9EB" w:fill="83C9EB"/>
                        <w:textDirection w:val="lrTb"/>
                        <w:vAlign w:val="center"/>
                      </w:tcPr>
                      <w:p>
                        <w:pPr>
                          <w:spacing w:before="283" w:after="271"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41,443</w:t>
                        </w:r>
                      </w:p>
                    </w:tc>
                    <w:tc>
                      <w:tcPr>
                        <w:tcW w:w="2064" w:type="dxa"/>
                        <w:tcBorders>
                          <w:top w:val="none"/>
                          <w:left w:val="none"/>
                          <w:bottom w:val="none"/>
                          <w:right w:val="none"/>
                        </w:tcBorders>
                        <w:shd w:val="clear" w:color="83C9EB" w:fill="83C9EB"/>
                        <w:textDirection w:val="lrTb"/>
                        <w:vAlign w:val="center"/>
                      </w:tcPr>
                      <w:p>
                        <w:pPr>
                          <w:spacing w:before="283" w:after="271"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29,809</w:t>
                        </w:r>
                      </w:p>
                    </w:tc>
                    <w:tc>
                      <w:tcPr>
                        <w:tcW w:w="3605" w:type="dxa"/>
                        <w:tcBorders>
                          <w:top w:val="none"/>
                          <w:left w:val="none"/>
                          <w:bottom w:val="none"/>
                          <w:right w:val="none"/>
                        </w:tcBorders>
                        <w:shd w:val="clear" w:color="83C9EB" w:fill="83C9EB"/>
                        <w:textDirection w:val="lrTb"/>
                        <w:vAlign w:val="center"/>
                      </w:tcPr>
                      <w:p>
                        <w:pPr>
                          <w:spacing w:before="283" w:after="271" w:line="219" w:lineRule="exact"/>
                          <w:ind w:right="2237"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w:t>
                        </w:r>
                      </w:p>
                    </w:tc>
                  </w:tr>
                  <w:tr>
                    <w:trPr>
                      <w:trHeight w:val="773" w:hRule="exact"/>
                    </w:trPr>
                    <w:tc>
                      <w:tcPr>
                        <w:tcW w:w="4536" w:type="dxa"/>
                        <w:tcBorders>
                          <w:top w:val="none"/>
                          <w:left w:val="none"/>
                          <w:bottom w:val="none"/>
                          <w:right w:val="none"/>
                        </w:tcBorders>
                        <w:shd w:val="clear" w:color="145F82" w:fill="145F82"/>
                        <w:textDirection w:val="lrTb"/>
                        <w:vAlign w:val="center"/>
                      </w:tcPr>
                      <w:p>
                        <w:pPr>
                          <w:spacing w:before="153" w:after="0" w:line="224" w:lineRule="exact"/>
                          <w:ind w:right="0" w:left="1728"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Substance Use Disorder ED</w:t>
                        </w:r>
                      </w:p>
                      <w:p>
                        <w:pPr>
                          <w:spacing w:before="45" w:after="117" w:line="224" w:lineRule="exact"/>
                          <w:ind w:right="123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Visits</w:t>
                        </w:r>
                      </w:p>
                    </w:tc>
                    <w:tc>
                      <w:tcPr>
                        <w:tcW w:w="2035" w:type="dxa"/>
                        <w:tcBorders>
                          <w:top w:val="none"/>
                          <w:left w:val="none"/>
                          <w:bottom w:val="none"/>
                          <w:right w:val="none"/>
                        </w:tcBorders>
                        <w:shd w:val="clear" w:color="C1E3F5" w:fill="C1E3F5"/>
                        <w:textDirection w:val="lrTb"/>
                        <w:vAlign w:val="center"/>
                      </w:tcPr>
                      <w:p>
                        <w:pPr>
                          <w:spacing w:before="287" w:after="257"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1,076</w:t>
                        </w:r>
                      </w:p>
                    </w:tc>
                    <w:tc>
                      <w:tcPr>
                        <w:tcW w:w="2064" w:type="dxa"/>
                        <w:tcBorders>
                          <w:top w:val="none"/>
                          <w:left w:val="none"/>
                          <w:bottom w:val="none"/>
                          <w:right w:val="none"/>
                        </w:tcBorders>
                        <w:shd w:val="clear" w:color="C1E3F5" w:fill="C1E3F5"/>
                        <w:textDirection w:val="lrTb"/>
                        <w:vAlign w:val="center"/>
                      </w:tcPr>
                      <w:p>
                        <w:pPr>
                          <w:spacing w:before="287" w:after="257"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1,646</w:t>
                        </w:r>
                      </w:p>
                    </w:tc>
                    <w:tc>
                      <w:tcPr>
                        <w:tcW w:w="3605" w:type="dxa"/>
                        <w:tcBorders>
                          <w:top w:val="none"/>
                          <w:left w:val="none"/>
                          <w:bottom w:val="none"/>
                          <w:right w:val="none"/>
                        </w:tcBorders>
                        <w:shd w:val="clear" w:color="C1E3F5" w:fill="C1E3F5"/>
                        <w:textDirection w:val="lrTb"/>
                        <w:vAlign w:val="center"/>
                      </w:tcPr>
                      <w:p>
                        <w:pPr>
                          <w:spacing w:before="287" w:after="257" w:line="219" w:lineRule="exact"/>
                          <w:ind w:right="2237"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-34%</w:t>
                        </w:r>
                      </w:p>
                    </w:tc>
                  </w:tr>
                  <w:tr>
                    <w:trPr>
                      <w:trHeight w:val="778" w:hRule="exact"/>
                    </w:trPr>
                    <w:tc>
                      <w:tcPr>
                        <w:tcW w:w="4536" w:type="dxa"/>
                        <w:tcBorders>
                          <w:top w:val="none"/>
                          <w:left w:val="none"/>
                          <w:bottom w:val="none"/>
                          <w:right w:val="none"/>
                        </w:tcBorders>
                        <w:shd w:val="clear" w:color="145F82" w:fill="145F82"/>
                        <w:textDirection w:val="lrTb"/>
                        <w:vAlign w:val="center"/>
                      </w:tcPr>
                      <w:p>
                        <w:pPr>
                          <w:spacing w:before="287" w:after="256" w:line="224" w:lineRule="exact"/>
                          <w:ind w:right="15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Intentional Self Harm ED Visits</w:t>
                        </w:r>
                      </w:p>
                    </w:tc>
                    <w:tc>
                      <w:tcPr>
                        <w:tcW w:w="2035" w:type="dxa"/>
                        <w:tcBorders>
                          <w:top w:val="none"/>
                          <w:left w:val="none"/>
                          <w:bottom w:val="none"/>
                          <w:right w:val="none"/>
                        </w:tcBorders>
                        <w:shd w:val="clear" w:color="83C9EB" w:fill="83C9EB"/>
                        <w:textDirection w:val="lrTb"/>
                        <w:vAlign w:val="center"/>
                      </w:tcPr>
                      <w:p>
                        <w:pPr>
                          <w:spacing w:before="287" w:after="261"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359</w:t>
                        </w:r>
                      </w:p>
                    </w:tc>
                    <w:tc>
                      <w:tcPr>
                        <w:tcW w:w="2064" w:type="dxa"/>
                        <w:tcBorders>
                          <w:top w:val="none"/>
                          <w:left w:val="none"/>
                          <w:bottom w:val="none"/>
                          <w:right w:val="none"/>
                        </w:tcBorders>
                        <w:shd w:val="clear" w:color="83C9EB" w:fill="83C9EB"/>
                        <w:textDirection w:val="lrTb"/>
                        <w:vAlign w:val="center"/>
                      </w:tcPr>
                      <w:p>
                        <w:pPr>
                          <w:spacing w:before="287" w:after="261"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343</w:t>
                        </w:r>
                      </w:p>
                    </w:tc>
                    <w:tc>
                      <w:tcPr>
                        <w:tcW w:w="3605" w:type="dxa"/>
                        <w:tcBorders>
                          <w:top w:val="none"/>
                          <w:left w:val="none"/>
                          <w:bottom w:val="none"/>
                          <w:right w:val="none"/>
                        </w:tcBorders>
                        <w:shd w:val="clear" w:color="83C9EB" w:fill="83C9EB"/>
                        <w:textDirection w:val="lrTb"/>
                        <w:vAlign w:val="center"/>
                      </w:tcPr>
                      <w:p>
                        <w:pPr>
                          <w:spacing w:before="287" w:after="261" w:line="219" w:lineRule="exact"/>
                          <w:ind w:right="2237"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w:t>
                        </w:r>
                      </w:p>
                    </w:tc>
                  </w:tr>
                  <w:tr>
                    <w:trPr>
                      <w:trHeight w:val="772" w:hRule="exact"/>
                    </w:trPr>
                    <w:tc>
                      <w:tcPr>
                        <w:tcW w:w="4536" w:type="dxa"/>
                        <w:tcBorders>
                          <w:top w:val="none"/>
                          <w:left w:val="none"/>
                          <w:bottom w:val="none"/>
                          <w:right w:val="none"/>
                        </w:tcBorders>
                        <w:shd w:val="clear" w:color="145F82" w:fill="145F82"/>
                        <w:textDirection w:val="lrTb"/>
                        <w:vAlign w:val="top"/>
                      </w:tcPr>
                      <w:p>
                        <w:pPr>
                          <w:spacing w:before="106" w:after="127" w:line="267" w:lineRule="exact"/>
                          <w:ind w:right="0" w:left="2664" w:hanging="936"/>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Preventable Hospitalizations (Overall)</w:t>
                        </w:r>
                      </w:p>
                    </w:tc>
                    <w:tc>
                      <w:tcPr>
                        <w:tcW w:w="2035" w:type="dxa"/>
                        <w:tcBorders>
                          <w:top w:val="none"/>
                          <w:left w:val="none"/>
                          <w:bottom w:val="none"/>
                          <w:right w:val="none"/>
                        </w:tcBorders>
                        <w:shd w:val="clear" w:color="C1E3F5" w:fill="C1E3F5"/>
                        <w:textDirection w:val="lrTb"/>
                        <w:vAlign w:val="center"/>
                      </w:tcPr>
                      <w:p>
                        <w:pPr>
                          <w:spacing w:before="282" w:after="266"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604</w:t>
                        </w:r>
                      </w:p>
                    </w:tc>
                    <w:tc>
                      <w:tcPr>
                        <w:tcW w:w="2064" w:type="dxa"/>
                        <w:tcBorders>
                          <w:top w:val="none"/>
                          <w:left w:val="none"/>
                          <w:bottom w:val="none"/>
                          <w:right w:val="none"/>
                        </w:tcBorders>
                        <w:shd w:val="clear" w:color="C1E3F5" w:fill="C1E3F5"/>
                        <w:textDirection w:val="lrTb"/>
                        <w:vAlign w:val="center"/>
                      </w:tcPr>
                      <w:p>
                        <w:pPr>
                          <w:spacing w:before="282" w:after="266"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808</w:t>
                        </w:r>
                      </w:p>
                    </w:tc>
                    <w:tc>
                      <w:tcPr>
                        <w:tcW w:w="3605" w:type="dxa"/>
                        <w:tcBorders>
                          <w:top w:val="none"/>
                          <w:left w:val="none"/>
                          <w:bottom w:val="none"/>
                          <w:right w:val="none"/>
                        </w:tcBorders>
                        <w:shd w:val="clear" w:color="C1E3F5" w:fill="C1E3F5"/>
                        <w:textDirection w:val="lrTb"/>
                        <w:vAlign w:val="center"/>
                      </w:tcPr>
                      <w:p>
                        <w:pPr>
                          <w:spacing w:before="282" w:after="266" w:line="219" w:lineRule="exact"/>
                          <w:ind w:right="2237"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-30%</w:t>
                        </w:r>
                      </w:p>
                    </w:tc>
                  </w:tr>
                  <w:tr>
                    <w:trPr>
                      <w:trHeight w:val="778" w:hRule="exact"/>
                    </w:trPr>
                    <w:tc>
                      <w:tcPr>
                        <w:tcW w:w="4536" w:type="dxa"/>
                        <w:tcBorders>
                          <w:top w:val="none"/>
                          <w:left w:val="none"/>
                          <w:bottom w:val="none"/>
                          <w:right w:val="none"/>
                        </w:tcBorders>
                        <w:shd w:val="clear" w:color="145F82" w:fill="145F82"/>
                        <w:textDirection w:val="lrTb"/>
                        <w:vAlign w:val="top"/>
                      </w:tcPr>
                      <w:p>
                        <w:pPr>
                          <w:spacing w:before="153" w:after="0" w:line="224" w:lineRule="exact"/>
                          <w:ind w:right="1148" w:left="0" w:firstLine="0"/>
                          <w:jc w:val="righ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Diabetes</w:t>
                        </w:r>
                      </w:p>
                      <w:p>
                        <w:pPr>
                          <w:spacing w:before="45" w:after="125" w:line="226" w:lineRule="exact"/>
                          <w:ind w:right="0" w:left="1728" w:firstLine="0"/>
                          <w:jc w:val="left"/>
                          <w:textAlignment w:val="baseline"/>
                          <w:rPr>
                            <w:rFonts w:ascii="Calibri" w:hAnsi="Calibri" w:eastAsia="Calibri"/>
                            <w:b w:val="true"/>
                            <w:color w:val="FFFFFF"/>
                            <w:spacing w:val="0"/>
                            <w:w w:val="100"/>
                            <w:sz w:val="22"/>
                            <w:vertAlign w:val="baseline"/>
                            <w:lang w:val="en-US"/>
                          </w:rPr>
                        </w:pPr>
                        <w:r>
                          <w:rPr>
                            <w:rFonts w:ascii="Calibri" w:hAnsi="Calibri" w:eastAsia="Calibri"/>
                            <w:b w:val="true"/>
                            <w:color w:val="FFFFFF"/>
                            <w:spacing w:val="0"/>
                            <w:w w:val="100"/>
                            <w:sz w:val="22"/>
                            <w:vertAlign w:val="baseline"/>
                            <w:lang w:val="en-US"/>
                          </w:rPr>
                          <w:t xml:space="preserve">Preventable Hospitalizations</w:t>
                        </w:r>
                      </w:p>
                    </w:tc>
                    <w:tc>
                      <w:tcPr>
                        <w:tcW w:w="2035" w:type="dxa"/>
                        <w:tcBorders>
                          <w:top w:val="none"/>
                          <w:left w:val="none"/>
                          <w:bottom w:val="none"/>
                          <w:right w:val="none"/>
                        </w:tcBorders>
                        <w:shd w:val="clear" w:color="83C9EB" w:fill="83C9EB"/>
                        <w:textDirection w:val="lrTb"/>
                        <w:vAlign w:val="center"/>
                      </w:tcPr>
                      <w:p>
                        <w:pPr>
                          <w:spacing w:before="288" w:after="266"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75</w:t>
                        </w:r>
                      </w:p>
                    </w:tc>
                    <w:tc>
                      <w:tcPr>
                        <w:tcW w:w="2064" w:type="dxa"/>
                        <w:tcBorders>
                          <w:top w:val="none"/>
                          <w:left w:val="none"/>
                          <w:bottom w:val="none"/>
                          <w:right w:val="none"/>
                        </w:tcBorders>
                        <w:shd w:val="clear" w:color="83C9EB" w:fill="83C9EB"/>
                        <w:textDirection w:val="lrTb"/>
                        <w:vAlign w:val="center"/>
                      </w:tcPr>
                      <w:p>
                        <w:pPr>
                          <w:spacing w:before="288" w:after="266" w:line="219"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181</w:t>
                        </w:r>
                      </w:p>
                    </w:tc>
                    <w:tc>
                      <w:tcPr>
                        <w:tcW w:w="3605" w:type="dxa"/>
                        <w:tcBorders>
                          <w:top w:val="none"/>
                          <w:left w:val="none"/>
                          <w:bottom w:val="none"/>
                          <w:right w:val="none"/>
                        </w:tcBorders>
                        <w:shd w:val="clear" w:color="83C9EB" w:fill="83C9EB"/>
                        <w:textDirection w:val="lrTb"/>
                        <w:vAlign w:val="center"/>
                      </w:tcPr>
                      <w:p>
                        <w:pPr>
                          <w:spacing w:before="288" w:after="266" w:line="219" w:lineRule="exact"/>
                          <w:ind w:right="2237"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w:t>
                        </w:r>
                      </w:p>
                    </w:tc>
                  </w:tr>
                </w:tbl>
              </w:txbxContent>
            </v:textbox>
          </v:shape>
        </w:pict>
      </w:r>
      <w:r>
        <w:pict>
          <v:shapetype id="_x0000_t537" coordsize="21600,21600" o:spt="202" path="m,l,21600r21600,l21600,xe">
            <v:stroke joinstyle="miter"/>
            <v:path gradientshapeok="t" o:connecttype="rect"/>
          </v:shapetype>
          <v:shape id="_x0000_s536" type="#_x0000_t537" filled="f" stroked="f" style="position:absolute;width:612pt;height:347.15pt;z-index:1;margin-left:0pt;margin-top:324.8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SPARCS</w:t>
                  </w:r>
                </w:p>
                <w:p>
                  <w:pPr>
                    <w:spacing w:before="175"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2023 data indicate mixed trends in healthcare utilization in Yates County as compared to 2017. ED visits increased by 10%, suggesting a reduced usage of primary care providers and a growing demand for urgent care services. In contrast, ED visits related to substance use disorders decreased by 34%, while visits for intentional self-harm rose slightly by 2%. Preventable hospitalizations declined by 30%, including a small 6% decrease in diabetes-related hospitalizations, which may reflect improvements in disease management, though ongoing attention to chronic disease prevention remains important.</w:t>
                  </w:r>
                </w:p>
                <w:p>
                  <w:pPr>
                    <w:spacing w:before="230"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Access to and Use of Prenatal Care</w:t>
                  </w:r>
                </w:p>
                <w:p>
                  <w:pPr>
                    <w:spacing w:before="163"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Receiving early and adequate prenatal care is important for ensuring a healthy pregnancy. Abstinence from smoking, alcohol, and illegal drug use are important indicators of appropriate prenatal care. Since 2018, Yates County has improved in all three indicators. In 2024, the percentage of birthing persons who abstained from alcohol was 100%, an increase of 2%.</w:t>
                  </w:r>
                  <w:r>
                    <w:rPr>
                      <w:rFonts w:ascii="Calibri" w:hAnsi="Calibri" w:eastAsia="Calibri"/>
                      <w:color w:val="000000"/>
                      <w:spacing w:val="0"/>
                      <w:w w:val="100"/>
                      <w:sz w:val="22"/>
                      <w:vertAlign w:val="superscript"/>
                      <w:lang w:val="en-US"/>
                    </w:rPr>
                    <w:t xml:space="preserve">61</w:t>
                  </w:r>
                  <w:r>
                    <w:rPr>
                      <w:rFonts w:ascii="Calibri" w:hAnsi="Calibri" w:eastAsia="Calibri"/>
                      <w:color w:val="000000"/>
                      <w:spacing w:val="0"/>
                      <w:w w:val="100"/>
                      <w:sz w:val="22"/>
                      <w:vertAlign w:val="baseline"/>
                      <w:lang w:val="en-US"/>
                    </w:rPr>
                    <w:t xml:space="preserve"> Abstinence from smoking was 86.1%, an increase of 7%, and abstinence from illegal drug use was 97.8%, an increase of 7%.</w:t>
                  </w:r>
                  <w:r>
                    <w:rPr>
                      <w:rFonts w:ascii="Calibri" w:hAnsi="Calibri" w:eastAsia="Calibri"/>
                      <w:color w:val="000000"/>
                      <w:spacing w:val="0"/>
                      <w:w w:val="100"/>
                      <w:sz w:val="22"/>
                      <w:vertAlign w:val="superscript"/>
                      <w:lang w:val="en-US"/>
                    </w:rPr>
                    <w:t xml:space="preserve">62</w:t>
                  </w:r>
                  <w:r>
                    <w:rPr>
                      <w:rFonts w:ascii="Calibri" w:hAnsi="Calibri" w:eastAsia="Calibri"/>
                      <w:color w:val="000000"/>
                      <w:spacing w:val="0"/>
                      <w:w w:val="100"/>
                      <w:sz w:val="13"/>
                      <w:vertAlign w:val="baseline"/>
                      <w:lang w:val="en-US"/>
                    </w:rPr>
                    <w:t xml:space="preserve">
</w:t>
                  </w:r>
                </w:p>
                <w:p>
                  <w:pPr>
                    <w:spacing w:before="155" w:after="0" w:line="290"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Prenatal care may be additionally measured by low live birth weights (&lt;2,500 grams or about 5 lbs., 8 oz.) and premature births (live births before 37 weeks). Vital Records data indicate that 12.2% of births (2022 data) were preterm, an increase of 36% from 2013. Live births with low birth weights were 4% (2023 data), a decrease of 20% from 2018 and below the NYS average of 8%.</w:t>
                  </w:r>
                </w:p>
                <w:p>
                  <w:pPr>
                    <w:spacing w:before="162" w:after="389" w:line="290"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Breasffeeding infants ensures optimal nutrition and provides health benefits to both the breasffeeding parent and the child. The percentage of infants fed breast milk only or both breast milk and formula at the time of hospital discharge (2024 data) was 91.9%, an increase of 11.4% from 2019. Those who were</w:t>
                  </w:r>
                </w:p>
              </w:txbxContent>
            </v:textbox>
          </v:shape>
        </w:pict>
      </w:r>
      <w:r>
        <w:pict>
          <v:shapetype id="_x0000_t538" coordsize="21600,21600" o:spt="202" path="m,l,21600r21600,l21600,xe">
            <v:stroke joinstyle="miter"/>
            <v:path gradientshapeok="t" o:connecttype="rect"/>
          </v:shapetype>
          <v:shape id="_x0000_s537" type="#_x0000_t538"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5" w:after="0" w:line="202"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61</w:t>
                  </w:r>
                  <w:r>
                    <w:rPr>
                      <w:rFonts w:ascii="Calibri" w:hAnsi="Calibri" w:eastAsia="Calibri"/>
                      <w:color w:val="000000"/>
                      <w:spacing w:val="0"/>
                      <w:w w:val="100"/>
                      <w:sz w:val="20"/>
                      <w:vertAlign w:val="baseline"/>
                      <w:lang w:val="en-US"/>
                    </w:rPr>
                    <w:t xml:space="preserve"> Source: National Survey on Drug Use and Health, 2024</w:t>
                  </w:r>
                </w:p>
                <w:p>
                  <w:pPr>
                    <w:spacing w:before="0" w:after="57" w:line="242" w:lineRule="exact"/>
                    <w:ind w:right="216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62</w:t>
                  </w:r>
                  <w:r>
                    <w:rPr>
                      <w:rFonts w:ascii="Calibri" w:hAnsi="Calibri" w:eastAsia="Calibri"/>
                      <w:color w:val="000000"/>
                      <w:spacing w:val="0"/>
                      <w:w w:val="100"/>
                      <w:sz w:val="20"/>
                      <w:vertAlign w:val="baseline"/>
                      <w:lang w:val="en-US"/>
                    </w:rPr>
                    <w:t xml:space="preserve"> Source: U.S. Department of Health and Human Services, Healthy People 2020, </w:t>
                  </w:r>
                  <w:r>
                    <w:rPr>
                      <w:rFonts w:ascii="Calibri" w:hAnsi="Calibri" w:eastAsia="Calibri"/>
                      <w:i w:val="true"/>
                      <w:color w:val="000000"/>
                      <w:spacing w:val="0"/>
                      <w:w w:val="100"/>
                      <w:sz w:val="20"/>
                      <w:vertAlign w:val="baseline"/>
                      <w:lang w:val="en-US"/>
                    </w:rPr>
                    <w:t xml:space="preserve">National Center for Health Statistics</w:t>
                  </w:r>
                </w:p>
              </w:txbxContent>
            </v:textbox>
          </v:shape>
        </w:pict>
      </w:r>
      <w:r>
        <w:pict>
          <v:shapetype id="_x0000_t539" coordsize="21600,21600" o:spt="202" path="m,l,21600r21600,l21600,xe">
            <v:stroke joinstyle="miter"/>
            <v:path gradientshapeok="t" o:connecttype="rect"/>
          </v:shapetype>
          <v:shape id="_x0000_s538" type="#_x0000_t53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95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40" coordsize="21600,21600" o:spt="202" path="m,l,21600r21600,l21600,xe">
            <v:stroke joinstyle="miter"/>
            <v:path gradientshapeok="t" o:connecttype="rect"/>
          </v:shapetype>
          <v:shape id="_x0000_s539" type="#_x0000_t540"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63"/>
                              <a:graphic>
                                <a:graphicData uri="http://schemas.openxmlformats.org/drawingml/2006/picture">
                                  <pic:pic>
                                    <pic:nvPicPr>
                                      <pic:cNvPr id="163" name="Picture"/>
                                      <pic:cNvPicPr preferRelativeResize="false"/>
                                    </pic:nvPicPr>
                                    <pic:blipFill>
                                      <a:blip r:embed="prId16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64"/>
                              <a:graphic>
                                <a:graphicData uri="http://schemas.openxmlformats.org/drawingml/2006/picture">
                                  <pic:pic>
                                    <pic:nvPicPr>
                                      <pic:cNvPr id="164" name="Picture"/>
                                      <pic:cNvPicPr preferRelativeResize="false"/>
                                    </pic:nvPicPr>
                                    <pic:blipFill>
                                      <a:blip r:embed="prId164"/>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41" coordsize="21600,21600" o:spt="202" path="m,l,21600r21600,l21600,xe">
            <v:stroke joinstyle="miter"/>
            <v:path gradientshapeok="t" o:connecttype="rect"/>
          </v:shapetype>
          <v:shape id="_x0000_s540" type="#_x0000_t541" filled="f" stroked="f" style="position:absolute;width:612pt;height:361.85pt;z-index:1;margin-left:0pt;margin-top:70.1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fed exclusively breast milk in the hospital were 77.4%, a decrease of 1% from 2019, though greater than the NYS average of 46.7%.</w:t>
                  </w:r>
                  <w:r>
                    <w:rPr>
                      <w:rFonts w:ascii="Calibri" w:hAnsi="Calibri" w:eastAsia="Calibri"/>
                      <w:color w:val="000000"/>
                      <w:spacing w:val="0"/>
                      <w:w w:val="100"/>
                      <w:sz w:val="22"/>
                      <w:vertAlign w:val="superscript"/>
                      <w:lang w:val="en-US"/>
                    </w:rPr>
                    <w:t xml:space="preserve">63</w:t>
                  </w:r>
                  <w:r>
                    <w:rPr>
                      <w:rFonts w:ascii="Calibri" w:hAnsi="Calibri" w:eastAsia="Calibri"/>
                      <w:color w:val="000000"/>
                      <w:spacing w:val="0"/>
                      <w:w w:val="100"/>
                      <w:sz w:val="22"/>
                      <w:vertAlign w:val="baseline"/>
                      <w:lang w:val="en-US"/>
                    </w:rPr>
                    <w:t xml:space="preserve"> This indicator has shown an upward trend, increasing since 2020.</w:t>
                  </w:r>
                </w:p>
                <w:p>
                  <w:pPr>
                    <w:spacing w:before="225"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Prevention of Infant and Maternal Mortality</w:t>
                  </w:r>
                </w:p>
                <w:p>
                  <w:pPr>
                    <w:spacing w:before="173"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Prematurity and its related conditions are the leading causes of infant mortality. In 2024, the percentage of preterm births in Yates County was 12.2%, exceeding the NYS target of 9.4% or below. Reducing premature birth rates may directly affect infant mortality rates. Data for this measure in Yates County is unavailable, likely due to the small number of infant deaths in the county.</w:t>
                  </w:r>
                  <w:r>
                    <w:rPr>
                      <w:rFonts w:ascii="Calibri" w:hAnsi="Calibri" w:eastAsia="Calibri"/>
                      <w:color w:val="000000"/>
                      <w:spacing w:val="0"/>
                      <w:w w:val="100"/>
                      <w:sz w:val="22"/>
                      <w:vertAlign w:val="superscript"/>
                      <w:lang w:val="en-US"/>
                    </w:rPr>
                    <w:t xml:space="preserve">64</w:t>
                  </w:r>
                  <w:r>
                    <w:rPr>
                      <w:rFonts w:ascii="Calibri" w:hAnsi="Calibri" w:eastAsia="Calibri"/>
                      <w:color w:val="000000"/>
                      <w:spacing w:val="0"/>
                      <w:w w:val="100"/>
                      <w:sz w:val="14"/>
                      <w:vertAlign w:val="baseline"/>
                      <w:lang w:val="en-US"/>
                    </w:rPr>
                    <w:t xml:space="preserve">
</w:t>
                  </w:r>
                </w:p>
                <w:p>
                  <w:pPr>
                    <w:spacing w:before="168"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Encouraging healthy habits during pregnancy can lead to healthier pregnancies and better outcomes for the child. Yates County has seen continuously improved rates in abstinence from alcohol and smoking during pregnancy. Smoking abstinence has improved from 82.5% in 2020 to 86.1% in 2024. Alcohol abstinence in pregnancy has held steady between 99% to 100% since 2020.</w:t>
                  </w:r>
                  <w:r>
                    <w:rPr>
                      <w:rFonts w:ascii="Calibri" w:hAnsi="Calibri" w:eastAsia="Calibri"/>
                      <w:color w:val="000000"/>
                      <w:spacing w:val="0"/>
                      <w:w w:val="100"/>
                      <w:sz w:val="22"/>
                      <w:vertAlign w:val="superscript"/>
                      <w:lang w:val="en-US"/>
                    </w:rPr>
                    <w:t xml:space="preserve">65</w:t>
                  </w:r>
                  <w:r>
                    <w:rPr>
                      <w:rFonts w:ascii="Calibri" w:hAnsi="Calibri" w:eastAsia="Calibri"/>
                      <w:color w:val="000000"/>
                      <w:spacing w:val="0"/>
                      <w:w w:val="100"/>
                      <w:sz w:val="14"/>
                      <w:vertAlign w:val="baseline"/>
                      <w:lang w:val="en-US"/>
                    </w:rPr>
                    <w:t xml:space="preserve">
</w:t>
                  </w:r>
                </w:p>
                <w:p>
                  <w:pPr>
                    <w:spacing w:before="163"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For Yates County, the maternal mortality rate has remained 0 since the 2013-2015 reporting period, until the most recent reporting period between 2020-2022, where there was one death reported. This caused a severe increase in the maternal mortality rate, rising to 102.6 per 100,000 live births.</w:t>
                  </w:r>
                </w:p>
                <w:p>
                  <w:pPr>
                    <w:spacing w:before="230" w:after="0" w:line="245" w:lineRule="exact"/>
                    <w:ind w:right="0" w:left="1440" w:firstLine="0"/>
                    <w:jc w:val="left"/>
                    <w:textAlignment w:val="baseline"/>
                    <w:rPr>
                      <w:rFonts w:ascii="Calibri" w:hAnsi="Calibri" w:eastAsia="Calibri"/>
                      <w:b w:val="true"/>
                      <w:color w:val="000000"/>
                      <w:spacing w:val="0"/>
                      <w:w w:val="100"/>
                      <w:sz w:val="24"/>
                      <w:vertAlign w:val="baseline"/>
                      <w:lang w:val="en-US"/>
                    </w:rPr>
                  </w:pPr>
                  <w:r>
                    <w:rPr>
                      <w:rFonts w:ascii="Calibri" w:hAnsi="Calibri" w:eastAsia="Calibri"/>
                      <w:b w:val="true"/>
                      <w:color w:val="000000"/>
                      <w:spacing w:val="0"/>
                      <w:w w:val="100"/>
                      <w:sz w:val="24"/>
                      <w:vertAlign w:val="baseline"/>
                      <w:lang w:val="en-US"/>
                    </w:rPr>
                    <w:t xml:space="preserve">Priority: Preventive Services for Chronic Disease Prevention and Control</w:t>
                  </w:r>
                </w:p>
                <w:p>
                  <w:pPr>
                    <w:spacing w:before="168" w:after="0" w:line="288"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like many rural counties, faces unique challenges in health care access and support. Fewer primary care physicians, dentists, mental health providers, and non-physician health care providers pose significant barriers to care. Figure Y6 depicts the ratios of health care providers to one resident in Yates County. These ratios indicate a critical need for improved healthcare access across all sectors in Yates County.</w:t>
                  </w:r>
                </w:p>
                <w:p>
                  <w:pPr>
                    <w:spacing w:before="228" w:after="14" w:line="180"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Figure Y6: Resident to Healthcare Provider Ratio</w:t>
                  </w:r>
                </w:p>
              </w:txbxContent>
            </v:textbox>
          </v:shape>
        </w:pict>
      </w:r>
      <w:r>
        <w:pict>
          <v:shapetype id="_x0000_t542" coordsize="21600,21600" o:spt="202" path="m,l,21600r21600,l21600,xe">
            <v:stroke joinstyle="miter"/>
            <v:path gradientshapeok="t" o:connecttype="rect"/>
          </v:shapetype>
          <v:shape id="_x0000_s541" type="#_x0000_t542" filled="f" stroked="f" style="position:absolute;width:457.55pt;height:201.45pt;z-index:-1;margin-left:71.95pt;margin-top:431.95pt;mso-wrap-distance-bottom:9.65pt;mso-wrap-distance-left:71.95pt;mso-wrap-distance-right:82pt;mso-position-horizontal-relative:page;mso-position-vertical-relative:page">
            <w10:wrap type="square" side="both"/>
            <v:fill opacity="1" o:opacity2="1" recolor="f" rotate="f" type="solid"/>
            <v:textbox inset="0pt, 0pt, 0pt, 0pt">
              <w:txbxContent>
                <w:p>
                  <w:pPr>
                    <w:spacing w:before="15" w:after="0" w:line="240" w:lineRule="auto"/>
                    <w:ind w:right="0" w:left="0"/>
                    <w:jc w:val="left"/>
                    <w:textAlignment w:val="baseline"/>
                  </w:pPr>
                  <w:r>
                    <w:drawing>
                      <wp:inline>
                        <wp:extent cx="5810885" cy="2548890"/>
                        <wp:docPr name="Picture" id="165"/>
                        <a:graphic>
                          <a:graphicData uri="http://schemas.openxmlformats.org/drawingml/2006/picture">
                            <pic:pic>
                              <pic:nvPicPr>
                                <pic:cNvPr id="165" name="Picture"/>
                                <pic:cNvPicPr preferRelativeResize="false"/>
                              </pic:nvPicPr>
                              <pic:blipFill>
                                <a:blip r:embed="prId165"/>
                                <a:stretch>
                                  <a:fillRect/>
                                </a:stretch>
                              </pic:blipFill>
                              <pic:spPr>
                                <a:xfrm>
                                  <a:off x="0" y="0"/>
                                  <a:ext cx="5810885" cy="2548890"/>
                                </a:xfrm>
                                <a:prstGeom prst="rect"/>
                              </pic:spPr>
                            </pic:pic>
                          </a:graphicData>
                        </a:graphic>
                      </wp:inline>
                    </w:drawing>
                  </w:r>
                </w:p>
              </w:txbxContent>
            </v:textbox>
          </v:shape>
        </w:pict>
      </w:r>
      <w:r>
        <w:pict>
          <v:shapetype id="_x0000_t543" coordsize="21600,21600" o:spt="202" path="m,l,21600r21600,l21600,xe">
            <v:stroke joinstyle="miter"/>
            <v:path gradientshapeok="t" o:connecttype="rect"/>
          </v:shapetype>
          <v:shape id="_x0000_s542" type="#_x0000_t543" filled="f" stroked="f" style="position:absolute;width:612pt;height:28.9pt;z-index:1;margin-left:0pt;margin-top:643.05pt;mso-wrap-distance-left:0pt;mso-wrap-distance-right:0pt;mso-position-horizontal-relative:page;mso-position-vertical-relative:page">
            <w10:wrap anchorx="page" anchory="page"/>
            <v:fill opacity="1" o:opacity2="1" recolor="f" rotate="f" type="solid"/>
            <v:textbox inset="0pt, 0pt, 0pt, 0pt">
              <w:txbxContent>
                <w:p>
                  <w:pPr>
                    <w:spacing w:before="20" w:after="374" w:line="180"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Source: County Health Rankings, Area Health Resource File/American Medical Association</w:t>
                  </w:r>
                </w:p>
              </w:txbxContent>
            </v:textbox>
          </v:shape>
        </w:pict>
      </w:r>
      <w:r>
        <w:pict>
          <v:shapetype id="_x0000_t544" coordsize="21600,21600" o:spt="202" path="m,l,21600r21600,l21600,xe">
            <v:stroke joinstyle="miter"/>
            <v:path gradientshapeok="t" o:connecttype="rect"/>
          </v:shapetype>
          <v:shape id="_x0000_s543" type="#_x0000_t544"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5" w:after="0" w:line="202"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63</w:t>
                  </w:r>
                  <w:r>
                    <w:rPr>
                      <w:rFonts w:ascii="Calibri" w:hAnsi="Calibri" w:eastAsia="Calibri"/>
                      <w:color w:val="000000"/>
                      <w:spacing w:val="3"/>
                      <w:w w:val="100"/>
                      <w:sz w:val="20"/>
                      <w:vertAlign w:val="baseline"/>
                      <w:lang w:val="en-US"/>
                    </w:rPr>
                    <w:t xml:space="preserve"> Source: </w:t>
                  </w:r>
                  <w:r>
                    <w:rPr>
                      <w:rFonts w:ascii="Calibri" w:hAnsi="Calibri" w:eastAsia="Calibri"/>
                      <w:i w:val="true"/>
                      <w:color w:val="000000"/>
                      <w:spacing w:val="3"/>
                      <w:w w:val="100"/>
                      <w:sz w:val="19"/>
                      <w:vertAlign w:val="baseline"/>
                      <w:lang w:val="en-US"/>
                    </w:rPr>
                    <w:t xml:space="preserve">NYS Prevention Agenda, Vital Records</w:t>
                  </w:r>
                </w:p>
                <w:p>
                  <w:pPr>
                    <w:spacing w:before="40" w:after="0" w:line="200" w:lineRule="exact"/>
                    <w:ind w:right="0" w:left="1440" w:firstLine="0"/>
                    <w:jc w:val="left"/>
                    <w:textAlignment w:val="baseline"/>
                    <w:rPr>
                      <w:rFonts w:ascii="Calibri" w:hAnsi="Calibri" w:eastAsia="Calibri"/>
                      <w:color w:val="000000"/>
                      <w:spacing w:val="3"/>
                      <w:w w:val="100"/>
                      <w:sz w:val="13"/>
                      <w:vertAlign w:val="superscript"/>
                      <w:lang w:val="en-US"/>
                    </w:rPr>
                  </w:pPr>
                  <w:r>
                    <w:rPr>
                      <w:rFonts w:ascii="Calibri" w:hAnsi="Calibri" w:eastAsia="Calibri"/>
                      <w:color w:val="000000"/>
                      <w:spacing w:val="3"/>
                      <w:w w:val="100"/>
                      <w:sz w:val="13"/>
                      <w:vertAlign w:val="superscript"/>
                      <w:lang w:val="en-US"/>
                    </w:rPr>
                    <w:t xml:space="preserve">64</w:t>
                  </w:r>
                  <w:r>
                    <w:rPr>
                      <w:rFonts w:ascii="Calibri" w:hAnsi="Calibri" w:eastAsia="Calibri"/>
                      <w:color w:val="000000"/>
                      <w:spacing w:val="3"/>
                      <w:w w:val="100"/>
                      <w:sz w:val="20"/>
                      <w:vertAlign w:val="baseline"/>
                      <w:lang w:val="en-US"/>
                    </w:rPr>
                    <w:t xml:space="preserve"> Source: </w:t>
                  </w:r>
                  <w:r>
                    <w:rPr>
                      <w:rFonts w:ascii="Calibri" w:hAnsi="Calibri" w:eastAsia="Calibri"/>
                      <w:i w:val="true"/>
                      <w:color w:val="000000"/>
                      <w:spacing w:val="3"/>
                      <w:w w:val="100"/>
                      <w:sz w:val="19"/>
                      <w:vertAlign w:val="baseline"/>
                      <w:lang w:val="en-US"/>
                    </w:rPr>
                    <w:t xml:space="preserve">NYS Prevention Agenda, Statewide Perinatal Data System, Vital Records</w:t>
                  </w:r>
                </w:p>
                <w:p>
                  <w:pPr>
                    <w:spacing w:before="41" w:after="58" w:line="203"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65</w:t>
                  </w:r>
                  <w:r>
                    <w:rPr>
                      <w:rFonts w:ascii="Calibri" w:hAnsi="Calibri" w:eastAsia="Calibri"/>
                      <w:color w:val="000000"/>
                      <w:spacing w:val="0"/>
                      <w:w w:val="100"/>
                      <w:sz w:val="20"/>
                      <w:vertAlign w:val="baseline"/>
                      <w:lang w:val="en-US"/>
                    </w:rPr>
                    <w:t xml:space="preserve"> Source: Healthy People 2030</w:t>
                  </w:r>
                </w:p>
              </w:txbxContent>
            </v:textbox>
          </v:shape>
        </w:pict>
      </w:r>
      <w:r>
        <w:pict>
          <v:shapetype id="_x0000_t545" coordsize="21600,21600" o:spt="202" path="m,l,21600r21600,l21600,xe">
            <v:stroke joinstyle="miter"/>
            <v:path gradientshapeok="t" o:connecttype="rect"/>
          </v:shapetype>
          <v:shape id="_x0000_s544" type="#_x0000_t545"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96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5pt" strokecolor="#DADADA" from="73.45pt,432.25pt" to="528.55pt,432.25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0.7pt" strokecolor="#F1EEED" from="72.95pt,432pt" to="528.55pt,432pt" style="position:absolute;mso-position-horizontal-relative:page;mso-position-vertical-relative:page;">
            <v:stroke linestyle="thinThin"/>
          </v:line>
        </w:pict>
      </w:r>
      <w:r>
        <w:pict>
          <v:line strokeweight="1.9pt" strokecolor="#145F82" from="0pt,717.85pt" to="612.05pt,717.85pt" style="position:absolute;mso-position-horizontal-relative:page;mso-position-vertical-relative:page;">
            <v:stroke dashstyle="solid"/>
          </v:line>
        </w:pict>
      </w:r>
      <w:r>
        <w:pict>
          <v:line strokeweight="0.5pt" strokecolor="#DADADA" from="71.95pt,633.4pt" to="529.5pt,633.4pt" style="position:absolute;mso-position-horizontal-relative:page;mso-position-vertical-relative:page;">
            <v:stroke linestyle="thinThin"/>
          </v:line>
        </w:pict>
      </w:r>
      <w:r>
        <w:pict>
          <v:line strokeweight="0.5pt" strokecolor="#DADADA" from="71.95pt,431.95pt" to="71.95pt,633.4pt" style="position:absolute;mso-position-horizontal-relative:page;mso-position-vertical-relative:page;">
            <v:stroke linestyle="thinThin"/>
          </v:line>
        </w:pict>
      </w:r>
      <w:r>
        <w:pict>
          <v:line strokeweight="0.95pt" strokecolor="#D5D5D5" from="529.5pt,431.95pt" to="529.5pt,633.4pt" style="position:absolute;mso-position-horizontal-relative:page;mso-position-vertical-relative:page;">
            <v:stroke linestyle="thinThin"/>
          </v:line>
        </w:pict>
      </w:r>
    </w:p>
    <w:p>
      <w:pPr>
        <w:sectPr>
          <w:type w:val="nextPage"/>
          <w:pgSz w:w="12240" w:h="15840" w:orient="portrait"/>
          <w:pgMar w:bottom="607" w:top="1114"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46" coordsize="21600,21600" o:spt="202" path="m,l,21600r21600,l21600,xe">
            <v:stroke joinstyle="miter"/>
            <v:path gradientshapeok="t" o:connecttype="rect"/>
          </v:shapetype>
          <v:shape id="_x0000_s545" type="#_x0000_t546"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66"/>
                              <a:graphic>
                                <a:graphicData uri="http://schemas.openxmlformats.org/drawingml/2006/picture">
                                  <pic:pic>
                                    <pic:nvPicPr>
                                      <pic:cNvPr id="166" name="Picture"/>
                                      <pic:cNvPicPr preferRelativeResize="false"/>
                                    </pic:nvPicPr>
                                    <pic:blipFill>
                                      <a:blip r:embed="prId16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67"/>
                              <a:graphic>
                                <a:graphicData uri="http://schemas.openxmlformats.org/drawingml/2006/picture">
                                  <pic:pic>
                                    <pic:nvPicPr>
                                      <pic:cNvPr id="167" name="Picture"/>
                                      <pic:cNvPicPr preferRelativeResize="false"/>
                                    </pic:nvPicPr>
                                    <pic:blipFill>
                                      <a:blip r:embed="prId167"/>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547" coordsize="21600,21600" o:spt="202" path="m,l,21600r21600,l21600,xe">
            <v:stroke joinstyle="miter"/>
            <v:path gradientshapeok="t" o:connecttype="rect"/>
          </v:shapetype>
          <v:shape id="_x0000_s546" type="#_x0000_t547" filled="f" stroked="f" style="position:absolute;width:612pt;height:589.7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Those who are under- or uninsured face additional obstacles to accessing care. The uninsured rate for Yates County is 10% of the population under age 65 (up 25% since 2018) and 8% of children under 19 (up 33% since 2018).</w:t>
                  </w:r>
                  <w:r>
                    <w:rPr>
                      <w:rFonts w:ascii="Calibri" w:hAnsi="Calibri" w:eastAsia="Calibri"/>
                      <w:color w:val="000000"/>
                      <w:spacing w:val="0"/>
                      <w:w w:val="100"/>
                      <w:sz w:val="22"/>
                      <w:vertAlign w:val="superscript"/>
                      <w:lang w:val="en-US"/>
                    </w:rPr>
                    <w:t xml:space="preserve">66</w:t>
                  </w:r>
                  <w:r>
                    <w:rPr>
                      <w:rFonts w:ascii="Calibri" w:hAnsi="Calibri" w:eastAsia="Calibri"/>
                      <w:color w:val="000000"/>
                      <w:spacing w:val="0"/>
                      <w:w w:val="100"/>
                      <w:sz w:val="22"/>
                      <w:vertAlign w:val="baseline"/>
                      <w:lang w:val="en-US"/>
                    </w:rPr>
                    <w:t xml:space="preserve"> Yates County has a higher percentage of uninsured residents compared to NYS. It is important to note that in Yates County, the Mennonite population often chooses not to have health insurance.</w:t>
                  </w:r>
                </w:p>
                <w:p>
                  <w:pPr>
                    <w:spacing w:before="159" w:after="0" w:line="290"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combination of high population-to-provider ratios and a sizable uninsured population creates a significant barrier to preventative care. Consequently, these individuals may not seek preventive health care services and instead present to the Emergency Department with potentially preventable conditions. Yates County residents seek care at the Emergency Department 39% more than the NYS average.</w:t>
                  </w:r>
                  <w:r>
                    <w:rPr>
                      <w:rFonts w:ascii="Calibri" w:hAnsi="Calibri" w:eastAsia="Calibri"/>
                      <w:color w:val="000000"/>
                      <w:spacing w:val="-1"/>
                      <w:w w:val="100"/>
                      <w:sz w:val="22"/>
                      <w:vertAlign w:val="superscript"/>
                      <w:lang w:val="en-US"/>
                    </w:rPr>
                    <w:t xml:space="preserve">67</w:t>
                  </w:r>
                  <w:r>
                    <w:rPr>
                      <w:rFonts w:ascii="Calibri" w:hAnsi="Calibri" w:eastAsia="Calibri"/>
                      <w:color w:val="000000"/>
                      <w:spacing w:val="-1"/>
                      <w:w w:val="100"/>
                      <w:sz w:val="22"/>
                      <w:vertAlign w:val="baseline"/>
                      <w:lang w:val="en-US"/>
                    </w:rPr>
                    <w:t xml:space="preserve"> This may further result in increased health care costs and lost workdays, reinforcing the cycle of poverty.</w:t>
                  </w:r>
                </w:p>
                <w:p>
                  <w:pPr>
                    <w:spacing w:before="230"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Focus group participants consistently expressed concerns about high health care costs and difficulty</w:t>
                  </w:r>
                </w:p>
                <w:p>
                  <w:pPr>
                    <w:spacing w:before="0"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navigating insurance. They noted that the cost of even basic health care is unaffordable for many families and the insurance systems are difficult to navigate.</w:t>
                  </w:r>
                </w:p>
                <w:p>
                  <w:pPr>
                    <w:spacing w:before="161" w:after="0" w:line="290"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Limited transportation and its effect on access to care were common concerns among focus groups. This concern is particularly true for specialty care services such as cancer and cardiac care - two of the leading causes of death in Yates County.</w:t>
                  </w:r>
                  <w:r>
                    <w:rPr>
                      <w:rFonts w:ascii="Calibri" w:hAnsi="Calibri" w:eastAsia="Calibri"/>
                      <w:color w:val="000000"/>
                      <w:spacing w:val="0"/>
                      <w:w w:val="100"/>
                      <w:sz w:val="22"/>
                      <w:vertAlign w:val="superscript"/>
                      <w:lang w:val="en-US"/>
                    </w:rPr>
                    <w:t xml:space="preserve">68</w:t>
                  </w:r>
                  <w:r>
                    <w:rPr>
                      <w:rFonts w:ascii="Calibri" w:hAnsi="Calibri" w:eastAsia="Calibri"/>
                      <w:color w:val="000000"/>
                      <w:spacing w:val="0"/>
                      <w:w w:val="100"/>
                      <w:sz w:val="22"/>
                      <w:vertAlign w:val="baseline"/>
                      <w:lang w:val="en-US"/>
                    </w:rPr>
                    <w:t xml:space="preserve"> Many individuals report struggling to get to appointments due to unreliable public transportation or a lack of personal vehicles. Moreover, many focus group members noted the need to travel an hour or more to access certain specialties. This again results in additional time loss at work and increased personal expenses for the individual.</w:t>
                  </w:r>
                </w:p>
                <w:p>
                  <w:pPr>
                    <w:spacing w:before="158" w:after="0" w:line="290" w:lineRule="exact"/>
                    <w:ind w:right="144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Despite a nationwide proliferation of telehealth and telemedicine services, access to and use of broadband services in Yates County is limited. High-speed, quality internet connection enables residents to access essential services such as telehealth, online health information, appointment scheduling, and remote monitoring - tools that are vital for rural communities and those with limited transportation. Reliable internet also supports health education, emergency communication, social connection, and access to benefits and resources, helping reduce disparities and improve overall community well-being. Broadband access in Yates County, as measured in the 2025 County Health Rankings, is 78%, while NYS is 90%. The percentage of the population with no access to broadband services, meaning broadband is simply not available in their area, is 6.7% in Yates, compared to just 1.3% in NYS as a whole.</w:t>
                  </w:r>
                  <w:r>
                    <w:rPr>
                      <w:rFonts w:ascii="Calibri" w:hAnsi="Calibri" w:eastAsia="Calibri"/>
                      <w:color w:val="000000"/>
                      <w:spacing w:val="-1"/>
                      <w:w w:val="100"/>
                      <w:sz w:val="22"/>
                      <w:vertAlign w:val="superscript"/>
                      <w:lang w:val="en-US"/>
                    </w:rPr>
                    <w:t xml:space="preserve">69</w:t>
                  </w:r>
                  <w:r>
                    <w:rPr>
                      <w:rFonts w:ascii="Calibri" w:hAnsi="Calibri" w:eastAsia="Calibri"/>
                      <w:color w:val="000000"/>
                      <w:spacing w:val="-1"/>
                      <w:w w:val="100"/>
                      <w:sz w:val="22"/>
                      <w:vertAlign w:val="baseline"/>
                      <w:lang w:val="en-US"/>
                    </w:rPr>
                    <w:t xml:space="preserve"> This creates an additional barrier to accessing alternative means of care in an already underserved area.</w:t>
                  </w:r>
                </w:p>
                <w:p>
                  <w:pPr>
                    <w:spacing w:before="159" w:after="556" w:line="290" w:lineRule="exact"/>
                    <w:ind w:right="1584"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In lieu of access challenges, chronic disease prevention emerges as a central concern for the county. Preventing chronic diseases is essential to supporting a community’s overall health and well-being. In Yates County, conditions such as diabetes and obesity affect a significant portion of residents, including both adults and children. In 2022, the prevalence of adults over age 20 with diagnosed diabetes is 10%; in 2021, the percentage of adults with obesity was 31.8%; and in 2023, the percentage of children and adolescents with obesity was 27.9%. Each of these measures has increased steadily over the past 7–9 years, except for adult obesity, which declined slightly in 2018 before rising again in 2021.</w:t>
                  </w:r>
                </w:p>
              </w:txbxContent>
            </v:textbox>
          </v:shape>
        </w:pict>
      </w:r>
      <w:r>
        <w:pict>
          <v:shapetype id="_x0000_t548" coordsize="21600,21600" o:spt="202" path="m,l,21600r21600,l21600,xe">
            <v:stroke joinstyle="miter"/>
            <v:path gradientshapeok="t" o:connecttype="rect"/>
          </v:shapetype>
          <v:shape id="_x0000_s547" type="#_x0000_t548" filled="f" stroked="f" style="position:absolute;width:612pt;height:57.15pt;z-index:1;margin-left:0pt;margin-top:659.7pt;mso-wrap-distance-left:0pt;mso-wrap-distance-right:0pt;mso-position-horizontal-relative:page;mso-position-vertical-relative:page">
            <w10:wrap anchorx="page" anchory="page"/>
            <v:fill opacity="1" o:opacity2="1" recolor="f" rotate="f" type="solid"/>
            <v:textbox inset="0pt, 0pt, 0pt, 0pt">
              <w:txbxContent>
                <w:p>
                  <w:pPr>
                    <w:spacing w:before="145" w:after="0" w:line="202"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66</w:t>
                  </w:r>
                  <w:r>
                    <w:rPr>
                      <w:rFonts w:ascii="Calibri" w:hAnsi="Calibri" w:eastAsia="Calibri"/>
                      <w:color w:val="000000"/>
                      <w:spacing w:val="0"/>
                      <w:w w:val="100"/>
                      <w:sz w:val="20"/>
                      <w:vertAlign w:val="baseline"/>
                      <w:lang w:val="en-US"/>
                    </w:rPr>
                    <w:t xml:space="preserve"> Source: County Health Rankings &amp; Roadmaps, 2025</w:t>
                  </w:r>
                </w:p>
                <w:p>
                  <w:pPr>
                    <w:spacing w:before="45" w:after="0"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67</w:t>
                  </w:r>
                  <w:r>
                    <w:rPr>
                      <w:rFonts w:ascii="Calibri" w:hAnsi="Calibri" w:eastAsia="Calibri"/>
                      <w:color w:val="000000"/>
                      <w:spacing w:val="0"/>
                      <w:w w:val="100"/>
                      <w:sz w:val="20"/>
                      <w:vertAlign w:val="baseline"/>
                      <w:lang w:val="en-US"/>
                    </w:rPr>
                    <w:t xml:space="preserve"> Source: New York State Department of Health Statewide Planning and Research Collaborative, 2023</w:t>
                  </w:r>
                </w:p>
                <w:p>
                  <w:pPr>
                    <w:spacing w:before="37" w:after="0" w:line="199"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68</w:t>
                  </w:r>
                  <w:r>
                    <w:rPr>
                      <w:rFonts w:ascii="Calibri" w:hAnsi="Calibri" w:eastAsia="Calibri"/>
                      <w:color w:val="000000"/>
                      <w:spacing w:val="0"/>
                      <w:w w:val="100"/>
                      <w:sz w:val="20"/>
                      <w:vertAlign w:val="baseline"/>
                      <w:lang w:val="en-US"/>
                    </w:rPr>
                    <w:t xml:space="preserve"> Source: Vital Statistics Data, 2024</w:t>
                  </w:r>
                </w:p>
                <w:p>
                  <w:pPr>
                    <w:spacing w:before="47" w:after="58"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69</w:t>
                  </w:r>
                  <w:r>
                    <w:rPr>
                      <w:rFonts w:ascii="Calibri" w:hAnsi="Calibri" w:eastAsia="Calibri"/>
                      <w:color w:val="000000"/>
                      <w:spacing w:val="0"/>
                      <w:w w:val="100"/>
                      <w:sz w:val="20"/>
                      <w:vertAlign w:val="baseline"/>
                      <w:lang w:val="en-US"/>
                    </w:rPr>
                    <w:t xml:space="preserve"> Source: County Health Rankings &amp; Roadmaps, 2025</w:t>
                  </w:r>
                </w:p>
              </w:txbxContent>
            </v:textbox>
          </v:shape>
        </w:pict>
      </w:r>
      <w:r>
        <w:pict>
          <v:shapetype id="_x0000_t549" coordsize="21600,21600" o:spt="202" path="m,l,21600r21600,l21600,xe">
            <v:stroke joinstyle="miter"/>
            <v:path gradientshapeok="t" o:connecttype="rect"/>
          </v:shapetype>
          <v:shape id="_x0000_s548" type="#_x0000_t54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97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60.25pt" to="216.3pt,660.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50" coordsize="21600,21600" o:spt="202" path="m,l,21600r21600,l21600,xe">
            <v:stroke joinstyle="miter"/>
            <v:path gradientshapeok="t" o:connecttype="rect"/>
          </v:shapetype>
          <v:shape id="_x0000_s549" type="#_x0000_t550"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68"/>
                              <a:graphic>
                                <a:graphicData uri="http://schemas.openxmlformats.org/drawingml/2006/picture">
                                  <pic:pic>
                                    <pic:nvPicPr>
                                      <pic:cNvPr id="168" name="Picture"/>
                                      <pic:cNvPicPr preferRelativeResize="false"/>
                                    </pic:nvPicPr>
                                    <pic:blipFill>
                                      <a:blip r:embed="prId16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69"/>
                              <a:graphic>
                                <a:graphicData uri="http://schemas.openxmlformats.org/drawingml/2006/picture">
                                  <pic:pic>
                                    <pic:nvPicPr>
                                      <pic:cNvPr id="169" name="Picture"/>
                                      <pic:cNvPicPr preferRelativeResize="false"/>
                                    </pic:nvPicPr>
                                    <pic:blipFill>
                                      <a:blip r:embed="prId169"/>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551" coordsize="21600,21600" o:spt="202" path="m,l,21600r21600,l21600,xe">
            <v:stroke joinstyle="miter"/>
            <v:path gradientshapeok="t" o:connecttype="rect"/>
          </v:shapetype>
          <v:shape id="_x0000_s550" type="#_x0000_t551" filled="f" stroked="f" style="position:absolute;width:612pt;height:601.95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Monitoring and managing risk factors such as high blood sugar and blood pressure is critical for addressing chronic disease trends in Yates County. The percentage of adults aged 45+ who had a test for high blood sugar or diabetes within the past three years increased from 54.96% (2018) to 69.6% (2021), exceeding the state average of 63.8%. Among adults aged 45+ with a household income below $25,000, the percentage who had the same tests decreased from 58.9% in 2016 to 48.7% in 2018.</w:t>
                  </w:r>
                  <w:r>
                    <w:rPr>
                      <w:rFonts w:ascii="Calibri" w:hAnsi="Calibri" w:eastAsia="Calibri"/>
                      <w:color w:val="000000"/>
                      <w:spacing w:val="0"/>
                      <w:w w:val="100"/>
                      <w:sz w:val="22"/>
                      <w:vertAlign w:val="superscript"/>
                      <w:lang w:val="en-US"/>
                    </w:rPr>
                    <w:t xml:space="preserve">70</w:t>
                  </w:r>
                  <w:r>
                    <w:rPr>
                      <w:rFonts w:ascii="Calibri" w:hAnsi="Calibri" w:eastAsia="Calibri"/>
                      <w:color w:val="000000"/>
                      <w:spacing w:val="0"/>
                      <w:w w:val="100"/>
                      <w:sz w:val="22"/>
                      <w:vertAlign w:val="baseline"/>
                      <w:lang w:val="en-US"/>
                    </w:rPr>
                    <w:t xml:space="preserve"> The prevalence of high blood pressure in adults 18+ increased 4% from 2017 to 30.1% in 2021.</w:t>
                  </w:r>
                  <w:r>
                    <w:rPr>
                      <w:rFonts w:ascii="Calibri" w:hAnsi="Calibri" w:eastAsia="Calibri"/>
                      <w:color w:val="000000"/>
                      <w:spacing w:val="0"/>
                      <w:w w:val="100"/>
                      <w:sz w:val="22"/>
                      <w:vertAlign w:val="superscript"/>
                      <w:lang w:val="en-US"/>
                    </w:rPr>
                    <w:t xml:space="preserve">71</w:t>
                  </w:r>
                  <w:r>
                    <w:rPr>
                      <w:rFonts w:ascii="Calibri" w:hAnsi="Calibri" w:eastAsia="Calibri"/>
                      <w:color w:val="000000"/>
                      <w:spacing w:val="0"/>
                      <w:w w:val="100"/>
                      <w:sz w:val="22"/>
                      <w:vertAlign w:val="baseline"/>
                      <w:lang w:val="en-US"/>
                    </w:rPr>
                    <w:t xml:space="preserve"> These patterns underscore the importance of expanding access to preventative screening for chronic disease risk factors, particularly for low-income adults who are less likely to receive regular screening.</w:t>
                  </w:r>
                </w:p>
                <w:p>
                  <w:pPr>
                    <w:spacing w:before="162" w:after="0" w:line="290"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Mammograms and colorectal cancer screenings have also been shown to be effective preventative care measures. The completion of preventive services shows mixed trends based on 2022 data. Mammogram rates among women ages 50–74 have steadily increased from 73% in 2018 and 74.1% in 2020, to 75.5% currently. The percentage of female Medicare enrollees who receive a mammogram screening has also improved since 2018, increasing from 52% to 55% in 2022. However, the prevalence of colorectal cancer screening among Yates County residents has decreased by 13% from 2020 to 2022, dropping from 72.3% to 63.2%.</w:t>
                  </w:r>
                  <w:r>
                    <w:rPr>
                      <w:rFonts w:ascii="Calibri" w:hAnsi="Calibri" w:eastAsia="Calibri"/>
                      <w:color w:val="000000"/>
                      <w:spacing w:val="-2"/>
                      <w:w w:val="100"/>
                      <w:sz w:val="22"/>
                      <w:vertAlign w:val="superscript"/>
                      <w:lang w:val="en-US"/>
                    </w:rPr>
                    <w:t xml:space="preserve">71</w:t>
                  </w:r>
                  <w:r>
                    <w:rPr>
                      <w:rFonts w:ascii="Calibri" w:hAnsi="Calibri" w:eastAsia="Calibri"/>
                      <w:color w:val="000000"/>
                      <w:spacing w:val="-2"/>
                      <w:w w:val="100"/>
                      <w:sz w:val="22"/>
                      <w:vertAlign w:val="baseline"/>
                      <w:lang w:val="en-US"/>
                    </w:rPr>
                    <w:t xml:space="preserve"> These trends highlight the need for targeted interventions to promote completion of preventative measures and reduce long-term health risks.</w:t>
                  </w:r>
                </w:p>
                <w:p>
                  <w:pPr>
                    <w:spacing w:before="222" w:after="0" w:line="229" w:lineRule="exact"/>
                    <w:ind w:right="0" w:left="1440" w:firstLine="0"/>
                    <w:jc w:val="left"/>
                    <w:textAlignment w:val="baseline"/>
                    <w:rPr>
                      <w:rFonts w:ascii="Calibri" w:hAnsi="Calibri" w:eastAsia="Calibri"/>
                      <w:b w:val="true"/>
                      <w:color w:val="000000"/>
                      <w:spacing w:val="-4"/>
                      <w:w w:val="100"/>
                      <w:sz w:val="23"/>
                      <w:vertAlign w:val="baseline"/>
                      <w:lang w:val="en-US"/>
                    </w:rPr>
                  </w:pPr>
                  <w:r>
                    <w:rPr>
                      <w:rFonts w:ascii="Calibri" w:hAnsi="Calibri" w:eastAsia="Calibri"/>
                      <w:b w:val="true"/>
                      <w:color w:val="000000"/>
                      <w:spacing w:val="-4"/>
                      <w:w w:val="100"/>
                      <w:sz w:val="23"/>
                      <w:vertAlign w:val="baseline"/>
                      <w:lang w:val="en-US"/>
                    </w:rPr>
                    <w:t xml:space="preserve">Priority: Oral Health Care</w:t>
                  </w:r>
                </w:p>
                <w:p>
                  <w:pPr>
                    <w:spacing w:before="157" w:after="0" w:line="290"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According to County Health Rankings, Yates County has a dentist-to-population ratio of 2,220 to 1. In 2019, 62.6% of adults had a dental visit in the past year, a 5% decrease since 2014 and below the New York State average of 71.3%.</w:t>
                  </w:r>
                </w:p>
                <w:p>
                  <w:pPr>
                    <w:spacing w:before="161" w:after="0" w:line="290"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Access to oral health care is even more limited for Medicaid enrollees. The only Medicaid-accepting dental provider in Yates County is Finger Lakes Community Health, with clinics in Penn Yan and Dundee. The percentage of Medicaid-enrolled adults with at least one dental visit remained above 30% between 2014 and 2019. However, in 2020, this percentage dropped to 25.9%, a 23% difference from the year prior. Since 2020, the percentage of dental visits for adult Medicaid enrollees has continued to fall below the state average of 31.1%, underscoring concerns about oral health care availability.</w:t>
                  </w:r>
                </w:p>
                <w:p>
                  <w:pPr>
                    <w:spacing w:before="156"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Access to dental care for children is similarly limited. In 2023, Finger Lakes Community Health opened a school-based dental clinic in Penn Yan, providing preventive dental care. Trends for Medicaid enrollees aged 2-20 years who had at least one dental visit within the last year are similar to those of adults. Between 2015 and 2017, this percentage remained above state average, with 49% of Yates County Medicaid enrollees ages 2-20 completing at least one dental visit in 2018. The rates dropped rapidly in 2020, reaching 36.3%, before slowly increasing to 41.2% in 2023.</w:t>
                  </w:r>
                  <w:r>
                    <w:rPr>
                      <w:rFonts w:ascii="Calibri" w:hAnsi="Calibri" w:eastAsia="Calibri"/>
                      <w:color w:val="000000"/>
                      <w:spacing w:val="0"/>
                      <w:w w:val="100"/>
                      <w:sz w:val="22"/>
                      <w:vertAlign w:val="superscript"/>
                      <w:lang w:val="en-US"/>
                    </w:rPr>
                    <w:t xml:space="preserve">72</w:t>
                  </w:r>
                  <w:r>
                    <w:rPr>
                      <w:rFonts w:ascii="Calibri" w:hAnsi="Calibri" w:eastAsia="Calibri"/>
                      <w:color w:val="000000"/>
                      <w:spacing w:val="0"/>
                      <w:w w:val="100"/>
                      <w:sz w:val="14"/>
                      <w:vertAlign w:val="baseline"/>
                      <w:lang w:val="en-US"/>
                    </w:rPr>
                    <w:t xml:space="preserve">
</w:t>
                  </w:r>
                </w:p>
                <w:p>
                  <w:pPr>
                    <w:spacing w:before="227" w:after="0" w:line="229" w:lineRule="exact"/>
                    <w:ind w:right="0" w:left="1440" w:firstLine="0"/>
                    <w:jc w:val="left"/>
                    <w:textAlignment w:val="baseline"/>
                    <w:rPr>
                      <w:rFonts w:ascii="Calibri" w:hAnsi="Calibri" w:eastAsia="Calibri"/>
                      <w:b w:val="true"/>
                      <w:color w:val="000000"/>
                      <w:spacing w:val="-4"/>
                      <w:w w:val="100"/>
                      <w:sz w:val="23"/>
                      <w:vertAlign w:val="baseline"/>
                      <w:lang w:val="en-US"/>
                    </w:rPr>
                  </w:pPr>
                  <w:r>
                    <w:rPr>
                      <w:rFonts w:ascii="Calibri" w:hAnsi="Calibri" w:eastAsia="Calibri"/>
                      <w:b w:val="true"/>
                      <w:color w:val="000000"/>
                      <w:spacing w:val="-4"/>
                      <w:w w:val="100"/>
                      <w:sz w:val="23"/>
                      <w:vertAlign w:val="baseline"/>
                      <w:lang w:val="en-US"/>
                    </w:rPr>
                    <w:t xml:space="preserve">Priority: Preventive Services – Immunizations and Lead</w:t>
                  </w:r>
                </w:p>
                <w:p>
                  <w:pPr>
                    <w:spacing w:before="220"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is classified as high risk for disease outbreak due to low vaccination rates. The completion</w:t>
                  </w:r>
                </w:p>
                <w:p>
                  <w:pPr>
                    <w:spacing w:before="0" w:after="485" w:line="290" w:lineRule="exact"/>
                    <w:ind w:right="1440"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rate target value of 4:3:1:3:3:1:4 series (Table Y4) is 80% in NYS. However, in Yates County the percentage of children who have received this immunization series by two years of age is 44.8% in 2025, an increase</w:t>
                  </w:r>
                </w:p>
              </w:txbxContent>
            </v:textbox>
          </v:shape>
        </w:pict>
      </w:r>
      <w:r>
        <w:pict>
          <v:shapetype id="_x0000_t552" coordsize="21600,21600" o:spt="202" path="m,l,21600r21600,l21600,xe">
            <v:stroke joinstyle="miter"/>
            <v:path gradientshapeok="t" o:connecttype="rect"/>
          </v:shapetype>
          <v:shape id="_x0000_s551" type="#_x0000_t552" filled="f" stroked="f" style="position:absolute;width:612pt;height:44.9pt;z-index:1;margin-left:0pt;margin-top:671.95pt;mso-wrap-distance-left:0pt;mso-wrap-distance-right:0pt;mso-position-horizontal-relative:page;mso-position-vertical-relative:page">
            <w10:wrap anchorx="page" anchory="page"/>
            <v:fill opacity="1" o:opacity2="1" recolor="f" rotate="f" type="solid"/>
            <v:textbox inset="0pt, 0pt, 0pt, 0pt">
              <w:txbxContent>
                <w:p>
                  <w:pPr>
                    <w:spacing w:before="146" w:after="0" w:line="201"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70</w:t>
                  </w:r>
                  <w:r>
                    <w:rPr>
                      <w:rFonts w:ascii="Calibri" w:hAnsi="Calibri" w:eastAsia="Calibri"/>
                      <w:color w:val="000000"/>
                      <w:spacing w:val="0"/>
                      <w:w w:val="100"/>
                      <w:sz w:val="20"/>
                      <w:vertAlign w:val="baseline"/>
                      <w:lang w:val="en-US"/>
                    </w:rPr>
                    <w:t xml:space="preserve"> Source: Behavior Risk Factor Surveillance System (BRFSS), 2022</w:t>
                  </w:r>
                </w:p>
                <w:p>
                  <w:pPr>
                    <w:spacing w:before="0" w:after="58" w:line="242"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71</w:t>
                  </w:r>
                  <w:r>
                    <w:rPr>
                      <w:rFonts w:ascii="Calibri" w:hAnsi="Calibri" w:eastAsia="Calibri"/>
                      <w:color w:val="000000"/>
                      <w:spacing w:val="0"/>
                      <w:w w:val="100"/>
                      <w:sz w:val="20"/>
                      <w:vertAlign w:val="baseline"/>
                      <w:lang w:val="en-US"/>
                    </w:rPr>
                    <w:t xml:space="preserve"> Source: Centers for Disease Control and Prevention (CDC), 2022</w:t>
                    <w:br/>
                  </w:r>
                  <w:r>
                    <w:rPr>
                      <w:rFonts w:ascii="Calibri" w:hAnsi="Calibri" w:eastAsia="Calibri"/>
                      <w:color w:val="000000"/>
                      <w:spacing w:val="0"/>
                      <w:w w:val="100"/>
                      <w:sz w:val="13"/>
                      <w:vertAlign w:val="superscript"/>
                      <w:lang w:val="en-US"/>
                    </w:rPr>
                    <w:t xml:space="preserve">73</w:t>
                  </w:r>
                  <w:r>
                    <w:rPr>
                      <w:rFonts w:ascii="Calibri" w:hAnsi="Calibri" w:eastAsia="Calibri"/>
                      <w:color w:val="000000"/>
                      <w:spacing w:val="0"/>
                      <w:w w:val="100"/>
                      <w:sz w:val="20"/>
                      <w:vertAlign w:val="baseline"/>
                      <w:lang w:val="en-US"/>
                    </w:rPr>
                    <w:t xml:space="preserve"> Source: U.S. Census and 2023 American Community Survey</w:t>
                  </w:r>
                </w:p>
              </w:txbxContent>
            </v:textbox>
          </v:shape>
        </w:pict>
      </w:r>
      <w:r>
        <w:pict>
          <v:shapetype id="_x0000_t553" coordsize="21600,21600" o:spt="202" path="m,l,21600r21600,l21600,xe">
            <v:stroke joinstyle="miter"/>
            <v:path gradientshapeok="t" o:connecttype="rect"/>
          </v:shapetype>
          <v:shape id="_x0000_s552" type="#_x0000_t553"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98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95pt" strokecolor="#000000" from="72pt,672.5pt" to="216.3pt,672.5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54" coordsize="21600,21600" o:spt="202" path="m,l,21600r21600,l21600,xe">
            <v:stroke joinstyle="miter"/>
            <v:path gradientshapeok="t" o:connecttype="rect"/>
          </v:shapetype>
          <v:shape id="_x0000_s553" type="#_x0000_t554" filled="f" stroked="f" style="position:absolute;width:465.15pt;height:222.45pt;z-index:-1;margin-left:71.5pt;margin-top:441.85pt;mso-wrap-distance-bottom:10.45pt;mso-wrap-distance-left:71.5pt;mso-wrap-distance-right:74.85pt;mso-position-horizontal-relative:page;mso-position-vertical-relative:page">
            <w10:wrap type="square"/>
            <v:fill opacity="1" o:opacity2="1" recolor="f" rotate="f" type="solid"/>
            <v:textbox inset="0pt, 0pt, 0pt, 0pt">
              <w:txbxContent>
                <w:p>
                  <w:pPr>
                    <w:pBdr>
                      <w:top w:sz="5" w:space="0" w:color="D8D8D8" w:val="single"/>
                      <w:left w:sz="5" w:space="71" w:color="D8D8D8" w:val="single"/>
                      <w:bottom w:sz="5" w:space="10" w:color="D8D8D8" w:val="single"/>
                      <w:right w:sz="5" w:space="74" w:color="D8D8D8" w:val="single"/>
                    </w:pBdr>
                  </w:pPr>
                </w:p>
              </w:txbxContent>
            </v:textbox>
          </v:shape>
        </w:pict>
      </w:r>
      <w:r>
        <w:pict>
          <v:shapetype id="_x0000_t555" coordsize="21600,21600" o:spt="202" path="m,l,21600r21600,l21600,xe">
            <v:stroke joinstyle="miter"/>
            <v:path gradientshapeok="t" o:connecttype="rect"/>
          </v:shapetype>
          <v:shape id="_x0000_s554" type="#_x0000_t555"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70"/>
                              <a:graphic>
                                <a:graphicData uri="http://schemas.openxmlformats.org/drawingml/2006/picture">
                                  <pic:pic>
                                    <pic:nvPicPr>
                                      <pic:cNvPr id="170" name="Picture"/>
                                      <pic:cNvPicPr preferRelativeResize="false"/>
                                    </pic:nvPicPr>
                                    <pic:blipFill>
                                      <a:blip r:embed="prId170"/>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71"/>
                              <a:graphic>
                                <a:graphicData uri="http://schemas.openxmlformats.org/drawingml/2006/picture">
                                  <pic:pic>
                                    <pic:nvPicPr>
                                      <pic:cNvPr id="171" name="Picture"/>
                                      <pic:cNvPicPr preferRelativeResize="false"/>
                                    </pic:nvPicPr>
                                    <pic:blipFill>
                                      <a:blip r:embed="prId171"/>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556" coordsize="21600,21600" o:spt="202" path="m,l,21600r21600,l21600,xe">
            <v:stroke joinstyle="miter"/>
            <v:path gradientshapeok="t" o:connecttype="rect"/>
          </v:shapetype>
          <v:shape id="_x0000_s555" type="#_x0000_t556" filled="f" stroked="f" style="position:absolute;width:612pt;height:56.1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68"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of 15% from 2016. The rate of immunization completion remained relatively stable between 2019 and 2025, increasing by only 0.22%.</w:t>
                  </w:r>
                </w:p>
                <w:p>
                  <w:pPr>
                    <w:spacing w:before="223" w:after="183" w:line="179"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Table Y5. 4:3:1:3:3:1:4 Schedule</w:t>
                  </w:r>
                </w:p>
              </w:txbxContent>
            </v:textbox>
          </v:shape>
        </w:pict>
      </w:r>
      <w:r>
        <w:pict>
          <v:shapetype id="_x0000_t557" coordsize="21600,21600" o:spt="202" path="m,l,21600r21600,l21600,xe">
            <v:stroke joinstyle="miter"/>
            <v:path gradientshapeok="t" o:connecttype="rect"/>
          </v:shapetype>
          <v:shape id="_x0000_s556" type="#_x0000_t557" filled="f" stroked="f" style="position:absolute;width:612pt;height:147.65pt;z-index:1;margin-left:0pt;margin-top:128.2pt;mso-wrap-distance-left:0pt;mso-wrap-distance-right:0pt;mso-position-horizontal-relative:page;mso-position-vertical-relative:page">
            <w10:wrap anchorx="page" anchory="page"/>
            <v:fill opacity="1" o:opacity2="1" recolor="f" rotate="f" type="solid"/>
            <v:textbox inset="0pt, 0pt, 0pt, 0pt">
              <w:txbxContent>
                <w:tbl>
                  <w:tblPr>
                    <w:jc w:val="left"/>
                    <w:tblInd w:w="1440" w:type="dxa"/>
                    <w:tblLayout w:type="fixed"/>
                    <w:tblCellMar>
                      <w:left w:w="0" w:type="dxa"/>
                      <w:right w:w="0" w:type="dxa"/>
                    </w:tblCellMar>
                  </w:tblPr>
                  <w:tblGrid>
                    <w:gridCol w:w="4680"/>
                    <w:gridCol w:w="4680"/>
                  </w:tblGrid>
                  <w:tr>
                    <w:trPr>
                      <w:trHeight w:val="312" w:hRule="exact"/>
                    </w:trPr>
                    <w:tc>
                      <w:tcPr>
                        <w:tcW w:w="468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9" w:after="24"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Vaccine Type</w:t>
                        </w:r>
                      </w:p>
                    </w:tc>
                    <w:tc>
                      <w:tcPr>
                        <w:tcW w:w="4680" w:type="dxa"/>
                        <w:tcBorders>
                          <w:top w:val="single" w:sz="5" w:color="000000"/>
                          <w:left w:val="single" w:sz="5" w:color="000000"/>
                          <w:bottom w:val="single" w:sz="5" w:color="000000"/>
                          <w:right w:val="single" w:sz="5" w:color="000000"/>
                        </w:tcBorders>
                        <w:shd w:val="clear" w:color="145F82" w:fill="145F82"/>
                        <w:textDirection w:val="lrTb"/>
                        <w:vAlign w:val="center"/>
                      </w:tcPr>
                      <w:p>
                        <w:pPr>
                          <w:spacing w:before="49" w:after="24" w:line="229" w:lineRule="exact"/>
                          <w:ind w:right="0" w:left="0" w:firstLine="0"/>
                          <w:jc w:val="center"/>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Number of Doses</w:t>
                        </w:r>
                      </w:p>
                    </w:tc>
                  </w:tr>
                  <w:tr>
                    <w:trPr>
                      <w:trHeight w:val="312"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Diphtheria, Tetanus, and Pertussis (DTaP)</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3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r>
                  <w:tr>
                    <w:trPr>
                      <w:trHeight w:val="307"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Polio (IPV)</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312"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52"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Measles, Mumps, Rubella (MMR)</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52" w:after="3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r>
                    <w:trPr>
                      <w:trHeight w:val="307"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28"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Hepatitis B</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2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312"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38"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Haemophilus infuenzae type B (Hib)</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39"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w:t>
                        </w:r>
                      </w:p>
                    </w:tc>
                  </w:tr>
                  <w:tr>
                    <w:trPr>
                      <w:trHeight w:val="312"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4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Varicella</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44"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w:t>
                        </w:r>
                      </w:p>
                    </w:tc>
                  </w:tr>
                  <w:tr>
                    <w:trPr>
                      <w:trHeight w:val="317" w:hRule="exact"/>
                    </w:trPr>
                    <w:tc>
                      <w:tcPr>
                        <w:tcW w:w="4680" w:type="dxa"/>
                        <w:tcBorders>
                          <w:top w:val="single" w:sz="5" w:color="000000"/>
                          <w:left w:val="single" w:sz="5" w:color="000000"/>
                          <w:bottom w:val="single" w:sz="5" w:color="000000"/>
                          <w:right w:val="single" w:sz="5" w:color="000000"/>
                        </w:tcBorders>
                        <w:textDirection w:val="lrTb"/>
                        <w:vAlign w:val="center"/>
                      </w:tcPr>
                      <w:p>
                        <w:pPr>
                          <w:spacing w:before="47" w:after="47" w:line="222"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Pneumococcal Conjugate Vaccine (PCV)</w:t>
                        </w:r>
                      </w:p>
                    </w:tc>
                    <w:tc>
                      <w:tcPr>
                        <w:tcW w:w="4680" w:type="dxa"/>
                        <w:tcBorders>
                          <w:top w:val="single" w:sz="5" w:color="000000"/>
                          <w:left w:val="single" w:sz="5" w:color="000000"/>
                          <w:bottom w:val="single" w:sz="5" w:color="000000"/>
                          <w:right w:val="single" w:sz="5" w:color="000000"/>
                        </w:tcBorders>
                        <w:textDirection w:val="lrTb"/>
                        <w:vAlign w:val="center"/>
                      </w:tcPr>
                      <w:p>
                        <w:pPr>
                          <w:spacing w:before="47" w:after="48" w:line="221" w:lineRule="exact"/>
                          <w:ind w:right="0" w:left="0" w:firstLine="0"/>
                          <w:jc w:val="center"/>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w:t>
                        </w:r>
                      </w:p>
                    </w:tc>
                  </w:tr>
                </w:tbl>
                <w:p>
                  <w:pPr>
                    <w:spacing w:before="0" w:after="428" w:line="20" w:lineRule="exact"/>
                  </w:pPr>
                </w:p>
              </w:txbxContent>
            </v:textbox>
          </v:shape>
        </w:pict>
      </w:r>
      <w:r>
        <w:pict>
          <v:shapetype id="_x0000_t558" coordsize="21600,21600" o:spt="202" path="m,l,21600r21600,l21600,xe">
            <v:stroke joinstyle="miter"/>
            <v:path gradientshapeok="t" o:connecttype="rect"/>
          </v:shapetype>
          <v:shape id="_x0000_s557" type="#_x0000_t558" filled="f" stroked="f" style="position:absolute;width:612pt;height:166pt;z-index:1;margin-left:0pt;margin-top:275.85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1"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As of January 1, 2025, Yates County’s MMR (Measles, Mumps, Rubella) vaccination rate is the worst in the state with only 55.8% of residence receiving one MMR dose by 2 years of age, compared to the state average of 81.2% and below the 95% threshold to achieve herd immunity. The recommended childhood vaccination schedule indicates that the first dose of the MMR vaccine be administered between 12 and 15 months and their second dosage between 4 to 6 years, prior to starting Kindergarten.</w:t>
                  </w:r>
                </w:p>
                <w:p>
                  <w:pPr>
                    <w:spacing w:before="160" w:after="0" w:line="289" w:lineRule="exact"/>
                    <w:ind w:right="180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Similarly, the number of children who completed the Human Papillomavirus (HPV) vaccine series increased from 15% in 2016 to 21.5% in 2025, but the overall change since 2017 is only 0.5%. HPV immunization rates fall below the NYS average of 63.6% and well below the state target value of 80% (Figure Y7).</w:t>
                  </w:r>
                </w:p>
                <w:p>
                  <w:pPr>
                    <w:spacing w:before="223" w:after="182" w:line="180"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Figure Y7: Immunization Rates (2025)</w:t>
                  </w:r>
                </w:p>
              </w:txbxContent>
            </v:textbox>
          </v:shape>
        </w:pict>
      </w:r>
      <w:r>
        <w:pict>
          <v:shapetype id="_x0000_t559" coordsize="21600,21600" o:spt="202" path="m,l,21600r21600,l21600,xe">
            <v:stroke joinstyle="miter"/>
            <v:path gradientshapeok="t" o:connecttype="rect"/>
          </v:shapetype>
          <v:shape id="_x0000_s558" type="#_x0000_t559" filled="f" stroked="f" style="position:absolute;width:612pt;height:42.1pt;z-index:-1;margin-left:0pt;margin-top:674.75pt;mso-wrap-distance-left:0pt;mso-wrap-distance-right:0pt;mso-position-horizontal-relative:page;mso-position-vertical-relative:page">
            <w10:wrap type="square" side="both"/>
            <v:fill opacity="1" o:opacity2="1" recolor="f" rotate="f" type="solid"/>
            <v:textbox inset="0pt, 0pt, 0pt, 0pt">
              <w:txbxContent>
                <w:p>
                  <w:pPr>
                    <w:spacing w:before="20" w:after="634" w:line="179"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Source: NYSIIP Performance Reports, IAP Baseline Report</w:t>
                  </w:r>
                </w:p>
              </w:txbxContent>
            </v:textbox>
          </v:shape>
        </w:pict>
      </w:r>
      <w:r>
        <w:pict>
          <v:shapetype id="_x0000_t560" coordsize="21600,21600" o:spt="202" path="m,l,21600r21600,l21600,xe">
            <v:stroke joinstyle="miter"/>
            <v:path gradientshapeok="t" o:connecttype="rect"/>
          </v:shapetype>
          <v:shape id="_x0000_s559" type="#_x0000_t560" filled="f" stroked="f" style="position:absolute;width:465.15pt;height:222.45pt;z-index:-999;margin-left:71.5pt;margin-top:441.85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5907405" cy="2825115"/>
                        <wp:docPr name="Picture" id="172"/>
                        <a:graphic>
                          <a:graphicData uri="http://schemas.openxmlformats.org/drawingml/2006/picture">
                            <pic:pic>
                              <pic:nvPicPr>
                                <pic:cNvPr id="172" name="Picture"/>
                                <pic:cNvPicPr preferRelativeResize="false"/>
                              </pic:nvPicPr>
                              <pic:blipFill>
                                <a:blip r:embed="prId172"/>
                                <a:stretch>
                                  <a:fillRect/>
                                </a:stretch>
                              </pic:blipFill>
                              <pic:spPr>
                                <a:xfrm>
                                  <a:off x="0" y="0"/>
                                  <a:ext cx="5907405" cy="2825115"/>
                                </a:xfrm>
                                <a:prstGeom prst="rect"/>
                              </pic:spPr>
                            </pic:pic>
                          </a:graphicData>
                        </a:graphic>
                      </wp:inline>
                    </w:drawing>
                  </w:r>
                </w:p>
              </w:txbxContent>
            </v:textbox>
          </v:shape>
        </w:pict>
      </w:r>
      <w:r>
        <w:pict>
          <v:shapetype id="_x0000_t561" coordsize="21600,21600" o:spt="202" path="m,l,21600r21600,l21600,xe">
            <v:stroke joinstyle="miter"/>
            <v:path gradientshapeok="t" o:connecttype="rect"/>
          </v:shapetype>
          <v:shape id="_x0000_s560" type="#_x0000_t561" filled="f" stroked="f" style="position:absolute;width:111.15pt;height:17.1pt;z-index:-1;margin-left:249.1pt;margin-top:449.6pt;mso-wrap-distance-left:0pt;mso-wrap-distance-right:0pt;mso-position-horizontal-relative:page;mso-position-vertical-relative:page">
            <w10:wrap type="square" side="both"/>
            <v:fill opacity="1" o:opacity2="1" recolor="f" rotate="f" type="solid"/>
            <v:textbox inset="0pt, 0pt, 0pt, 0pt">
              <w:txbxContent>
                <w:p>
                  <w:pPr>
                    <w:spacing w:before="33" w:after="0" w:line="306" w:lineRule="exact"/>
                    <w:ind w:right="0" w:left="0" w:firstLine="0"/>
                    <w:jc w:val="center"/>
                    <w:textAlignment w:val="baseline"/>
                    <w:rPr>
                      <w:rFonts w:ascii="Calibri" w:hAnsi="Calibri" w:eastAsia="Calibri"/>
                      <w:color w:val="585858"/>
                      <w:spacing w:val="-9"/>
                      <w:w w:val="100"/>
                      <w:sz w:val="28"/>
                      <w:vertAlign w:val="baseline"/>
                      <w:lang w:val="en-US"/>
                    </w:rPr>
                  </w:pPr>
                  <w:r>
                    <w:rPr>
                      <w:rFonts w:ascii="Calibri" w:hAnsi="Calibri" w:eastAsia="Calibri"/>
                      <w:color w:val="585858"/>
                      <w:spacing w:val="-9"/>
                      <w:w w:val="100"/>
                      <w:sz w:val="28"/>
                      <w:vertAlign w:val="baseline"/>
                      <w:lang w:val="en-US"/>
                    </w:rPr>
                    <w:t xml:space="preserve">Immunization Rates</w:t>
                  </w:r>
                </w:p>
              </w:txbxContent>
            </v:textbox>
          </v:shape>
        </w:pict>
      </w:r>
      <w:r>
        <w:pict>
          <v:shapetype id="_x0000_t562" coordsize="21600,21600" o:spt="202" path="m,l,21600r21600,l21600,xe">
            <v:stroke joinstyle="miter"/>
            <v:path gradientshapeok="t" o:connecttype="rect"/>
          </v:shapetype>
          <v:shape id="_x0000_s561" type="#_x0000_t562" filled="f" stroked="f" style="position:absolute;width:18.3pt;height:15.45pt;z-index:-1;margin-left:95.15pt;margin-top:467.7pt;mso-wrap-distance-left:0pt;mso-wrap-distance-right:0pt;mso-position-horizontal-relative:page;mso-position-vertical-relative:page">
            <w10:wrap type="square" side="both"/>
            <v:fill opacity="1" o:opacity2="1" recolor="f" rotate="f" type="solid"/>
            <v:textbox inset="0pt, 0pt, 0pt, 0pt">
              <w:txbxContent>
                <w:p>
                  <w:pPr>
                    <w:spacing w:before="129"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90</w:t>
                  </w:r>
                </w:p>
              </w:txbxContent>
            </v:textbox>
          </v:shape>
        </w:pict>
      </w:r>
      <w:r>
        <w:pict>
          <v:shapetype id="_x0000_t563" coordsize="21600,21600" o:spt="202" path="m,l,21600r21600,l21600,xe">
            <v:stroke joinstyle="miter"/>
            <v:path gradientshapeok="t" o:connecttype="rect"/>
          </v:shapetype>
          <v:shape id="_x0000_s562" type="#_x0000_t563" filled="f" stroked="f" style="position:absolute;width:289.2pt;height:10pt;z-index:-1;margin-left:178.3pt;margin-top:624.1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2376"/>
                      <w:tab w:val="right" w:leader="none" w:pos="5832"/>
                    </w:tabs>
                    <w:spacing w:before="20"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HPV	</w:t>
                  </w:r>
                  <w:r>
                    <w:rPr>
                      <w:rFonts w:ascii="Calibri" w:hAnsi="Calibri" w:eastAsia="Calibri"/>
                      <w:color w:val="585858"/>
                      <w:spacing w:val="0"/>
                      <w:w w:val="100"/>
                      <w:sz w:val="18"/>
                      <w:vertAlign w:val="baseline"/>
                      <w:lang w:val="en-US"/>
                    </w:rPr>
                    <w:t xml:space="preserve">4:3:1:3:3:1:4	</w:t>
                  </w:r>
                  <w:r>
                    <w:rPr>
                      <w:rFonts w:ascii="Calibri" w:hAnsi="Calibri" w:eastAsia="Calibri"/>
                      <w:color w:val="585858"/>
                      <w:spacing w:val="0"/>
                      <w:w w:val="100"/>
                      <w:sz w:val="18"/>
                      <w:vertAlign w:val="baseline"/>
                      <w:lang w:val="en-US"/>
                    </w:rPr>
                    <w:t xml:space="preserve">MMR</w:t>
                  </w:r>
                </w:p>
              </w:txbxContent>
            </v:textbox>
          </v:shape>
        </w:pict>
      </w:r>
      <w:r>
        <w:pict>
          <v:shapetype id="_x0000_t564" coordsize="21600,21600" o:spt="202" path="m,l,21600r21600,l21600,xe">
            <v:stroke joinstyle="miter"/>
            <v:path gradientshapeok="t" o:connecttype="rect"/>
          </v:shapetype>
          <v:shape id="_x0000_s563" type="#_x0000_t564" filled="f" stroked="f" style="position:absolute;width:135.85pt;height:10.25pt;z-index:-1;margin-left:252.7pt;margin-top:644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1152"/>
                      <w:tab w:val="right" w:leader="none" w:pos="2736"/>
                    </w:tabs>
                    <w:spacing w:before="20"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Yates	</w:t>
                  </w:r>
                  <w:r>
                    <w:rPr>
                      <w:rFonts w:ascii="Calibri" w:hAnsi="Calibri" w:eastAsia="Calibri"/>
                      <w:color w:val="585858"/>
                      <w:spacing w:val="0"/>
                      <w:w w:val="100"/>
                      <w:sz w:val="18"/>
                      <w:vertAlign w:val="baseline"/>
                      <w:lang w:val="en-US"/>
                    </w:rPr>
                    <w:t xml:space="preserve">NYS 	</w:t>
                  </w:r>
                  <w:r>
                    <w:rPr>
                      <w:rFonts w:ascii="Calibri" w:hAnsi="Calibri" w:eastAsia="Calibri"/>
                      <w:color w:val="585858"/>
                      <w:spacing w:val="0"/>
                      <w:w w:val="100"/>
                      <w:sz w:val="18"/>
                      <w:vertAlign w:val="baseline"/>
                      <w:lang w:val="en-US"/>
                    </w:rPr>
                    <w:t xml:space="preserve">Target</w:t>
                  </w:r>
                </w:p>
              </w:txbxContent>
            </v:textbox>
          </v:shape>
        </w:pict>
      </w:r>
      <w:r>
        <w:pict>
          <v:shapetype id="_x0000_t565" coordsize="21600,21600" o:spt="202" path="m,l,21600r21600,l21600,xe">
            <v:stroke joinstyle="miter"/>
            <v:path gradientshapeok="t" o:connecttype="rect"/>
          </v:shapetype>
          <v:shape id="_x0000_s564" type="#_x0000_t565" filled="f" stroked="f" style="position:absolute;width:12.2pt;height:82.3pt;z-index:-1;margin-left:84.35pt;margin-top:507.85pt;mso-wrap-distance-left:0pt;mso-wrap-distance-right:0pt;mso-position-horizontal-relative:page;mso-position-vertical-relative:page">
            <w10:wrap type="square" side="both"/>
            <v:fill opacity="1" o:opacity2="1" recolor="f" rotate="f" type="solid"/>
            <v:textbox style="layout-flow:vertical;mso-layout-flow-alt:bottom-to-top;direction:ltr" inset="0pt, 0pt, 0pt, 0pt">
              <w:txbxContent>
                <w:p>
                  <w:pPr>
                    <w:spacing w:before="55" w:after="19" w:line="168" w:lineRule="exact"/>
                    <w:ind w:right="0" w:left="0" w:firstLine="0"/>
                    <w:jc w:val="left"/>
                    <w:textAlignment w:val="baseline"/>
                    <w:rPr>
                      <w:rFonts w:ascii="Calibri" w:hAnsi="Calibri" w:eastAsia="Calibri"/>
                      <w:color w:val="000000"/>
                      <w:spacing w:val="-11"/>
                      <w:w w:val="100"/>
                      <w:sz w:val="20"/>
                      <w:vertAlign w:val="baseline"/>
                      <w:lang w:val="en-US"/>
                    </w:rPr>
                  </w:pPr>
                  <w:r>
                    <w:rPr>
                      <w:rFonts w:ascii="Calibri" w:hAnsi="Calibri" w:eastAsia="Calibri"/>
                      <w:color w:val="000000"/>
                      <w:spacing w:val="-11"/>
                      <w:w w:val="100"/>
                      <w:sz w:val="20"/>
                      <w:vertAlign w:val="baseline"/>
                      <w:lang w:val="en-US"/>
                    </w:rPr>
                    <w:t xml:space="preserve">Completion Rate (%)</w:t>
                  </w:r>
                </w:p>
              </w:txbxContent>
            </v:textbox>
          </v:shape>
        </w:pict>
      </w:r>
      <w:r>
        <w:pict>
          <v:shapetype id="_x0000_t566" coordsize="21600,21600" o:spt="202" path="m,l,21600r21600,l21600,xe">
            <v:stroke joinstyle="miter"/>
            <v:path gradientshapeok="t" o:connecttype="rect"/>
          </v:shapetype>
          <v:shape id="_x0000_s565" type="#_x0000_t566" filled="f" stroked="f" style="position:absolute;width:16.9pt;height:15.45pt;z-index:-1;margin-left:96.55pt;margin-top:545.2pt;mso-wrap-distance-left:0pt;mso-wrap-distance-right:0pt;mso-position-horizontal-relative:page;mso-position-vertical-relative:page">
            <w10:wrap type="square" side="both"/>
            <v:fill opacity="1" o:opacity2="1" recolor="f" rotate="f" type="solid"/>
            <v:textbox inset="0pt, 0pt, 0pt, 0pt">
              <w:txbxContent>
                <w:p>
                  <w:pPr>
                    <w:spacing w:before="129"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40</w:t>
                  </w:r>
                </w:p>
              </w:txbxContent>
            </v:textbox>
          </v:shape>
        </w:pict>
      </w:r>
      <w:r>
        <w:pict>
          <v:shapetype id="_x0000_t567" coordsize="21600,21600" o:spt="202" path="m,l,21600r21600,l21600,xe">
            <v:stroke joinstyle="miter"/>
            <v:path gradientshapeok="t" o:connecttype="rect"/>
          </v:shapetype>
          <v:shape id="_x0000_s566" type="#_x0000_t567" filled="f" stroked="f" style="position:absolute;width:18.3pt;height:15.45pt;z-index:-1;margin-left:95.15pt;margin-top:483.3pt;mso-wrap-distance-left:0pt;mso-wrap-distance-right:0pt;mso-position-horizontal-relative:page;mso-position-vertical-relative:page">
            <w10:wrap type="square" side="both"/>
            <v:fill opacity="1" o:opacity2="1" recolor="f" rotate="f" type="solid"/>
            <v:textbox inset="0pt, 0pt, 0pt, 0pt">
              <w:txbxContent>
                <w:p>
                  <w:pPr>
                    <w:spacing w:before="129" w:after="0" w:line="16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80</w:t>
                  </w:r>
                </w:p>
              </w:txbxContent>
            </v:textbox>
          </v:shape>
        </w:pict>
      </w:r>
      <w:r>
        <w:pict>
          <v:shapetype id="_x0000_t568" coordsize="21600,21600" o:spt="202" path="m,l,21600r21600,l21600,xe">
            <v:stroke joinstyle="miter"/>
            <v:path gradientshapeok="t" o:connecttype="rect"/>
          </v:shapetype>
          <v:shape id="_x0000_s567" type="#_x0000_t568" filled="f" stroked="f" style="position:absolute;width:16.9pt;height:15.35pt;z-index:-1;margin-left:96.55pt;margin-top:498.75pt;mso-wrap-distance-left:0pt;mso-wrap-distance-right:0pt;mso-position-horizontal-relative:page;mso-position-vertical-relative:page">
            <w10:wrap type="square" side="both"/>
            <v:fill opacity="1" o:opacity2="1" recolor="f" rotate="f" type="solid"/>
            <v:textbox inset="0pt, 0pt, 0pt, 0pt">
              <w:txbxContent>
                <w:p>
                  <w:pPr>
                    <w:spacing w:before="127"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70</w:t>
                  </w:r>
                </w:p>
              </w:txbxContent>
            </v:textbox>
          </v:shape>
        </w:pict>
      </w:r>
      <w:r>
        <w:pict>
          <v:shapetype id="_x0000_t569" coordsize="21600,21600" o:spt="202" path="m,l,21600r21600,l21600,xe">
            <v:stroke joinstyle="miter"/>
            <v:path gradientshapeok="t" o:connecttype="rect"/>
          </v:shapetype>
          <v:shape id="_x0000_s568" type="#_x0000_t569" filled="f" stroked="f" style="position:absolute;width:16.9pt;height:15.45pt;z-index:-1;margin-left:96.55pt;margin-top:514.25pt;mso-wrap-distance-left:0pt;mso-wrap-distance-right:0pt;mso-position-horizontal-relative:page;mso-position-vertical-relative:page">
            <w10:wrap type="square" side="both"/>
            <v:fill opacity="1" o:opacity2="1" recolor="f" rotate="f" type="solid"/>
            <v:textbox inset="0pt, 0pt, 0pt, 0pt">
              <w:txbxContent>
                <w:p>
                  <w:pPr>
                    <w:spacing w:before="129"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60</w:t>
                  </w:r>
                </w:p>
              </w:txbxContent>
            </v:textbox>
          </v:shape>
        </w:pict>
      </w:r>
      <w:r>
        <w:pict>
          <v:shapetype id="_x0000_t570" coordsize="21600,21600" o:spt="202" path="m,l,21600r21600,l21600,xe">
            <v:stroke joinstyle="miter"/>
            <v:path gradientshapeok="t" o:connecttype="rect"/>
          </v:shapetype>
          <v:shape id="_x0000_s569" type="#_x0000_t570" filled="f" stroked="f" style="position:absolute;width:16.9pt;height:15.35pt;z-index:-1;margin-left:96.55pt;margin-top:529.7pt;mso-wrap-distance-left:0pt;mso-wrap-distance-right:0pt;mso-position-horizontal-relative:page;mso-position-vertical-relative:page">
            <w10:wrap type="square" side="both"/>
            <v:fill opacity="1" o:opacity2="1" recolor="f" rotate="f" type="solid"/>
            <v:textbox inset="0pt, 0pt, 0pt, 0pt">
              <w:txbxContent>
                <w:p>
                  <w:pPr>
                    <w:spacing w:before="127" w:after="0" w:line="179"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50</w:t>
                  </w:r>
                </w:p>
              </w:txbxContent>
            </v:textbox>
          </v:shape>
        </w:pict>
      </w:r>
      <w:r>
        <w:pict>
          <v:shapetype id="_x0000_t571" coordsize="21600,21600" o:spt="202" path="m,l,21600r21600,l21600,xe">
            <v:stroke joinstyle="miter"/>
            <v:path gradientshapeok="t" o:connecttype="rect"/>
          </v:shapetype>
          <v:shape id="_x0000_s570" type="#_x0000_t571" filled="f" stroked="f" style="position:absolute;width:16.9pt;height:15.35pt;z-index:-1;margin-left:96.55pt;margin-top:560.65pt;mso-wrap-distance-left:0pt;mso-wrap-distance-right:0pt;mso-position-horizontal-relative:page;mso-position-vertical-relative:page">
            <w10:wrap type="square" side="both"/>
            <v:fill opacity="1" o:opacity2="1" recolor="f" rotate="f" type="solid"/>
            <v:textbox inset="0pt, 0pt, 0pt, 0pt">
              <w:txbxContent>
                <w:p>
                  <w:pPr>
                    <w:spacing w:before="127" w:after="0" w:line="18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30</w:t>
                  </w:r>
                </w:p>
              </w:txbxContent>
            </v:textbox>
          </v:shape>
        </w:pict>
      </w:r>
      <w:r>
        <w:pict>
          <v:shapetype id="_x0000_t572" coordsize="21600,21600" o:spt="202" path="m,l,21600r21600,l21600,xe">
            <v:stroke joinstyle="miter"/>
            <v:path gradientshapeok="t" o:connecttype="rect"/>
          </v:shapetype>
          <v:shape id="_x0000_s571" type="#_x0000_t572" filled="f" stroked="f" style="position:absolute;width:16.9pt;height:15.35pt;z-index:-1;margin-left:96.55pt;margin-top:576pt;mso-wrap-distance-left:0pt;mso-wrap-distance-right:0pt;mso-position-horizontal-relative:page;mso-position-vertical-relative:page">
            <w10:wrap type="square" side="both"/>
            <v:fill opacity="1" o:opacity2="1" recolor="f" rotate="f" type="solid"/>
            <v:textbox inset="0pt, 0pt, 0pt, 0pt">
              <w:txbxContent>
                <w:p>
                  <w:pPr>
                    <w:spacing w:before="127" w:after="0" w:line="17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20</w:t>
                  </w:r>
                </w:p>
              </w:txbxContent>
            </v:textbox>
          </v:shape>
        </w:pict>
      </w:r>
      <w:r>
        <w:pict>
          <v:shapetype id="_x0000_t573" coordsize="21600,21600" o:spt="202" path="m,l,21600r21600,l21600,xe">
            <v:stroke joinstyle="miter"/>
            <v:path gradientshapeok="t" o:connecttype="rect"/>
          </v:shapetype>
          <v:shape id="_x0000_s572" type="#_x0000_t573" filled="f" stroked="f" style="position:absolute;width:18.1pt;height:15.45pt;z-index:-1;margin-left:95.35pt;margin-top:591.5pt;mso-wrap-distance-left:0pt;mso-wrap-distance-right:0pt;mso-position-horizontal-relative:page;mso-position-vertical-relative:page">
            <w10:wrap type="square" side="both"/>
            <v:fill opacity="1" o:opacity2="1" recolor="f" rotate="f" type="solid"/>
            <v:textbox inset="0pt, 0pt, 0pt, 0pt">
              <w:txbxContent>
                <w:p>
                  <w:pPr>
                    <w:spacing w:before="129" w:after="0" w:line="165"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10</w:t>
                  </w:r>
                </w:p>
              </w:txbxContent>
            </v:textbox>
          </v:shape>
        </w:pict>
      </w:r>
      <w:r>
        <w:pict>
          <v:shapetype id="_x0000_t574" coordsize="21600,21600" o:spt="202" path="m,l,21600r21600,l21600,xe">
            <v:stroke joinstyle="miter"/>
            <v:path gradientshapeok="t" o:connecttype="rect"/>
          </v:shapetype>
          <v:shape id="_x0000_s573" type="#_x0000_t574" filled="f" stroked="f" style="position:absolute;width:10.4pt;height:15.45pt;z-index:-1;margin-left:101.25pt;margin-top:607.1pt;mso-wrap-distance-left:0pt;mso-wrap-distance-right:0pt;mso-position-horizontal-relative:page;mso-position-vertical-relative:page">
            <w10:wrap type="square" side="both"/>
            <v:fill opacity="1" o:opacity2="1" recolor="f" rotate="f" type="solid"/>
            <v:textbox inset="0pt, 0pt, 0pt, 0pt">
              <w:txbxContent>
                <w:p>
                  <w:pPr>
                    <w:spacing w:before="129" w:after="0" w:line="170" w:lineRule="exact"/>
                    <w:ind w:right="0" w:left="0" w:firstLine="0"/>
                    <w:jc w:val="left"/>
                    <w:textAlignment w:val="baseline"/>
                    <w:rPr>
                      <w:rFonts w:ascii="Calibri" w:hAnsi="Calibri" w:eastAsia="Calibri"/>
                      <w:color w:val="585858"/>
                      <w:spacing w:val="0"/>
                      <w:w w:val="100"/>
                      <w:sz w:val="18"/>
                      <w:vertAlign w:val="baseline"/>
                      <w:lang w:val="en-US"/>
                    </w:rPr>
                  </w:pPr>
                  <w:r>
                    <w:rPr>
                      <w:rFonts w:ascii="Calibri" w:hAnsi="Calibri" w:eastAsia="Calibri"/>
                      <w:color w:val="585858"/>
                      <w:spacing w:val="0"/>
                      <w:w w:val="100"/>
                      <w:sz w:val="18"/>
                      <w:vertAlign w:val="baseline"/>
                      <w:lang w:val="en-US"/>
                    </w:rPr>
                    <w:t xml:space="preserve">0</w:t>
                  </w:r>
                </w:p>
              </w:txbxContent>
            </v:textbox>
          </v:shape>
        </w:pict>
      </w:r>
      <w:r>
        <w:pict>
          <v:shapetype id="_x0000_t575" coordsize="21600,21600" o:spt="202" path="m,l,21600r21600,l21600,xe">
            <v:stroke joinstyle="miter"/>
            <v:path gradientshapeok="t" o:connecttype="rect"/>
          </v:shapetype>
          <v:shape id="_x0000_s574" type="#_x0000_t575"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99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76" coordsize="21600,21600" o:spt="202" path="m,l,21600r21600,l21600,xe">
            <v:stroke joinstyle="miter"/>
            <v:path gradientshapeok="t" o:connecttype="rect"/>
          </v:shapetype>
          <v:shape id="_x0000_s575" type="#_x0000_t576"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73"/>
                              <a:graphic>
                                <a:graphicData uri="http://schemas.openxmlformats.org/drawingml/2006/picture">
                                  <pic:pic>
                                    <pic:nvPicPr>
                                      <pic:cNvPr id="173" name="Picture"/>
                                      <pic:cNvPicPr preferRelativeResize="false"/>
                                    </pic:nvPicPr>
                                    <pic:blipFill>
                                      <a:blip r:embed="prId17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74"/>
                              <a:graphic>
                                <a:graphicData uri="http://schemas.openxmlformats.org/drawingml/2006/picture">
                                  <pic:pic>
                                    <pic:nvPicPr>
                                      <pic:cNvPr id="174" name="Picture"/>
                                      <pic:cNvPicPr preferRelativeResize="false"/>
                                    </pic:nvPicPr>
                                    <pic:blipFill>
                                      <a:blip r:embed="prId174"/>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577" coordsize="21600,21600" o:spt="202" path="m,l,21600r21600,l21600,xe">
            <v:stroke joinstyle="miter"/>
            <v:path gradientshapeok="t" o:connecttype="rect"/>
          </v:shapetype>
          <v:shape id="_x0000_s576" type="#_x0000_t577" filled="f" stroked="f" style="position:absolute;width:612pt;height:292.35pt;z-index:1;margin-left:0pt;margin-top:70.05pt;mso-wrap-distance-left:0pt;mso-wrap-distance-right:0pt;mso-position-horizontal-relative:page;mso-position-vertical-relative:page">
            <w10:wrap anchorx="page" anchory="page"/>
            <v:fill opacity="1" o:opacity2="1" recolor="f" rotate="f" type="solid"/>
            <v:textbox inset="0pt, 0pt, 0pt, 0pt">
              <w:txbxContent>
                <w:p>
                  <w:pPr>
                    <w:spacing w:before="4" w:after="0" w:line="289" w:lineRule="exact"/>
                    <w:ind w:right="1584"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Yates County’s low Immunization rates are likely affected by the large Mennonite population in the community. It is common practice for the Mennonite community to remain unvaccinated and seek alternative, holistic measures of care. Of note, though, is that Mennonite office visits for immunizations at Yates County Public Health increased by 57% since 2024, indicating a growing interest in this practice. Nonetheless, targeted, culturally competent education is key to understanding the importance and effectiveness of vaccination and ultimately improving rates of immunization.</w:t>
                  </w:r>
                </w:p>
                <w:p>
                  <w:pPr>
                    <w:spacing w:before="161"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Testing for blood levels of lead is essential in young children as no level of lead in the blood is safe. The CDC indicates that lead poisoning may lead to slowed growth and development, learning and behavior problems, and other long-term health effects. Young children may not show signs and symptoms of lead in the blood and body but can quickly be negatively impacted. Individuals that live or spend time in buildings built before 1978 or are from low-income households are especially vulnerable. With 18% of children under age 18 living in poverty, it is essential to prioritize efforts to improve access to and completion of lead screening to safeguard long-term health in the county.</w:t>
                  </w:r>
                </w:p>
                <w:p>
                  <w:pPr>
                    <w:spacing w:before="164" w:after="0" w:line="289" w:lineRule="exact"/>
                    <w:ind w:right="1656"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Lead screening data from 2024 (Figure Y8) indicate that the percentage of children aged one year who received one lead screening is 40.5%. The percentage of children aged two years who received at least one lead screening was 42.7%. Those who received at least two lead screenings by three years of age were 32.4%. Overall trends are showing a decline in all measures of lead testing.</w:t>
                  </w:r>
                </w:p>
                <w:p>
                  <w:pPr>
                    <w:spacing w:before="224" w:after="197" w:line="179"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Figure Y8: Preventive Services – Lead Screening (2024)</w:t>
                  </w:r>
                </w:p>
              </w:txbxContent>
            </v:textbox>
          </v:shape>
        </w:pict>
      </w:r>
      <w:r>
        <w:pict>
          <v:shapetype id="_x0000_t578" coordsize="21600,21600" o:spt="202" path="m,l,21600r21600,l21600,xe">
            <v:stroke joinstyle="miter"/>
            <v:path gradientshapeok="t" o:connecttype="rect"/>
          </v:shapetype>
          <v:shape id="_x0000_s577" type="#_x0000_t578" filled="f" stroked="f" style="position:absolute;width:612pt;height:271.55pt;z-index:-1;margin-left:0pt;margin-top:362.4pt;mso-wrap-distance-left:0pt;mso-wrap-distance-right:0pt;mso-position-horizontal-relative:page;mso-position-vertical-relative:page">
            <w10:wrap type="square" side="both"/>
            <v:fill opacity="1" o:opacity2="1" recolor="f" rotate="f" type="solid"/>
            <v:textbox inset="0pt, 0pt, 0pt, 0pt">
              <w:txbxContent>
                <w:p>
                  <w:pPr>
                    <w:spacing w:before="0" w:after="189" w:line="240" w:lineRule="auto"/>
                    <w:ind w:right="1454" w:left="1440"/>
                    <w:jc w:val="left"/>
                    <w:textAlignment w:val="baseline"/>
                  </w:pPr>
                  <w:r>
                    <w:drawing>
                      <wp:inline>
                        <wp:extent cx="5934710" cy="3328670"/>
                        <wp:docPr name="Picture" id="175"/>
                        <a:graphic>
                          <a:graphicData uri="http://schemas.openxmlformats.org/drawingml/2006/picture">
                            <pic:pic>
                              <pic:nvPicPr>
                                <pic:cNvPr id="175" name="Picture"/>
                                <pic:cNvPicPr preferRelativeResize="false"/>
                              </pic:nvPicPr>
                              <pic:blipFill>
                                <a:blip r:embed="prId175"/>
                                <a:stretch>
                                  <a:fillRect/>
                                </a:stretch>
                              </pic:blipFill>
                              <pic:spPr>
                                <a:xfrm>
                                  <a:off x="0" y="0"/>
                                  <a:ext cx="5934710" cy="3328670"/>
                                </a:xfrm>
                                <a:prstGeom prst="rect"/>
                              </pic:spPr>
                            </pic:pic>
                          </a:graphicData>
                        </a:graphic>
                      </wp:inline>
                    </w:drawing>
                  </w:r>
                </w:p>
              </w:txbxContent>
            </v:textbox>
          </v:shape>
        </w:pict>
      </w:r>
      <w:r>
        <w:pict>
          <v:shapetype id="_x0000_t579" coordsize="21600,21600" o:spt="202" path="m,l,21600r21600,l21600,xe">
            <v:stroke joinstyle="miter"/>
            <v:path gradientshapeok="t" o:connecttype="rect"/>
          </v:shapetype>
          <v:shape id="_x0000_s578" type="#_x0000_t579" filled="f" stroked="f" style="position:absolute;width:612pt;height:82.9pt;z-index:1;margin-left:0pt;margin-top:633.9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79" w:lineRule="exact"/>
                    <w:ind w:right="0" w:left="1440" w:firstLine="0"/>
                    <w:jc w:val="left"/>
                    <w:textAlignment w:val="baseline"/>
                    <w:rPr>
                      <w:rFonts w:ascii="Calibri" w:hAnsi="Calibri" w:eastAsia="Calibri"/>
                      <w:i w:val="true"/>
                      <w:color w:val="000000"/>
                      <w:spacing w:val="0"/>
                      <w:w w:val="100"/>
                      <w:sz w:val="18"/>
                      <w:vertAlign w:val="baseline"/>
                      <w:lang w:val="en-US"/>
                    </w:rPr>
                  </w:pPr>
                  <w:r>
                    <w:rPr>
                      <w:rFonts w:ascii="Calibri" w:hAnsi="Calibri" w:eastAsia="Calibri"/>
                      <w:i w:val="true"/>
                      <w:color w:val="000000"/>
                      <w:spacing w:val="0"/>
                      <w:w w:val="100"/>
                      <w:sz w:val="18"/>
                      <w:vertAlign w:val="baseline"/>
                      <w:lang w:val="en-US"/>
                    </w:rPr>
                    <w:t xml:space="preserve">Source: NYSIIP Performance Reports, IAP Baseline Report</w:t>
                  </w:r>
                </w:p>
                <w:p>
                  <w:pPr>
                    <w:spacing w:before="160" w:after="134" w:line="289" w:lineRule="exact"/>
                    <w:ind w:right="1440" w:left="1440" w:firstLine="0"/>
                    <w:jc w:val="left"/>
                    <w:textAlignment w:val="baseline"/>
                    <w:rPr>
                      <w:rFonts w:ascii="Calibri" w:hAnsi="Calibri" w:eastAsia="Calibri"/>
                      <w:b w:val="true"/>
                      <w:i w:val="true"/>
                      <w:color w:val="000000"/>
                      <w:spacing w:val="0"/>
                      <w:w w:val="100"/>
                      <w:sz w:val="22"/>
                      <w:vertAlign w:val="baseline"/>
                      <w:lang w:val="en-US"/>
                    </w:rPr>
                  </w:pPr>
                  <w:r>
                    <w:rPr>
                      <w:rFonts w:ascii="Calibri" w:hAnsi="Calibri" w:eastAsia="Calibri"/>
                      <w:b w:val="true"/>
                      <w:i w:val="true"/>
                      <w:color w:val="000000"/>
                      <w:spacing w:val="0"/>
                      <w:w w:val="100"/>
                      <w:sz w:val="22"/>
                      <w:vertAlign w:val="baseline"/>
                      <w:lang w:val="en-US"/>
                    </w:rPr>
                    <w:t xml:space="preserve">Health Care Access and Quality Domain Summary</w:t>
                  </w:r>
                  <w:r>
                    <w:rPr>
                      <w:rFonts w:ascii="Calibri" w:hAnsi="Calibri" w:eastAsia="Calibri"/>
                      <w:i w:val="true"/>
                      <w:color w:val="000000"/>
                      <w:spacing w:val="0"/>
                      <w:w w:val="100"/>
                      <w:sz w:val="22"/>
                      <w:vertAlign w:val="baseline"/>
                      <w:lang w:val="en-US"/>
                    </w:rPr>
                    <w:t xml:space="preserve">: </w:t>
                  </w:r>
                  <w:r>
                    <w:rPr>
                      <w:rFonts w:ascii="Calibri" w:hAnsi="Calibri" w:eastAsia="Calibri"/>
                      <w:color w:val="000000"/>
                      <w:spacing w:val="0"/>
                      <w:w w:val="100"/>
                      <w:sz w:val="22"/>
                      <w:vertAlign w:val="baseline"/>
                      <w:lang w:val="en-US"/>
                    </w:rPr>
                    <w:t xml:space="preserve">Yates County shows progress in several maternal and child health indicators, including increased abstinence from smoking, alcohol, and drug use during pregnancy, lower rates of low birthweight, and high breasffeeding rates. However, challenges remain. Preventive care access is strained by provider shortages, declining insurance coverage, transportation</w:t>
                  </w:r>
                </w:p>
              </w:txbxContent>
            </v:textbox>
          </v:shape>
        </w:pict>
      </w:r>
      <w:r>
        <w:pict>
          <v:shapetype id="_x0000_t580" coordsize="21600,21600" o:spt="202" path="m,l,21600r21600,l21600,xe">
            <v:stroke joinstyle="miter"/>
            <v:path gradientshapeok="t" o:connecttype="rect"/>
          </v:shapetype>
          <v:shape id="_x0000_s579" type="#_x0000_t580"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100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3"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81" coordsize="21600,21600" o:spt="202" path="m,l,21600r21600,l21600,xe">
            <v:stroke joinstyle="miter"/>
            <v:path gradientshapeok="t" o:connecttype="rect"/>
          </v:shapetype>
          <v:shape id="_x0000_s580" type="#_x0000_t581"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76"/>
                              <a:graphic>
                                <a:graphicData uri="http://schemas.openxmlformats.org/drawingml/2006/picture">
                                  <pic:pic>
                                    <pic:nvPicPr>
                                      <pic:cNvPr id="176" name="Picture"/>
                                      <pic:cNvPicPr preferRelativeResize="false"/>
                                    </pic:nvPicPr>
                                    <pic:blipFill>
                                      <a:blip r:embed="prId17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77"/>
                              <a:graphic>
                                <a:graphicData uri="http://schemas.openxmlformats.org/drawingml/2006/picture">
                                  <pic:pic>
                                    <pic:nvPicPr>
                                      <pic:cNvPr id="177" name="Picture"/>
                                      <pic:cNvPicPr preferRelativeResize="false"/>
                                    </pic:nvPicPr>
                                    <pic:blipFill>
                                      <a:blip r:embed="prId177"/>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shapetype id="_x0000_t582" coordsize="21600,21600" o:spt="202" path="m,l,21600r21600,l21600,xe">
            <v:stroke joinstyle="miter"/>
            <v:path gradientshapeok="t" o:connecttype="rect"/>
          </v:shapetype>
          <v:shape id="_x0000_s581" type="#_x0000_t582" filled="f" stroked="f" style="position:absolute;width:612pt;height:385.45pt;z-index:1;margin-left:0pt;margin-top:70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89"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barriers, and lower preventive screening rates among low-income residents. Dental care access, particularly for Medicaid enrollees, has also declined. Immunization and lead-screening rates have declined since 2019. Overall, significant gaps in access to preventive, oral, and specialty care continue to affect community health outcomes.</w:t>
                  </w:r>
                </w:p>
                <w:p>
                  <w:pPr>
                    <w:spacing w:before="237" w:after="0" w:line="287" w:lineRule="exact"/>
                    <w:ind w:right="0" w:left="1440" w:firstLine="0"/>
                    <w:jc w:val="left"/>
                    <w:textAlignment w:val="baseline"/>
                    <w:rPr>
                      <w:rFonts w:ascii="Calibri" w:hAnsi="Calibri" w:eastAsia="Calibri"/>
                      <w:b w:val="true"/>
                      <w:i w:val="true"/>
                      <w:color w:val="000000"/>
                      <w:spacing w:val="0"/>
                      <w:w w:val="100"/>
                      <w:sz w:val="28"/>
                      <w:vertAlign w:val="baseline"/>
                      <w:lang w:val="en-US"/>
                    </w:rPr>
                  </w:pPr>
                  <w:r>
                    <w:rPr>
                      <w:rFonts w:ascii="Calibri" w:hAnsi="Calibri" w:eastAsia="Calibri"/>
                      <w:b w:val="true"/>
                      <w:i w:val="true"/>
                      <w:color w:val="000000"/>
                      <w:spacing w:val="0"/>
                      <w:w w:val="100"/>
                      <w:sz w:val="28"/>
                      <w:vertAlign w:val="baseline"/>
                      <w:lang w:val="en-US"/>
                    </w:rPr>
                    <w:t xml:space="preserve">Domain: Education Access and Quality</w:t>
                  </w:r>
                </w:p>
                <w:p>
                  <w:pPr>
                    <w:spacing w:before="162" w:after="0" w:line="290" w:lineRule="exact"/>
                    <w:ind w:right="1728"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Education strongly influences health. Individuals with more schooling live longer, have fewer chronic diseases, and experience greater economic stability. Chronic absenteeism, defined by the U.S. Department of Education as missing at least 10% of the school year for any reason, can interfere with educational attainment. Several factors contribute to absenteeism, such as physical and mental health challenges, substance use, unsafe school environments, and low fitness levels.</w:t>
                  </w:r>
                </w:p>
                <w:p>
                  <w:pPr>
                    <w:spacing w:before="161"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Chronic absenteeism rose sharply in New York State after the COVID-19 pandemic. In 2022–2023, 26.4% of all students and 34.1% of high school students were chronically absent, far above the pre-pandemic rate of 15.5%. Chronic absenteeism is associated with lower academic achievement, social disengagement, higher dropout risk, and poorer long-term health and economic outcomes. The percentage of students who start ninth grade and graduate in four years was 80% in 2023, lower than the NYS average of 87% and unchanged from the baseline in 2018. The graduation rate for students classified as economically disadvantaged was 81% in 2023 versus 82% for NYS, an increase of 6.6% from baseline in 2019.</w:t>
                  </w:r>
                </w:p>
                <w:p>
                  <w:pPr>
                    <w:spacing w:before="156" w:after="0" w:line="290" w:lineRule="exact"/>
                    <w:ind w:right="151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 Yates County, 73.5% of the school-age population is enrolled in kindergarten through 12</w:t>
                  </w:r>
                  <w:r>
                    <w:rPr>
                      <w:rFonts w:ascii="Calibri" w:hAnsi="Calibri" w:eastAsia="Calibri"/>
                      <w:color w:val="000000"/>
                      <w:spacing w:val="0"/>
                      <w:w w:val="100"/>
                      <w:sz w:val="22"/>
                      <w:vertAlign w:val="superscript"/>
                      <w:lang w:val="en-US"/>
                    </w:rPr>
                    <w:t xml:space="preserve">th</w:t>
                  </w:r>
                  <w:r>
                    <w:rPr>
                      <w:rFonts w:ascii="Calibri" w:hAnsi="Calibri" w:eastAsia="Calibri"/>
                      <w:color w:val="000000"/>
                      <w:spacing w:val="0"/>
                      <w:w w:val="100"/>
                      <w:sz w:val="22"/>
                      <w:vertAlign w:val="baseline"/>
                      <w:lang w:val="en-US"/>
                    </w:rPr>
                    <w:t xml:space="preserve"> grade, with 32.7% in private schools and 67.3% in public schools. The number of students enrolled in school between grades 5 to 8 and grades 9 to 12 drops by approximately 586 students</w:t>
                  </w:r>
                  <w:r>
                    <w:rPr>
                      <w:rFonts w:ascii="Calibri" w:hAnsi="Calibri" w:eastAsia="Calibri"/>
                      <w:color w:val="000000"/>
                      <w:spacing w:val="0"/>
                      <w:w w:val="100"/>
                      <w:sz w:val="22"/>
                      <w:vertAlign w:val="superscript"/>
                      <w:lang w:val="en-US"/>
                    </w:rPr>
                    <w:t xml:space="preserve">73</w:t>
                  </w:r>
                  <w:r>
                    <w:rPr>
                      <w:rFonts w:ascii="Calibri" w:hAnsi="Calibri" w:eastAsia="Calibri"/>
                      <w:color w:val="000000"/>
                      <w:spacing w:val="0"/>
                      <w:w w:val="100"/>
                      <w:sz w:val="22"/>
                      <w:vertAlign w:val="baseline"/>
                      <w:lang w:val="en-US"/>
                    </w:rPr>
                    <w:t xml:space="preserve"> (Table Y6). This is likely due to the Mennonite educational structure which discontinues schooling after 8</w:t>
                  </w:r>
                  <w:r>
                    <w:rPr>
                      <w:rFonts w:ascii="Calibri" w:hAnsi="Calibri" w:eastAsia="Calibri"/>
                      <w:color w:val="000000"/>
                      <w:spacing w:val="0"/>
                      <w:w w:val="100"/>
                      <w:sz w:val="22"/>
                      <w:vertAlign w:val="superscript"/>
                      <w:lang w:val="en-US"/>
                    </w:rPr>
                    <w:t xml:space="preserve">th</w:t>
                  </w:r>
                  <w:r>
                    <w:rPr>
                      <w:rFonts w:ascii="Calibri" w:hAnsi="Calibri" w:eastAsia="Calibri"/>
                      <w:color w:val="000000"/>
                      <w:spacing w:val="0"/>
                      <w:w w:val="100"/>
                      <w:sz w:val="22"/>
                      <w:vertAlign w:val="baseline"/>
                      <w:lang w:val="en-US"/>
                    </w:rPr>
                    <w:t xml:space="preserve"> grade.</w:t>
                  </w:r>
                </w:p>
                <w:p>
                  <w:pPr>
                    <w:spacing w:before="231" w:after="182" w:line="196" w:lineRule="exact"/>
                    <w:ind w:right="0" w:left="1440" w:firstLine="0"/>
                    <w:jc w:val="left"/>
                    <w:textAlignment w:val="baseline"/>
                    <w:rPr>
                      <w:rFonts w:ascii="Calibri" w:hAnsi="Calibri" w:eastAsia="Calibri"/>
                      <w:i w:val="true"/>
                      <w:color w:val="000000"/>
                      <w:spacing w:val="3"/>
                      <w:w w:val="100"/>
                      <w:sz w:val="19"/>
                      <w:vertAlign w:val="baseline"/>
                      <w:lang w:val="en-US"/>
                    </w:rPr>
                  </w:pPr>
                  <w:r>
                    <w:rPr>
                      <w:rFonts w:ascii="Calibri" w:hAnsi="Calibri" w:eastAsia="Calibri"/>
                      <w:i w:val="true"/>
                      <w:color w:val="000000"/>
                      <w:spacing w:val="3"/>
                      <w:w w:val="100"/>
                      <w:sz w:val="19"/>
                      <w:vertAlign w:val="baseline"/>
                      <w:lang w:val="en-US"/>
                    </w:rPr>
                    <w:t xml:space="preserve">Table Y6: Enrolled School-Age Population</w:t>
                  </w:r>
                </w:p>
              </w:txbxContent>
            </v:textbox>
          </v:shape>
        </w:pict>
      </w:r>
      <w:r>
        <w:pict>
          <v:shapetype id="_x0000_t583" coordsize="21600,21600" o:spt="202" path="m,l,21600r21600,l21600,xe">
            <v:stroke joinstyle="miter"/>
            <v:path gradientshapeok="t" o:connecttype="rect"/>
          </v:shapetype>
          <v:shape id="_x0000_s582" type="#_x0000_t583" filled="f" stroked="f" style="position:absolute;width:612pt;height:154pt;z-index:1;margin-left:0pt;margin-top:455.45pt;mso-wrap-distance-left:0pt;mso-wrap-distance-right:0pt;mso-position-horizontal-relative:page;mso-position-vertical-relative:page">
            <w10:wrap anchorx="page" anchory="page"/>
            <v:fill opacity="1" o:opacity2="1" recolor="f" rotate="f" type="solid"/>
            <v:textbox inset="0pt, 0pt, 0pt, 0pt">
              <w:txbxContent>
                <w:p>
                  <w:pPr>
                    <w:spacing w:before="1" w:after="0" w:line="20" w:lineRule="exact"/>
                  </w:pPr>
                </w:p>
                <w:tbl>
                  <w:tblPr>
                    <w:jc w:val="left"/>
                    <w:tblLayout w:type="fixed"/>
                    <w:tblCellMar>
                      <w:left w:w="0" w:type="dxa"/>
                      <w:right w:w="0" w:type="dxa"/>
                    </w:tblCellMar>
                  </w:tblPr>
                  <w:tblGrid>
                    <w:gridCol w:w="3840"/>
                    <w:gridCol w:w="1920"/>
                    <w:gridCol w:w="2155"/>
                    <w:gridCol w:w="4325"/>
                  </w:tblGrid>
                  <w:tr>
                    <w:trPr>
                      <w:trHeight w:val="538" w:hRule="exact"/>
                    </w:trPr>
                    <w:tc>
                      <w:tcPr>
                        <w:tcW w:w="12240" w:type="dxa"/>
                        <w:gridSpan w:val="4"/>
                        <w:tcBorders>
                          <w:top w:val="none"/>
                          <w:left w:val="none"/>
                          <w:bottom w:val="none"/>
                          <w:right w:val="none"/>
                        </w:tcBorders>
                        <w:shd w:val="clear" w:color="145F82" w:fill="145F82"/>
                        <w:textDirection w:val="lrTb"/>
                        <w:vAlign w:val="top"/>
                      </w:tcPr>
                      <w:p>
                        <w:pPr>
                          <w:tabs>
                            <w:tab w:val="left" w:leader="none" w:pos="3960"/>
                            <w:tab w:val="left" w:leader="none" w:pos="5904"/>
                            <w:tab w:val="left" w:leader="none" w:pos="8064"/>
                          </w:tabs>
                          <w:spacing w:before="0" w:after="0" w:line="229" w:lineRule="exact"/>
                          <w:ind w:right="0" w:left="1584"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Grade Level	</w:t>
                        </w:r>
                        <w:r>
                          <w:rPr>
                            <w:rFonts w:ascii="Calibri" w:hAnsi="Calibri" w:eastAsia="Calibri"/>
                            <w:b w:val="true"/>
                            <w:color w:val="FFFFFF"/>
                            <w:spacing w:val="0"/>
                            <w:w w:val="100"/>
                            <w:sz w:val="23"/>
                            <w:vertAlign w:val="baseline"/>
                            <w:lang w:val="en-US"/>
                          </w:rPr>
                          <w:t xml:space="preserve">Total Estimate	</w:t>
                        </w:r>
                        <w:r>
                          <w:rPr>
                            <w:rFonts w:ascii="Calibri" w:hAnsi="Calibri" w:eastAsia="Calibri"/>
                            <w:b w:val="true"/>
                            <w:color w:val="FFFFFF"/>
                            <w:spacing w:val="0"/>
                            <w:w w:val="100"/>
                            <w:sz w:val="23"/>
                            <w:vertAlign w:val="baseline"/>
                            <w:lang w:val="en-US"/>
                          </w:rPr>
                          <w:t xml:space="preserve">Percent Estimate in	</w:t>
                        </w:r>
                        <w:r>
                          <w:rPr>
                            <w:rFonts w:ascii="Calibri" w:hAnsi="Calibri" w:eastAsia="Calibri"/>
                            <w:b w:val="true"/>
                            <w:color w:val="FFFFFF"/>
                            <w:spacing w:val="0"/>
                            <w:w w:val="100"/>
                            <w:sz w:val="23"/>
                            <w:vertAlign w:val="baseline"/>
                            <w:lang w:val="en-US"/>
                          </w:rPr>
                          <w:t xml:space="preserve">Percent Estimate in Private</w:t>
                        </w:r>
                      </w:p>
                      <w:p>
                        <w:pPr>
                          <w:tabs>
                            <w:tab w:val="left" w:leader="none" w:pos="8064"/>
                          </w:tabs>
                          <w:spacing w:before="40" w:after="14" w:line="229" w:lineRule="exact"/>
                          <w:ind w:right="3617" w:left="0" w:firstLine="0"/>
                          <w:jc w:val="right"/>
                          <w:textAlignment w:val="baseline"/>
                          <w:rPr>
                            <w:rFonts w:ascii="Calibri" w:hAnsi="Calibri" w:eastAsia="Calibri"/>
                            <w:b w:val="true"/>
                            <w:color w:val="FFFFFF"/>
                            <w:spacing w:val="-8"/>
                            <w:w w:val="100"/>
                            <w:sz w:val="23"/>
                            <w:vertAlign w:val="baseline"/>
                            <w:lang w:val="en-US"/>
                          </w:rPr>
                        </w:pPr>
                        <w:r>
                          <w:rPr>
                            <w:rFonts w:ascii="Calibri" w:hAnsi="Calibri" w:eastAsia="Calibri"/>
                            <w:b w:val="true"/>
                            <w:color w:val="FFFFFF"/>
                            <w:spacing w:val="-8"/>
                            <w:w w:val="100"/>
                            <w:sz w:val="23"/>
                            <w:vertAlign w:val="baseline"/>
                            <w:lang w:val="en-US"/>
                          </w:rPr>
                          <w:t xml:space="preserve">Public School	</w:t>
                        </w:r>
                        <w:r>
                          <w:rPr>
                            <w:rFonts w:ascii="Calibri" w:hAnsi="Calibri" w:eastAsia="Calibri"/>
                            <w:b w:val="true"/>
                            <w:color w:val="FFFFFF"/>
                            <w:spacing w:val="-8"/>
                            <w:w w:val="100"/>
                            <w:sz w:val="23"/>
                            <w:vertAlign w:val="baseline"/>
                            <w:lang w:val="en-US"/>
                          </w:rPr>
                          <w:t xml:space="preserve">School</w:t>
                        </w:r>
                      </w:p>
                    </w:tc>
                  </w:tr>
                  <w:tr>
                    <w:trPr>
                      <w:trHeight w:val="470" w:hRule="exact"/>
                    </w:trPr>
                    <w:tc>
                      <w:tcPr>
                        <w:tcW w:w="3840" w:type="dxa"/>
                        <w:tcBorders>
                          <w:top w:val="none"/>
                          <w:left w:val="none"/>
                          <w:bottom w:val="none"/>
                          <w:right w:val="none"/>
                        </w:tcBorders>
                        <w:shd w:val="clear" w:color="145F82" w:fill="145F82"/>
                        <w:textDirection w:val="lrTb"/>
                        <w:vAlign w:val="top"/>
                      </w:tcPr>
                      <w:p>
                        <w:pPr>
                          <w:spacing w:before="0" w:after="211" w:line="229" w:lineRule="exact"/>
                          <w:ind w:right="0" w:left="1555"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Kindergarten</w:t>
                        </w:r>
                      </w:p>
                    </w:tc>
                    <w:tc>
                      <w:tcPr>
                        <w:tcW w:w="1920" w:type="dxa"/>
                        <w:tcBorders>
                          <w:top w:val="none"/>
                          <w:left w:val="none"/>
                          <w:bottom w:val="none"/>
                          <w:right w:val="none"/>
                        </w:tcBorders>
                        <w:shd w:val="clear" w:color="83C9EB" w:fill="83C9EB"/>
                        <w:textDirection w:val="lrTb"/>
                        <w:vAlign w:val="top"/>
                      </w:tcPr>
                      <w:p>
                        <w:pPr>
                          <w:spacing w:before="32" w:after="217" w:line="220" w:lineRule="exact"/>
                          <w:ind w:right="1372"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210</w:t>
                        </w:r>
                      </w:p>
                    </w:tc>
                    <w:tc>
                      <w:tcPr>
                        <w:tcW w:w="2155" w:type="dxa"/>
                        <w:tcBorders>
                          <w:top w:val="none"/>
                          <w:left w:val="none"/>
                          <w:bottom w:val="none"/>
                          <w:right w:val="none"/>
                        </w:tcBorders>
                        <w:shd w:val="clear" w:color="83C9EB" w:fill="83C9EB"/>
                        <w:textDirection w:val="lrTb"/>
                        <w:vAlign w:val="top"/>
                      </w:tcPr>
                      <w:p>
                        <w:pPr>
                          <w:tabs>
                            <w:tab w:val="decimal" w:leader="none" w:pos="360"/>
                          </w:tabs>
                          <w:spacing w:before="32" w:after="217"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74.3%</w:t>
                        </w:r>
                      </w:p>
                    </w:tc>
                    <w:tc>
                      <w:tcPr>
                        <w:tcW w:w="4325" w:type="dxa"/>
                        <w:tcBorders>
                          <w:top w:val="none"/>
                          <w:left w:val="none"/>
                          <w:bottom w:val="none"/>
                          <w:right w:val="none"/>
                        </w:tcBorders>
                        <w:shd w:val="clear" w:color="83C9EB" w:fill="83C9EB"/>
                        <w:textDirection w:val="lrTb"/>
                        <w:vAlign w:val="top"/>
                      </w:tcPr>
                      <w:p>
                        <w:pPr>
                          <w:tabs>
                            <w:tab w:val="decimal" w:leader="none" w:pos="360"/>
                          </w:tabs>
                          <w:spacing w:before="32" w:after="217"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25.7%</w:t>
                        </w:r>
                      </w:p>
                    </w:tc>
                  </w:tr>
                  <w:tr>
                    <w:trPr>
                      <w:trHeight w:val="542" w:hRule="exact"/>
                    </w:trPr>
                    <w:tc>
                      <w:tcPr>
                        <w:tcW w:w="3840" w:type="dxa"/>
                        <w:tcBorders>
                          <w:top w:val="none"/>
                          <w:left w:val="none"/>
                          <w:bottom w:val="none"/>
                          <w:right w:val="none"/>
                        </w:tcBorders>
                        <w:shd w:val="clear" w:color="145F82" w:fill="145F82"/>
                        <w:textDirection w:val="lrTb"/>
                        <w:vAlign w:val="top"/>
                      </w:tcPr>
                      <w:p>
                        <w:pPr>
                          <w:spacing w:before="0" w:after="4" w:line="264" w:lineRule="exact"/>
                          <w:ind w:right="0" w:left="1548"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Elementary: grade 1 to grade 4</w:t>
                        </w:r>
                      </w:p>
                    </w:tc>
                    <w:tc>
                      <w:tcPr>
                        <w:tcW w:w="1920" w:type="dxa"/>
                        <w:tcBorders>
                          <w:top w:val="none"/>
                          <w:left w:val="none"/>
                          <w:bottom w:val="none"/>
                          <w:right w:val="none"/>
                        </w:tcBorders>
                        <w:shd w:val="clear" w:color="C1E3F5" w:fill="C1E3F5"/>
                        <w:textDirection w:val="lrTb"/>
                        <w:vAlign w:val="top"/>
                      </w:tcPr>
                      <w:p>
                        <w:pPr>
                          <w:spacing w:before="0" w:after="284" w:line="220" w:lineRule="exact"/>
                          <w:ind w:right="1372"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1216</w:t>
                        </w:r>
                      </w:p>
                    </w:tc>
                    <w:tc>
                      <w:tcPr>
                        <w:tcW w:w="2155" w:type="dxa"/>
                        <w:tcBorders>
                          <w:top w:val="none"/>
                          <w:left w:val="none"/>
                          <w:bottom w:val="none"/>
                          <w:right w:val="none"/>
                        </w:tcBorders>
                        <w:shd w:val="clear" w:color="C1E3F5" w:fill="C1E3F5"/>
                        <w:textDirection w:val="lrTb"/>
                        <w:vAlign w:val="top"/>
                      </w:tcPr>
                      <w:p>
                        <w:pPr>
                          <w:tabs>
                            <w:tab w:val="decimal" w:leader="none" w:pos="360"/>
                          </w:tabs>
                          <w:spacing w:before="0" w:after="284"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55.6%</w:t>
                        </w:r>
                      </w:p>
                    </w:tc>
                    <w:tc>
                      <w:tcPr>
                        <w:tcW w:w="4325" w:type="dxa"/>
                        <w:tcBorders>
                          <w:top w:val="none"/>
                          <w:left w:val="none"/>
                          <w:bottom w:val="none"/>
                          <w:right w:val="none"/>
                        </w:tcBorders>
                        <w:shd w:val="clear" w:color="C1E3F5" w:fill="C1E3F5"/>
                        <w:textDirection w:val="lrTb"/>
                        <w:vAlign w:val="top"/>
                      </w:tcPr>
                      <w:p>
                        <w:pPr>
                          <w:tabs>
                            <w:tab w:val="decimal" w:leader="none" w:pos="360"/>
                          </w:tabs>
                          <w:spacing w:before="0" w:after="284"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44.4%</w:t>
                        </w:r>
                      </w:p>
                    </w:tc>
                  </w:tr>
                  <w:tr>
                    <w:trPr>
                      <w:trHeight w:val="749" w:hRule="exact"/>
                    </w:trPr>
                    <w:tc>
                      <w:tcPr>
                        <w:tcW w:w="3840" w:type="dxa"/>
                        <w:tcBorders>
                          <w:top w:val="none"/>
                          <w:left w:val="none"/>
                          <w:bottom w:val="none"/>
                          <w:right w:val="none"/>
                        </w:tcBorders>
                        <w:shd w:val="clear" w:color="145F82" w:fill="145F82"/>
                        <w:textDirection w:val="lrTb"/>
                        <w:vAlign w:val="top"/>
                      </w:tcPr>
                      <w:p>
                        <w:pPr>
                          <w:spacing w:before="0" w:after="206" w:line="266" w:lineRule="exact"/>
                          <w:ind w:right="0" w:left="1548"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Elementary: grade 5 to grade 8</w:t>
                        </w:r>
                      </w:p>
                    </w:tc>
                    <w:tc>
                      <w:tcPr>
                        <w:tcW w:w="1920" w:type="dxa"/>
                        <w:tcBorders>
                          <w:top w:val="none"/>
                          <w:left w:val="none"/>
                          <w:bottom w:val="none"/>
                          <w:right w:val="none"/>
                        </w:tcBorders>
                        <w:shd w:val="clear" w:color="83C9EB" w:fill="83C9EB"/>
                        <w:textDirection w:val="lrTb"/>
                        <w:vAlign w:val="top"/>
                      </w:tcPr>
                      <w:p>
                        <w:pPr>
                          <w:spacing w:before="38" w:after="481" w:line="220" w:lineRule="exact"/>
                          <w:ind w:right="1372"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1395</w:t>
                        </w:r>
                      </w:p>
                    </w:tc>
                    <w:tc>
                      <w:tcPr>
                        <w:tcW w:w="2155" w:type="dxa"/>
                        <w:tcBorders>
                          <w:top w:val="none"/>
                          <w:left w:val="none"/>
                          <w:bottom w:val="none"/>
                          <w:right w:val="none"/>
                        </w:tcBorders>
                        <w:shd w:val="clear" w:color="83C9EB" w:fill="83C9EB"/>
                        <w:textDirection w:val="lrTb"/>
                        <w:vAlign w:val="top"/>
                      </w:tcPr>
                      <w:p>
                        <w:pPr>
                          <w:tabs>
                            <w:tab w:val="decimal" w:leader="none" w:pos="360"/>
                          </w:tabs>
                          <w:spacing w:before="38" w:after="48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64.1%</w:t>
                        </w:r>
                      </w:p>
                    </w:tc>
                    <w:tc>
                      <w:tcPr>
                        <w:tcW w:w="4325" w:type="dxa"/>
                        <w:tcBorders>
                          <w:top w:val="none"/>
                          <w:left w:val="none"/>
                          <w:bottom w:val="none"/>
                          <w:right w:val="none"/>
                        </w:tcBorders>
                        <w:shd w:val="clear" w:color="83C9EB" w:fill="83C9EB"/>
                        <w:textDirection w:val="lrTb"/>
                        <w:vAlign w:val="top"/>
                      </w:tcPr>
                      <w:p>
                        <w:pPr>
                          <w:tabs>
                            <w:tab w:val="decimal" w:leader="none" w:pos="360"/>
                          </w:tabs>
                          <w:spacing w:before="38" w:after="48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35.9%</w:t>
                        </w:r>
                      </w:p>
                    </w:tc>
                  </w:tr>
                  <w:tr>
                    <w:trPr>
                      <w:trHeight w:val="744" w:hRule="exact"/>
                    </w:trPr>
                    <w:tc>
                      <w:tcPr>
                        <w:tcW w:w="3840" w:type="dxa"/>
                        <w:tcBorders>
                          <w:top w:val="none"/>
                          <w:left w:val="none"/>
                          <w:bottom w:val="none"/>
                          <w:right w:val="none"/>
                        </w:tcBorders>
                        <w:shd w:val="clear" w:color="145F82" w:fill="145F82"/>
                        <w:textDirection w:val="lrTb"/>
                        <w:vAlign w:val="top"/>
                      </w:tcPr>
                      <w:p>
                        <w:pPr>
                          <w:spacing w:before="0" w:after="211" w:line="264" w:lineRule="exact"/>
                          <w:ind w:right="0" w:left="1548" w:firstLine="0"/>
                          <w:jc w:val="lef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High School: grade 9 to grade 12</w:t>
                        </w:r>
                      </w:p>
                    </w:tc>
                    <w:tc>
                      <w:tcPr>
                        <w:tcW w:w="1920" w:type="dxa"/>
                        <w:tcBorders>
                          <w:top w:val="none"/>
                          <w:left w:val="none"/>
                          <w:bottom w:val="none"/>
                          <w:right w:val="none"/>
                        </w:tcBorders>
                        <w:shd w:val="clear" w:color="C1E3F5" w:fill="C1E3F5"/>
                        <w:textDirection w:val="lrTb"/>
                        <w:vAlign w:val="top"/>
                      </w:tcPr>
                      <w:p>
                        <w:pPr>
                          <w:spacing w:before="38" w:after="481" w:line="220" w:lineRule="exact"/>
                          <w:ind w:right="1372" w:left="0" w:firstLine="0"/>
                          <w:jc w:val="righ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809</w:t>
                        </w:r>
                      </w:p>
                    </w:tc>
                    <w:tc>
                      <w:tcPr>
                        <w:tcW w:w="2155" w:type="dxa"/>
                        <w:tcBorders>
                          <w:top w:val="none"/>
                          <w:left w:val="none"/>
                          <w:bottom w:val="none"/>
                          <w:right w:val="none"/>
                        </w:tcBorders>
                        <w:shd w:val="clear" w:color="C1E3F5" w:fill="C1E3F5"/>
                        <w:textDirection w:val="lrTb"/>
                        <w:vAlign w:val="top"/>
                      </w:tcPr>
                      <w:p>
                        <w:pPr>
                          <w:tabs>
                            <w:tab w:val="decimal" w:leader="none" w:pos="360"/>
                          </w:tabs>
                          <w:spacing w:before="38" w:after="48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88.8%</w:t>
                        </w:r>
                      </w:p>
                    </w:tc>
                    <w:tc>
                      <w:tcPr>
                        <w:tcW w:w="4325" w:type="dxa"/>
                        <w:tcBorders>
                          <w:top w:val="none"/>
                          <w:left w:val="none"/>
                          <w:bottom w:val="none"/>
                          <w:right w:val="none"/>
                        </w:tcBorders>
                        <w:shd w:val="clear" w:color="C1E3F5" w:fill="C1E3F5"/>
                        <w:textDirection w:val="lrTb"/>
                        <w:vAlign w:val="top"/>
                      </w:tcPr>
                      <w:p>
                        <w:pPr>
                          <w:tabs>
                            <w:tab w:val="decimal" w:leader="none" w:pos="360"/>
                          </w:tabs>
                          <w:spacing w:before="38" w:after="481" w:line="220"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11.2%</w:t>
                        </w:r>
                      </w:p>
                    </w:tc>
                  </w:tr>
                </w:tbl>
              </w:txbxContent>
            </v:textbox>
          </v:shape>
        </w:pict>
      </w:r>
      <w:r>
        <w:pict>
          <v:shapetype id="_x0000_t584" coordsize="21600,21600" o:spt="202" path="m,l,21600r21600,l21600,xe">
            <v:stroke joinstyle="miter"/>
            <v:path gradientshapeok="t" o:connecttype="rect"/>
          </v:shapetype>
          <v:shape id="_x0000_s583" type="#_x0000_t584" filled="f" stroked="f" style="position:absolute;width:612pt;height:86.85pt;z-index:1;margin-left:0pt;margin-top:609.45pt;mso-wrap-distance-left:0pt;mso-wrap-distance-right:0pt;mso-position-horizontal-relative:page;mso-position-vertical-relative:page">
            <w10:wrap anchorx="page" anchory="page"/>
            <v:fill opacity="1" o:opacity2="1" recolor="f" rotate="f" type="solid"/>
            <v:textbox inset="0pt, 0pt, 0pt, 0pt">
              <w:txbxContent>
                <w:p>
                  <w:pPr>
                    <w:spacing w:before="20" w:after="0" w:line="180" w:lineRule="exact"/>
                    <w:ind w:right="0" w:left="1440" w:firstLine="0"/>
                    <w:jc w:val="left"/>
                    <w:textAlignment w:val="baseline"/>
                    <w:rPr>
                      <w:rFonts w:ascii="Calibri" w:hAnsi="Calibri" w:eastAsia="Calibri"/>
                      <w:i w:val="true"/>
                      <w:color w:val="0E2841"/>
                      <w:spacing w:val="0"/>
                      <w:w w:val="100"/>
                      <w:sz w:val="18"/>
                      <w:vertAlign w:val="baseline"/>
                      <w:lang w:val="en-US"/>
                    </w:rPr>
                  </w:pPr>
                  <w:r>
                    <w:rPr>
                      <w:rFonts w:ascii="Calibri" w:hAnsi="Calibri" w:eastAsia="Calibri"/>
                      <w:i w:val="true"/>
                      <w:color w:val="0E2841"/>
                      <w:spacing w:val="0"/>
                      <w:w w:val="100"/>
                      <w:sz w:val="18"/>
                      <w:vertAlign w:val="baseline"/>
                      <w:lang w:val="en-US"/>
                    </w:rPr>
                    <w:t xml:space="preserve">Source: 2023 American Community Survey 5-Year Data</w:t>
                  </w:r>
                </w:p>
                <w:p>
                  <w:pPr>
                    <w:spacing w:before="174" w:after="201" w:line="290"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The average gap in dollars between actual and required spending per pupil among public school districts was $9,915 in 2022, compared with $12,745 on average in NYS; an increase of 4.4% from baseline in 2019. The gap between what schools need and what they actually spend is growing. A widening funding gap can strain school resources, limit access to educational programs and support services, and make it</w:t>
                  </w:r>
                </w:p>
              </w:txbxContent>
            </v:textbox>
          </v:shape>
        </w:pict>
      </w:r>
      <w:r>
        <w:pict>
          <v:shapetype id="_x0000_t585" coordsize="21600,21600" o:spt="202" path="m,l,21600r21600,l21600,xe">
            <v:stroke joinstyle="miter"/>
            <v:path gradientshapeok="t" o:connecttype="rect"/>
          </v:shapetype>
          <v:shape id="_x0000_s584" type="#_x0000_t585" filled="f" stroked="f" style="position:absolute;width:612pt;height:20.55pt;z-index:1;margin-left:0pt;margin-top:696.3pt;mso-wrap-distance-left:0pt;mso-wrap-distance-right:0pt;mso-position-horizontal-relative:page;mso-position-vertical-relative:page">
            <w10:wrap anchorx="page" anchory="page"/>
            <v:fill opacity="1" o:opacity2="1" recolor="f" rotate="f" type="solid"/>
            <v:textbox inset="0pt, 0pt, 0pt, 0pt">
              <w:txbxContent>
                <w:p>
                  <w:pPr>
                    <w:spacing w:before="144" w:after="58" w:line="200" w:lineRule="exact"/>
                    <w:ind w:right="0" w:left="1440" w:firstLine="0"/>
                    <w:jc w:val="left"/>
                    <w:textAlignment w:val="baseline"/>
                    <w:rPr>
                      <w:rFonts w:ascii="Calibri" w:hAnsi="Calibri" w:eastAsia="Calibri"/>
                      <w:color w:val="000000"/>
                      <w:spacing w:val="0"/>
                      <w:w w:val="100"/>
                      <w:sz w:val="13"/>
                      <w:vertAlign w:val="superscript"/>
                      <w:lang w:val="en-US"/>
                    </w:rPr>
                  </w:pPr>
                  <w:r>
                    <w:rPr>
                      <w:rFonts w:ascii="Calibri" w:hAnsi="Calibri" w:eastAsia="Calibri"/>
                      <w:color w:val="000000"/>
                      <w:spacing w:val="0"/>
                      <w:w w:val="100"/>
                      <w:sz w:val="13"/>
                      <w:vertAlign w:val="superscript"/>
                      <w:lang w:val="en-US"/>
                    </w:rPr>
                    <w:t xml:space="preserve">73</w:t>
                  </w:r>
                  <w:r>
                    <w:rPr>
                      <w:rFonts w:ascii="Calibri" w:hAnsi="Calibri" w:eastAsia="Calibri"/>
                      <w:color w:val="000000"/>
                      <w:spacing w:val="0"/>
                      <w:w w:val="100"/>
                      <w:sz w:val="20"/>
                      <w:vertAlign w:val="baseline"/>
                      <w:lang w:val="en-US"/>
                    </w:rPr>
                    <w:t xml:space="preserve"> Source: U.S. Census and 2023 American Community Survey</w:t>
                  </w:r>
                </w:p>
              </w:txbxContent>
            </v:textbox>
          </v:shape>
        </w:pict>
      </w:r>
      <w:r>
        <w:pict>
          <v:shapetype id="_x0000_t586" coordsize="21600,21600" o:spt="202" path="m,l,21600r21600,l21600,xe">
            <v:stroke joinstyle="miter"/>
            <v:path gradientshapeok="t" o:connecttype="rect"/>
          </v:shapetype>
          <v:shape id="_x0000_s585" type="#_x0000_t58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101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0.7pt" strokecolor="#000000" from="72pt,696.7pt" to="216.3pt,696.7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87" coordsize="21600,21600" o:spt="202" path="m,l,21600r21600,l21600,xe">
            <v:stroke joinstyle="miter"/>
            <v:path gradientshapeok="t" o:connecttype="rect"/>
          </v:shapetype>
          <v:shape id="_x0000_s586" type="#_x0000_t587"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78"/>
                              <a:graphic>
                                <a:graphicData uri="http://schemas.openxmlformats.org/drawingml/2006/picture">
                                  <pic:pic>
                                    <pic:nvPicPr>
                                      <pic:cNvPr id="178" name="Picture"/>
                                      <pic:cNvPicPr preferRelativeResize="false"/>
                                    </pic:nvPicPr>
                                    <pic:blipFill>
                                      <a:blip r:embed="prId17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76580"/>
                              <wp:docPr name="Picture" id="179"/>
                              <a:graphic>
                                <a:graphicData uri="http://schemas.openxmlformats.org/drawingml/2006/picture">
                                  <pic:pic>
                                    <pic:nvPicPr>
                                      <pic:cNvPr id="179" name="Picture"/>
                                      <pic:cNvPicPr preferRelativeResize="false"/>
                                    </pic:nvPicPr>
                                    <pic:blipFill>
                                      <a:blip r:embed="prId179"/>
                                      <a:stretch>
                                        <a:fillRect/>
                                      </a:stretch>
                                    </pic:blipFill>
                                    <pic:spPr>
                                      <a:xfrm>
                                        <a:off x="0" y="0"/>
                                        <a:ext cx="554990" cy="576580"/>
                                      </a:xfrm>
                                      <a:prstGeom prst="rect"/>
                                    </pic:spPr>
                                  </pic:pic>
                                </a:graphicData>
                              </a:graphic>
                            </wp:inline>
                          </w:drawing>
                        </w:r>
                      </w:p>
                    </w:tc>
                  </w:tr>
                </w:tbl>
                <w:p>
                  <w:pPr>
                    <w:spacing w:before="0" w:after="52" w:line="20" w:lineRule="exact"/>
                  </w:pPr>
                </w:p>
              </w:txbxContent>
            </v:textbox>
          </v:shape>
        </w:pict>
      </w:r>
      <w:r>
        <w:pict>
          <v:shapetype id="_x0000_t588" coordsize="21600,21600" o:spt="202" path="m,l,21600r21600,l21600,xe">
            <v:stroke joinstyle="miter"/>
            <v:path gradientshapeok="t" o:connecttype="rect"/>
          </v:shapetype>
          <v:shape id="_x0000_s587" type="#_x0000_t588" filled="f" stroked="f" style="position:absolute;width:612pt;height:646.85pt;z-index:-1;margin-left:0pt;margin-top:70pt;mso-wrap-distance-left:0pt;mso-wrap-distance-right:0pt;mso-position-horizontal-relative:page;mso-position-vertical-relative:page">
            <w10:wrap type="square" side="both"/>
            <v:fill opacity="1" o:opacity2="1" recolor="f" rotate="f" type="solid"/>
            <v:textbox inset="0pt, 0pt, 0pt, 0pt">
              <w:txbxContent>
                <w:p>
                  <w:pPr>
                    <w:spacing w:before="0" w:after="0" w:line="290" w:lineRule="exact"/>
                    <w:ind w:right="194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harder for districts to meet student needs. Over time, this can contribute to disparities in academic achievement, staffing challenges, and fewer opportunities for students, especially in communities already facing economic or social disadvantages.</w:t>
                  </w:r>
                </w:p>
                <w:p>
                  <w:pPr>
                    <w:spacing w:before="156" w:after="0" w:line="290" w:lineRule="exact"/>
                    <w:ind w:right="1512"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Post-secondary education also brings substantial benefits. Adults with a bachelor’s degree have higher incomes, are less likely to be unemployed, and have better health and safer working and living conditions than those with only a high school diploma. However, affordability and unequal access to educational opportunities remain challenges. The percentage of adults ages 25 and over in Yates County with a high school diploma or equivalent was 84% in 2023, lower than the NYS average of 88% and a decrease of 2% from the baseline in 2019. The percentage of adults aged 25-44 with some post</w:t>
                    <w:softHyphen/>
                  </w:r>
                  <w:r>
                    <w:rPr>
                      <w:rFonts w:ascii="Calibri" w:hAnsi="Calibri" w:eastAsia="Calibri"/>
                      <w:color w:val="000000"/>
                      <w:spacing w:val="1"/>
                      <w:w w:val="100"/>
                      <w:sz w:val="22"/>
                      <w:vertAlign w:val="baseline"/>
                      <w:lang w:val="en-US"/>
                    </w:rPr>
                    <w:t xml:space="preserve">secondary education was 42% in 2023, lower than the NYS average of 71% and a decrease of 22% from the baseline in 2019.</w:t>
                  </w:r>
                </w:p>
                <w:p>
                  <w:pPr>
                    <w:spacing w:before="161" w:after="8261" w:line="290" w:lineRule="exact"/>
                    <w:ind w:right="1656" w:left="1440" w:firstLine="0"/>
                    <w:jc w:val="left"/>
                    <w:textAlignment w:val="baseline"/>
                    <w:rPr>
                      <w:rFonts w:ascii="Calibri" w:hAnsi="Calibri" w:eastAsia="Calibri"/>
                      <w:b w:val="true"/>
                      <w:i w:val="true"/>
                      <w:color w:val="000000"/>
                      <w:spacing w:val="-1"/>
                      <w:w w:val="100"/>
                      <w:sz w:val="22"/>
                      <w:vertAlign w:val="baseline"/>
                      <w:lang w:val="en-US"/>
                    </w:rPr>
                  </w:pPr>
                  <w:r>
                    <w:rPr>
                      <w:rFonts w:ascii="Calibri" w:hAnsi="Calibri" w:eastAsia="Calibri"/>
                      <w:b w:val="true"/>
                      <w:i w:val="true"/>
                      <w:color w:val="000000"/>
                      <w:spacing w:val="-1"/>
                      <w:w w:val="100"/>
                      <w:sz w:val="22"/>
                      <w:vertAlign w:val="baseline"/>
                      <w:lang w:val="en-US"/>
                    </w:rPr>
                    <w:t xml:space="preserve">Education Access and Quality Domain Summary</w:t>
                  </w:r>
                  <w:r>
                    <w:rPr>
                      <w:rFonts w:ascii="Calibri" w:hAnsi="Calibri" w:eastAsia="Calibri"/>
                      <w:i w:val="true"/>
                      <w:color w:val="000000"/>
                      <w:spacing w:val="-1"/>
                      <w:w w:val="100"/>
                      <w:sz w:val="22"/>
                      <w:vertAlign w:val="baseline"/>
                      <w:lang w:val="en-US"/>
                    </w:rPr>
                    <w:t xml:space="preserve">: </w:t>
                  </w:r>
                  <w:r>
                    <w:rPr>
                      <w:rFonts w:ascii="Calibri" w:hAnsi="Calibri" w:eastAsia="Calibri"/>
                      <w:color w:val="000000"/>
                      <w:spacing w:val="-1"/>
                      <w:w w:val="100"/>
                      <w:sz w:val="22"/>
                      <w:vertAlign w:val="baseline"/>
                      <w:lang w:val="en-US"/>
                    </w:rPr>
                    <w:t xml:space="preserve">Educational attainment remains a priority concern: rates of high school completion, post-secondary education, and on-time graduation all fall below state averages. Additionally, the per-pupil spending gap has widened, signaling increasing strain on school resources and the potential for growing inequities in academic opportunities and student support.</w:t>
                  </w:r>
                </w:p>
              </w:txbxContent>
            </v:textbox>
          </v:shape>
        </w:pict>
      </w:r>
      <w:r>
        <w:pict>
          <v:shapetype id="_x0000_t589" coordsize="21600,21600" o:spt="202" path="m,l,21600r21600,l21600,xe">
            <v:stroke joinstyle="miter"/>
            <v:path gradientshapeok="t" o:connecttype="rect"/>
          </v:shapetype>
          <v:shape id="_x0000_s588" type="#_x0000_t589"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102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1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590" coordsize="21600,21600" o:spt="202" path="m,l,21600r21600,l21600,xe">
            <v:stroke joinstyle="miter"/>
            <v:path gradientshapeok="t" o:connecttype="rect"/>
          </v:shapetype>
          <v:shape id="_x0000_s589" type="#_x0000_t590" filled="f" stroked="f" style="position:absolute;width:586.3pt;height:48pt;z-index:-1;margin-left:13.7pt;margin-top:9.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60" w:hRule="exact"/>
                    </w:trPr>
                    <w:tc>
                      <w:tcPr>
                        <w:tcW w:w="1118"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709930" cy="609600"/>
                              <wp:docPr name="Picture" id="180"/>
                              <a:graphic>
                                <a:graphicData uri="http://schemas.openxmlformats.org/drawingml/2006/picture">
                                  <pic:pic>
                                    <pic:nvPicPr>
                                      <pic:cNvPr id="180" name="Picture"/>
                                      <pic:cNvPicPr preferRelativeResize="false"/>
                                    </pic:nvPicPr>
                                    <pic:blipFill>
                                      <a:blip r:embed="prId180"/>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63" w:after="110"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0" w:after="0" w:line="240" w:lineRule="auto"/>
                          <w:ind w:right="0" w:left="0"/>
                          <w:jc w:val="center"/>
                          <w:textAlignment w:val="baseline"/>
                        </w:pPr>
                        <w:r>
                          <w:drawing>
                            <wp:inline>
                              <wp:extent cx="554990" cy="567055"/>
                              <wp:docPr name="Picture" id="181"/>
                              <a:graphic>
                                <a:graphicData uri="http://schemas.openxmlformats.org/drawingml/2006/picture">
                                  <pic:pic>
                                    <pic:nvPicPr>
                                      <pic:cNvPr id="181" name="Picture"/>
                                      <pic:cNvPicPr preferRelativeResize="false"/>
                                    </pic:nvPicPr>
                                    <pic:blipFill>
                                      <a:blip r:embed="prId181"/>
                                      <a:stretch>
                                        <a:fillRect/>
                                      </a:stretch>
                                    </pic:blipFill>
                                    <pic:spPr>
                                      <a:xfrm>
                                        <a:off x="0" y="0"/>
                                        <a:ext cx="554990" cy="567055"/>
                                      </a:xfrm>
                                      <a:prstGeom prst="rect"/>
                                    </pic:spPr>
                                  </pic:pic>
                                </a:graphicData>
                              </a:graphic>
                            </wp:inline>
                          </w:drawing>
                        </w:r>
                      </w:p>
                    </w:tc>
                  </w:tr>
                </w:tbl>
              </w:txbxContent>
            </v:textbox>
          </v:shape>
        </w:pict>
      </w:r>
      <w:r>
        <w:pict>
          <v:shapetype id="_x0000_t591" coordsize="21600,21600" o:spt="202" path="m,l,21600r21600,l21600,xe">
            <v:stroke joinstyle="miter"/>
            <v:path gradientshapeok="t" o:connecttype="rect"/>
          </v:shapetype>
          <v:shape id="_x0000_s590" type="#_x0000_t591" filled="f" stroked="f" style="position:absolute;width:611.5pt;height:34.55pt;z-index:-1;margin-left:0pt;margin-top:94.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8785"/>
                        <wp:docPr name="Picture" id="182"/>
                        <a:graphic>
                          <a:graphicData uri="http://schemas.openxmlformats.org/drawingml/2006/picture">
                            <pic:pic>
                              <pic:nvPicPr>
                                <pic:cNvPr id="182" name="Picture"/>
                                <pic:cNvPicPr preferRelativeResize="false"/>
                              </pic:nvPicPr>
                              <pic:blipFill>
                                <a:blip r:embed="prId182"/>
                                <a:stretch>
                                  <a:fillRect/>
                                </a:stretch>
                              </pic:blipFill>
                              <pic:spPr>
                                <a:xfrm>
                                  <a:off x="0" y="0"/>
                                  <a:ext cx="7766050" cy="438785"/>
                                </a:xfrm>
                                <a:prstGeom prst="rect"/>
                              </pic:spPr>
                            </pic:pic>
                          </a:graphicData>
                        </a:graphic>
                      </wp:inline>
                    </w:drawing>
                  </w:r>
                </w:p>
              </w:txbxContent>
            </v:textbox>
          </v:shape>
        </w:pict>
      </w:r>
      <w:r>
        <w:pict>
          <v:shapetype id="_x0000_t592" coordsize="21600,21600" o:spt="202" path="m,l,21600r21600,l21600,xe">
            <v:stroke joinstyle="miter"/>
            <v:path gradientshapeok="t" o:connecttype="rect"/>
          </v:shapetype>
          <v:shape id="_x0000_s591" type="#_x0000_t592" filled="f" stroked="f" style="position:absolute;width:78.25pt;height:16.2pt;z-index:-1;margin-left:273.1pt;margin-top:98.75pt;mso-wrap-distance-left:0pt;mso-wrap-distance-right:0pt;mso-position-horizontal-relative:page;mso-position-vertical-relative:page">
            <w10:wrap type="square" side="both"/>
            <v:fill opacity="1" o:opacity2="1" recolor="f" rotate="f" type="solid"/>
            <v:textbox inset="0pt, 0pt, 0pt, 0pt">
              <w:txbxContent>
                <w:p>
                  <w:pPr>
                    <w:spacing w:before="33" w:after="0" w:line="281" w:lineRule="exact"/>
                    <w:ind w:right="0" w:left="0" w:firstLine="0"/>
                    <w:jc w:val="center"/>
                    <w:textAlignment w:val="baseline"/>
                    <w:rPr>
                      <w:rFonts w:ascii="Calibri" w:hAnsi="Calibri" w:eastAsia="Calibri"/>
                      <w:b w:val="true"/>
                      <w:color w:val="FFFFFF"/>
                      <w:spacing w:val="-10"/>
                      <w:w w:val="100"/>
                      <w:sz w:val="28"/>
                      <w:vertAlign w:val="baseline"/>
                      <w:lang w:val="en-US"/>
                    </w:rPr>
                  </w:pPr>
                  <w:r>
                    <w:rPr>
                      <w:rFonts w:ascii="Calibri" w:hAnsi="Calibri" w:eastAsia="Calibri"/>
                      <w:b w:val="true"/>
                      <w:color w:val="FFFFFF"/>
                      <w:spacing w:val="-10"/>
                      <w:w w:val="100"/>
                      <w:sz w:val="28"/>
                      <w:vertAlign w:val="baseline"/>
                      <w:lang w:val="en-US"/>
                    </w:rPr>
                    <w:t xml:space="preserve">Priority Areas</w:t>
                  </w:r>
                </w:p>
              </w:txbxContent>
            </v:textbox>
          </v:shape>
        </w:pict>
      </w:r>
      <w:r>
        <w:pict>
          <v:shapetype id="_x0000_t593" coordsize="21600,21600" o:spt="202" path="m,l,21600r21600,l21600,xe">
            <v:stroke joinstyle="miter"/>
            <v:path gradientshapeok="t" o:connecttype="rect"/>
          </v:shapetype>
          <v:shape id="_x0000_s592" type="#_x0000_t593" filled="f" stroked="f" style="position:absolute;width:612pt;height:137.1pt;z-index:1;margin-left:0pt;margin-top:143.4pt;mso-wrap-distance-left:0pt;mso-wrap-distance-right:0pt;mso-position-horizontal-relative:page;mso-position-vertical-relative:page">
            <w10:wrap anchorx="page" anchory="page"/>
            <v:fill opacity="1" o:opacity2="1" recolor="f" rotate="f" type="solid"/>
            <v:textbox inset="0pt, 0pt, 0pt, 0pt">
              <w:txbxContent>
                <w:p>
                  <w:pPr>
                    <w:spacing w:before="26" w:after="0" w:line="221"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identified three priority areas for this CHA. They are:</w:t>
                  </w:r>
                </w:p>
                <w:p>
                  <w:pPr>
                    <w:numPr>
                      <w:ilvl w:val="0"/>
                      <w:numId w:val="2"/>
                    </w:numPr>
                    <w:tabs>
                      <w:tab w:val="clear" w:pos="360"/>
                      <w:tab w:val="left" w:pos="2160"/>
                    </w:tabs>
                    <w:spacing w:before="232"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and Affordability</w:t>
                  </w:r>
                </w:p>
                <w:p>
                  <w:pPr>
                    <w:numPr>
                      <w:ilvl w:val="0"/>
                      <w:numId w:val="2"/>
                    </w:numPr>
                    <w:tabs>
                      <w:tab w:val="clear" w:pos="360"/>
                      <w:tab w:val="left" w:pos="2160"/>
                    </w:tabs>
                    <w:spacing w:before="64" w:after="0" w:line="232"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Preventive Services for Chronic Disease Prevention and Control</w:t>
                  </w:r>
                </w:p>
                <w:p>
                  <w:pPr>
                    <w:numPr>
                      <w:ilvl w:val="0"/>
                      <w:numId w:val="2"/>
                    </w:numPr>
                    <w:tabs>
                      <w:tab w:val="clear" w:pos="360"/>
                      <w:tab w:val="left" w:pos="2160"/>
                    </w:tabs>
                    <w:spacing w:before="70" w:after="0" w:line="234" w:lineRule="exact"/>
                    <w:ind w:right="0" w:left="180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Anxiety and Stress</w:t>
                  </w:r>
                </w:p>
                <w:p>
                  <w:pPr>
                    <w:spacing w:before="161" w:after="0" w:line="289"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These priority areas were selected in December 2025 using a ranking systematic survey to select the above priorities, in addition to using secondary data and community feedback.</w:t>
                  </w:r>
                </w:p>
                <w:p>
                  <w:pPr>
                    <w:spacing w:before="236" w:after="158" w:line="287"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Housing Stability and Affordability</w:t>
                  </w:r>
                </w:p>
              </w:txbxContent>
            </v:textbox>
          </v:shape>
        </w:pict>
      </w:r>
      <w:r>
        <w:pict>
          <v:shapetype id="_x0000_t594" coordsize="21600,21600" o:spt="202" path="m,l,21600r21600,l21600,xe">
            <v:stroke joinstyle="miter"/>
            <v:path gradientshapeok="t" o:connecttype="rect"/>
          </v:shapetype>
          <v:shape id="_x0000_s593" type="#_x0000_t594" filled="f" stroked="f" style="position:absolute;width:180pt;height:123.85pt;z-index:1;margin-left:72pt;margin-top:280.5pt;mso-wrap-distance-left:0pt;mso-wrap-distance-right:0pt;mso-position-horizontal-relative:page;mso-position-vertical-relative:page">
            <w10:wrap anchorx="page" anchory="page"/>
            <v:fill opacity="1" o:opacity2="1" recolor="f" rotate="f" type="solid"/>
            <v:textbox inset="0pt, 0pt, 0pt, 0pt">
              <w:txbxContent>
                <w:p>
                  <w:pPr>
                    <w:spacing w:before="6" w:after="150" w:line="289" w:lineRule="exact"/>
                    <w:ind w:right="72"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Although housing cost burden is lower than the state average, community partners and focus groups consistently identify housing quality, availability, and affordability as urgent concerns. Homeownership rates are declining in Yates County while the cost of living continues to rise.</w:t>
                  </w:r>
                </w:p>
              </w:txbxContent>
            </v:textbox>
          </v:shape>
        </w:pict>
      </w:r>
      <w:r>
        <w:pict>
          <v:shapetype id="_x0000_t595" coordsize="21600,21600" o:spt="202" path="m,l,21600r21600,l21600,xe">
            <v:stroke joinstyle="miter"/>
            <v:path gradientshapeok="t" o:connecttype="rect"/>
          </v:shapetype>
          <v:shape id="_x0000_s594" type="#_x0000_t595" filled="f" stroked="f" style="position:absolute;width:259.7pt;height:92.55pt;z-index:-1;margin-left:272.15pt;margin-top:285.9pt;mso-wrap-distance-left:0pt;mso-wrap-distance-right:0pt;mso-position-horizontal-relative:page;mso-position-vertical-relative:page">
            <w10:wrap type="square" side="both"/>
            <v:fill opacity="1" o:opacity2="1" recolor="f" rotate="f" type="solid"/>
            <v:textbox inset="0pt, 0pt, 0pt, 0pt">
              <w:txbxContent>
                <w:p>
                  <w:pPr>
                    <w:spacing w:before="38" w:after="0" w:line="308" w:lineRule="exact"/>
                    <w:ind w:right="0" w:left="72" w:firstLine="0"/>
                    <w:jc w:val="left"/>
                    <w:textAlignment w:val="baseline"/>
                    <w:rPr>
                      <w:rFonts w:ascii="Calibri" w:hAnsi="Calibri" w:eastAsia="Calibri"/>
                      <w:i w:val="true"/>
                      <w:color w:val="145F82"/>
                      <w:spacing w:val="0"/>
                      <w:w w:val="100"/>
                      <w:sz w:val="22"/>
                      <w:vertAlign w:val="baseline"/>
                      <w:lang w:val="en-US"/>
                    </w:rPr>
                  </w:pPr>
                  <w:r>
                    <w:rPr>
                      <w:rFonts w:ascii="Calibri" w:hAnsi="Calibri" w:eastAsia="Calibri"/>
                      <w:i w:val="true"/>
                      <w:color w:val="145F82"/>
                      <w:spacing w:val="0"/>
                      <w:w w:val="100"/>
                      <w:sz w:val="22"/>
                      <w:vertAlign w:val="baseline"/>
                      <w:lang w:val="en-US"/>
                    </w:rPr>
                    <w:t xml:space="preserve">"People of low income will always be affected the most...as those with adequate funds have choices - where to live, work, spend their money, and where to get their healthcare."</w:t>
                  </w:r>
                </w:p>
                <w:p>
                  <w:pPr>
                    <w:spacing w:before="250" w:after="125" w:line="197" w:lineRule="exact"/>
                    <w:ind w:right="0" w:left="1872" w:firstLine="0"/>
                    <w:jc w:val="left"/>
                    <w:textAlignment w:val="baseline"/>
                    <w:rPr>
                      <w:rFonts w:ascii="Calibri" w:hAnsi="Calibri" w:eastAsia="Calibri"/>
                      <w:i w:val="true"/>
                      <w:color w:val="145F82"/>
                      <w:spacing w:val="0"/>
                      <w:w w:val="100"/>
                      <w:sz w:val="20"/>
                      <w:vertAlign w:val="baseline"/>
                      <w:lang w:val="en-US"/>
                    </w:rPr>
                  </w:pPr>
                  <w:r>
                    <w:rPr>
                      <w:rFonts w:ascii="Calibri" w:hAnsi="Calibri" w:eastAsia="Calibri"/>
                      <w:i w:val="true"/>
                      <w:color w:val="145F82"/>
                      <w:spacing w:val="0"/>
                      <w:w w:val="100"/>
                      <w:sz w:val="20"/>
                      <w:vertAlign w:val="baseline"/>
                      <w:lang w:val="en-US"/>
                    </w:rPr>
                    <w:t xml:space="preserve">- YCC Focus Group Participant</w:t>
                  </w:r>
                </w:p>
              </w:txbxContent>
            </v:textbox>
          </v:shape>
        </w:pict>
      </w:r>
      <w:r>
        <w:pict>
          <v:shapetype id="_x0000_t596" coordsize="21600,21600" o:spt="202" path="m,l,21600r21600,l21600,xe">
            <v:stroke joinstyle="miter"/>
            <v:path gradientshapeok="t" o:connecttype="rect"/>
          </v:shapetype>
          <v:shape id="_x0000_s595" type="#_x0000_t596" filled="f" stroked="f" style="position:absolute;width:612pt;height:132.55pt;z-index:1;margin-left:0pt;margin-top:404.35pt;mso-wrap-distance-left:0pt;mso-wrap-distance-right:0pt;mso-position-horizontal-relative:page;mso-position-vertical-relative:page">
            <w10:wrap anchorx="page" anchory="page"/>
            <v:fill opacity="1" o:opacity2="1" recolor="f" rotate="f" type="solid"/>
            <v:textbox inset="0pt, 0pt, 0pt, 0pt">
              <w:txbxContent>
                <w:p>
                  <w:pPr>
                    <w:spacing w:before="7"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Focus groups in Yates County highlighted significant concerns about local housing, noting a shortage of safe and functional homes. Older housing, particularly pre-1950s structures, often lacks inspections for lead and mold, increasing risks for respiratory illnesses, developmental issues, and chronic conditions, as well as injuries from falls in poorly maintained homes.</w:t>
                  </w:r>
                </w:p>
                <w:p>
                  <w:pPr>
                    <w:spacing w:before="156"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Further housing assessments are needed in Yates County to better understand the resources available to help the community.</w:t>
                  </w:r>
                </w:p>
                <w:p>
                  <w:pPr>
                    <w:spacing w:before="236" w:after="222" w:line="286" w:lineRule="exact"/>
                    <w:ind w:right="0" w:left="1440"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Preventive Services for Chronic Disease Prevention and Control</w:t>
                  </w:r>
                </w:p>
              </w:txbxContent>
            </v:textbox>
          </v:shape>
        </w:pict>
      </w:r>
      <w:r>
        <w:pict>
          <v:shapetype id="_x0000_t597" coordsize="21600,21600" o:spt="202" path="m,l,21600r21600,l21600,xe">
            <v:stroke joinstyle="miter"/>
            <v:path gradientshapeok="t" o:connecttype="rect"/>
          </v:shapetype>
          <v:shape id="_x0000_s596" type="#_x0000_t597" filled="f" stroked="f" style="position:absolute;width:612pt;height:106.5pt;z-index:1;margin-left:0pt;margin-top:536.9pt;mso-wrap-distance-left:0pt;mso-wrap-distance-right:0pt;mso-position-horizontal-relative:page;mso-position-vertical-relative:page">
            <w10:wrap anchorx="page" anchory="page"/>
            <v:fill opacity="1" o:opacity2="1" recolor="f" rotate="f" type="solid"/>
            <v:textbox inset="0pt, 0pt, 0pt, 0pt">
              <w:txbxContent>
                <w:tbl>
                  <w:tblPr>
                    <w:jc w:val="left"/>
                    <w:tblInd w:w="1584" w:type="dxa"/>
                    <w:tblLayout w:type="fixed"/>
                    <w:tblCellMar>
                      <w:left w:w="0" w:type="dxa"/>
                      <w:right w:w="0" w:type="dxa"/>
                    </w:tblCellMar>
                  </w:tblPr>
                  <w:tblGrid>
                    <w:gridCol w:w="4986"/>
                    <w:gridCol w:w="5670"/>
                  </w:tblGrid>
                  <w:tr>
                    <w:trPr>
                      <w:trHeight w:val="115" w:hRule="exact"/>
                    </w:trPr>
                    <w:tc>
                      <w:tcPr>
                        <w:tcW w:w="4986" w:type="dxa"/>
                        <w:tcBorders>
                          <w:top w:val="none"/>
                          <w:left w:val="none"/>
                          <w:bottom w:val="single" w:sz="17" w:color="145F82"/>
                          <w:right w:val="none"/>
                        </w:tcBorders>
                        <w:textDirection w:val="lrTb"/>
                        <w:vAlign w:val="top"/>
                      </w:tcPr>
                      <w:p/>
                    </w:tc>
                    <w:tc>
                      <w:tcPr>
                        <w:tcW w:w="5670" w:type="dxa"/>
                        <w:vMerge w:val="restart"/>
                        <w:tcBorders>
                          <w:top w:val="none"/>
                          <w:left w:val="none"/>
                          <w:bottom w:val="none"/>
                          <w:right w:val="none"/>
                        </w:tcBorders>
                        <w:textDirection w:val="lrTb"/>
                        <w:vAlign w:val="top"/>
                      </w:tcPr>
                      <w:p>
                        <w:pPr>
                          <w:spacing w:before="0" w:after="110" w:line="281" w:lineRule="exact"/>
                          <w:ind w:right="0" w:left="216"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is seeing increased rates of</w:t>
                          <w:br/>
                        </w:r>
                        <w:r>
                          <w:rPr>
                            <w:rFonts w:ascii="Calibri" w:hAnsi="Calibri" w:eastAsia="Calibri"/>
                            <w:color w:val="000000"/>
                            <w:spacing w:val="0"/>
                            <w:w w:val="100"/>
                            <w:sz w:val="22"/>
                            <w:vertAlign w:val="baseline"/>
                            <w:lang w:val="en-US"/>
                          </w:rPr>
                          <w:t xml:space="preserve">obesity, cancer, diabetes, and heart disease</w:t>
                          <w:br/>
                        </w:r>
                        <w:r>
                          <w:rPr>
                            <w:rFonts w:ascii="Calibri" w:hAnsi="Calibri" w:eastAsia="Calibri"/>
                            <w:color w:val="000000"/>
                            <w:spacing w:val="0"/>
                            <w:w w:val="100"/>
                            <w:sz w:val="22"/>
                            <w:vertAlign w:val="baseline"/>
                            <w:lang w:val="en-US"/>
                          </w:rPr>
                          <w:t xml:space="preserve">and the county’s top two leading causes of</w:t>
                          <w:br/>
                        </w:r>
                        <w:r>
                          <w:rPr>
                            <w:rFonts w:ascii="Calibri" w:hAnsi="Calibri" w:eastAsia="Calibri"/>
                            <w:color w:val="000000"/>
                            <w:spacing w:val="0"/>
                            <w:w w:val="100"/>
                            <w:sz w:val="22"/>
                            <w:vertAlign w:val="baseline"/>
                            <w:lang w:val="en-US"/>
                          </w:rPr>
                          <w:t xml:space="preserve">death are associated with chronic disease.</w:t>
                          <w:br/>
                        </w:r>
                        <w:r>
                          <w:rPr>
                            <w:rFonts w:ascii="Calibri" w:hAnsi="Calibri" w:eastAsia="Calibri"/>
                            <w:color w:val="000000"/>
                            <w:spacing w:val="0"/>
                            <w:w w:val="100"/>
                            <w:sz w:val="22"/>
                            <w:vertAlign w:val="baseline"/>
                            <w:lang w:val="en-US"/>
                          </w:rPr>
                          <w:t xml:space="preserve">Prevention, early detection, and disease</w:t>
                          <w:br/>
                        </w:r>
                        <w:r>
                          <w:rPr>
                            <w:rFonts w:ascii="Calibri" w:hAnsi="Calibri" w:eastAsia="Calibri"/>
                            <w:color w:val="000000"/>
                            <w:spacing w:val="0"/>
                            <w:w w:val="100"/>
                            <w:sz w:val="22"/>
                            <w:vertAlign w:val="baseline"/>
                            <w:lang w:val="en-US"/>
                          </w:rPr>
                          <w:t xml:space="preserve">management are important to improving</w:t>
                          <w:br/>
                        </w:r>
                        <w:r>
                          <w:rPr>
                            <w:rFonts w:ascii="Calibri" w:hAnsi="Calibri" w:eastAsia="Calibri"/>
                            <w:color w:val="000000"/>
                            <w:spacing w:val="0"/>
                            <w:w w:val="100"/>
                            <w:sz w:val="22"/>
                            <w:vertAlign w:val="baseline"/>
                            <w:lang w:val="en-US"/>
                          </w:rPr>
                          <w:t xml:space="preserve">overall quality of life.</w:t>
                        </w:r>
                      </w:p>
                    </w:tc>
                  </w:tr>
                  <w:tr>
                    <w:trPr>
                      <w:trHeight w:val="1968" w:hRule="exact"/>
                    </w:trPr>
                    <w:tc>
                      <w:tcPr>
                        <w:tcW w:w="4986" w:type="dxa"/>
                        <w:tcBorders>
                          <w:top w:val="single" w:sz="17" w:color="145F82"/>
                          <w:left w:val="none"/>
                          <w:bottom w:val="single" w:sz="17" w:color="145F82"/>
                          <w:right w:val="none"/>
                        </w:tcBorders>
                        <w:textDirection w:val="lrTb"/>
                        <w:vAlign w:val="top"/>
                      </w:tcPr>
                      <w:p>
                        <w:pPr>
                          <w:spacing w:before="160" w:after="0" w:line="308" w:lineRule="exact"/>
                          <w:ind w:right="216" w:left="216" w:firstLine="0"/>
                          <w:jc w:val="left"/>
                          <w:textAlignment w:val="baseline"/>
                          <w:rPr>
                            <w:rFonts w:ascii="Calibri" w:hAnsi="Calibri" w:eastAsia="Calibri"/>
                            <w:i w:val="true"/>
                            <w:color w:val="145F82"/>
                            <w:spacing w:val="0"/>
                            <w:w w:val="100"/>
                            <w:sz w:val="22"/>
                            <w:vertAlign w:val="baseline"/>
                            <w:lang w:val="en-US"/>
                          </w:rPr>
                        </w:pPr>
                        <w:r>
                          <w:rPr>
                            <w:rFonts w:ascii="Calibri" w:hAnsi="Calibri" w:eastAsia="Calibri"/>
                            <w:i w:val="true"/>
                            <w:color w:val="145F82"/>
                            <w:spacing w:val="0"/>
                            <w:w w:val="100"/>
                            <w:sz w:val="22"/>
                            <w:vertAlign w:val="baseline"/>
                            <w:lang w:val="en-US"/>
                          </w:rPr>
                          <w:t xml:space="preserve">"I feel that we have to be our own advocate when it comes to healthcare...if I was to mention health issues between family and friends, there would be too many to state."</w:t>
                        </w:r>
                      </w:p>
                      <w:p>
                        <w:pPr>
                          <w:spacing w:before="253" w:after="120" w:line="198" w:lineRule="exact"/>
                          <w:ind w:right="944" w:left="0" w:firstLine="0"/>
                          <w:jc w:val="right"/>
                          <w:textAlignment w:val="baseline"/>
                          <w:rPr>
                            <w:rFonts w:ascii="Calibri" w:hAnsi="Calibri" w:eastAsia="Calibri"/>
                            <w:i w:val="true"/>
                            <w:color w:val="145F82"/>
                            <w:spacing w:val="0"/>
                            <w:w w:val="100"/>
                            <w:sz w:val="20"/>
                            <w:vertAlign w:val="baseline"/>
                            <w:lang w:val="en-US"/>
                          </w:rPr>
                        </w:pPr>
                        <w:r>
                          <w:rPr>
                            <w:rFonts w:ascii="Calibri" w:hAnsi="Calibri" w:eastAsia="Calibri"/>
                            <w:i w:val="true"/>
                            <w:color w:val="145F82"/>
                            <w:spacing w:val="0"/>
                            <w:w w:val="100"/>
                            <w:sz w:val="20"/>
                            <w:vertAlign w:val="baseline"/>
                            <w:lang w:val="en-US"/>
                          </w:rPr>
                          <w:t xml:space="preserve">- YCC Focus Group Participant</w:t>
                        </w:r>
                      </w:p>
                    </w:tc>
                    <w:tc>
                      <w:tcPr>
                        <w:tcW w:w="5670" w:type="dxa"/>
                        <w:vMerge w:val="continue"/>
                        <w:tcBorders>
                          <w:top w:val="none"/>
                          <w:left w:val="none"/>
                          <w:bottom w:val="none"/>
                          <w:right w:val="none"/>
                        </w:tcBorders>
                        <w:textDirection w:val="lrTb"/>
                        <w:vAlign w:val="top"/>
                      </w:tcPr>
                      <w:p/>
                    </w:tc>
                  </w:tr>
                  <w:tr>
                    <w:trPr>
                      <w:trHeight w:val="47" w:hRule="exact"/>
                    </w:trPr>
                    <w:tc>
                      <w:tcPr>
                        <w:tcW w:w="4986" w:type="dxa"/>
                        <w:tcBorders>
                          <w:top w:val="single" w:sz="17" w:color="145F82"/>
                          <w:left w:val="none"/>
                          <w:bottom w:val="none"/>
                          <w:right w:val="none"/>
                        </w:tcBorders>
                        <w:textDirection w:val="lrTb"/>
                        <w:vAlign w:val="top"/>
                      </w:tcPr>
                      <w:p/>
                    </w:tc>
                    <w:tc>
                      <w:tcPr>
                        <w:tcW w:w="5670" w:type="dxa"/>
                        <w:tcBorders>
                          <w:top w:val="none"/>
                          <w:left w:val="none"/>
                          <w:bottom w:val="none"/>
                          <w:right w:val="none"/>
                        </w:tcBorders>
                        <w:textDirection w:val="lrTb"/>
                        <w:vAlign w:val="top"/>
                      </w:tcPr>
                      <w:p/>
                    </w:tc>
                  </w:tr>
                </w:tbl>
              </w:txbxContent>
            </v:textbox>
          </v:shape>
        </w:pict>
      </w:r>
      <w:r>
        <w:pict>
          <v:shapetype id="_x0000_t598" coordsize="21600,21600" o:spt="202" path="m,l,21600r21600,l21600,xe">
            <v:stroke joinstyle="miter"/>
            <v:path gradientshapeok="t" o:connecttype="rect"/>
          </v:shapetype>
          <v:shape id="_x0000_s597" type="#_x0000_t598" filled="f" stroked="f" style="position:absolute;width:612pt;height:73.45pt;z-index:1;margin-left:0pt;margin-top:643.4pt;mso-wrap-distance-left:0pt;mso-wrap-distance-right:0pt;mso-position-horizontal-relative:page;mso-position-vertical-relative:page">
            <w10:wrap anchorx="page" anchory="page"/>
            <v:fill opacity="1" o:opacity2="1" recolor="f" rotate="f" type="solid"/>
            <v:textbox inset="0pt, 0pt, 0pt, 0pt">
              <w:txbxContent>
                <w:p>
                  <w:pPr>
                    <w:spacing w:before="67" w:after="0" w:line="222" w:lineRule="exact"/>
                    <w:ind w:right="0" w:left="6768"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However, access to care in Yates County is a</w:t>
                  </w:r>
                </w:p>
                <w:p>
                  <w:pPr>
                    <w:spacing w:before="0" w:after="595" w:line="288" w:lineRule="exact"/>
                    <w:ind w:right="1512" w:left="144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widespread barrier, especially for elderly and low-income populations. There is limited access to primary care locally, and residents are also forced to travel long distances for specialty care. Additional barriers</w:t>
                  </w:r>
                </w:p>
              </w:txbxContent>
            </v:textbox>
          </v:shape>
        </w:pict>
      </w:r>
      <w:r>
        <w:pict>
          <v:shapetype id="_x0000_t599" coordsize="21600,21600" o:spt="202" path="m,l,21600r21600,l21600,xe">
            <v:stroke joinstyle="miter"/>
            <v:path gradientshapeok="t" o:connecttype="rect"/>
          </v:shapetype>
          <v:shape id="_x0000_s598" type="#_x0000_t599" filled="f" stroked="f" style="position:absolute;width:612pt;height:25.15pt;z-index:1;margin-left:0pt;margin-top:716.85pt;mso-wrap-distance-left:0pt;mso-wrap-distance-right:0pt;mso-position-horizontal-relative:page;mso-position-vertical-relative:page">
            <w10:wrap anchorx="page" anchory="page"/>
            <v:fill opacity="1" o:opacity2="1" recolor="f" rotate="f" type="solid"/>
            <v:textbox inset="0pt, 0pt, 0pt, 0pt">
              <w:txbxContent>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103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1.55pt,62.9pt" style="position:absolute;mso-position-horizontal-relative:page;mso-position-vertical-relative:page;">
            <v:stroke dashstyle="solid"/>
          </v:line>
        </w:pict>
      </w:r>
      <w:r>
        <w:pict>
          <v:line strokeweight="2.15pt" strokecolor="#145F82" from="272.15pt,287.05pt" to="521.55pt,287.05pt" style="position:absolute;mso-position-horizontal-relative:page;mso-position-vertical-relative:page;">
            <v:stroke dashstyle="solid"/>
          </v:line>
        </w:pict>
      </w:r>
      <w:r>
        <w:pict>
          <v:line strokeweight="2.15pt" strokecolor="#145F82" from="272.15pt,377.3pt" to="521.55pt,377.3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319" w:top="180" w:right="0" w:left="0" w:header="720" w:footer="720"/>
          <w:titlePg w:val="false"/>
          <w:textDirection w:val="lrTb"/>
        </w:sectPr>
      </w:pPr>
    </w:p>
    <w:p>
      <w:pPr>
        <w:spacing w:before="158" w:after="0" w:line="289" w:lineRule="exact"/>
        <w:ind w:right="1512" w:left="1440" w:firstLine="0"/>
        <w:jc w:val="both"/>
        <w:textAlignment w:val="baseline"/>
        <w:rPr>
          <w:rFonts w:ascii="Calibri" w:hAnsi="Calibri" w:eastAsia="Calibri"/>
          <w:color w:val="000000"/>
          <w:spacing w:val="0"/>
          <w:w w:val="100"/>
          <w:sz w:val="22"/>
          <w:vertAlign w:val="baseline"/>
          <w:lang w:val="en-US"/>
        </w:rPr>
      </w:pPr>
      <w:r>
        <w:pict>
          <v:shapetype id="_x0000_t600" coordsize="21600,21600" o:spt="202" path="m,l,21600r21600,l21600,xe">
            <v:stroke joinstyle="miter"/>
            <v:path gradientshapeok="t" o:connecttype="rect"/>
          </v:shapetype>
          <v:shape id="_x0000_s599" type="#_x0000_t600"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83"/>
                              <a:graphic>
                                <a:graphicData uri="http://schemas.openxmlformats.org/drawingml/2006/picture">
                                  <pic:pic>
                                    <pic:nvPicPr>
                                      <pic:cNvPr id="183" name="Picture"/>
                                      <pic:cNvPicPr preferRelativeResize="false"/>
                                    </pic:nvPicPr>
                                    <pic:blipFill>
                                      <a:blip r:embed="prId183"/>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7055"/>
                              <wp:docPr name="Picture" id="184"/>
                              <a:graphic>
                                <a:graphicData uri="http://schemas.openxmlformats.org/drawingml/2006/picture">
                                  <pic:pic>
                                    <pic:nvPicPr>
                                      <pic:cNvPr id="184" name="Picture"/>
                                      <pic:cNvPicPr preferRelativeResize="false"/>
                                    </pic:nvPicPr>
                                    <pic:blipFill>
                                      <a:blip r:embed="prId184"/>
                                      <a:stretch>
                                        <a:fillRect/>
                                      </a:stretch>
                                    </pic:blipFill>
                                    <pic:spPr>
                                      <a:xfrm>
                                        <a:off x="0" y="0"/>
                                        <a:ext cx="554990" cy="567055"/>
                                      </a:xfrm>
                                      <a:prstGeom prst="rect"/>
                                    </pic:spPr>
                                  </pic:pic>
                                </a:graphicData>
                              </a:graphic>
                            </wp:inline>
                          </w:drawing>
                        </w:r>
                      </w:p>
                    </w:tc>
                  </w:tr>
                </w:tbl>
                <w:p>
                  <w:pPr>
                    <w:spacing w:before="0" w:after="52" w:line="20" w:lineRule="exact"/>
                  </w:pP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include high medical costs, insurance limitations, scheduling difficulties, lack of transportation, and poor broadband access.</w:t>
      </w:r>
    </w:p>
    <w:p>
      <w:pPr>
        <w:spacing w:before="163" w:after="206" w:line="289" w:lineRule="exact"/>
        <w:ind w:right="1512" w:left="1440" w:firstLine="0"/>
        <w:jc w:val="both"/>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Increasing access to care through creative community solutions and partnerships can reduce the burden of chronic disease in the community.</w:t>
      </w:r>
    </w:p>
    <w:p>
      <w:pPr>
        <w:tabs>
          <w:tab w:val="left" w:leader="none" w:pos="5544"/>
        </w:tabs>
        <w:spacing w:before="76" w:after="0" w:line="355" w:lineRule="exact"/>
        <w:ind w:right="0" w:left="1440" w:firstLine="0"/>
        <w:jc w:val="left"/>
        <w:textAlignment w:val="baseline"/>
        <w:rPr>
          <w:rFonts w:ascii="Calibri" w:hAnsi="Calibri" w:eastAsia="Calibri"/>
          <w:b w:val="true"/>
          <w:color w:val="000000"/>
          <w:spacing w:val="0"/>
          <w:w w:val="100"/>
          <w:sz w:val="28"/>
          <w:vertAlign w:val="baseline"/>
          <w:lang w:val="en-US"/>
        </w:rPr>
      </w:pPr>
      <w:r>
        <w:pict>
          <v:line strokeweight="2.15pt" strokecolor="#145F82" from="279.35pt,147.35pt" to="527.55pt,147.35pt" style="position:absolute;mso-position-horizontal-relative:page;mso-position-vertical-relative:page;">
            <v:stroke dashstyle="solid"/>
          </v:line>
        </w:pict>
      </w:r>
      <w:r>
        <w:rPr>
          <w:rFonts w:ascii="Calibri" w:hAnsi="Calibri" w:eastAsia="Calibri"/>
          <w:b w:val="true"/>
          <w:color w:val="000000"/>
          <w:spacing w:val="0"/>
          <w:w w:val="100"/>
          <w:sz w:val="28"/>
          <w:vertAlign w:val="baseline"/>
          <w:lang w:val="en-US"/>
        </w:rPr>
        <w:t xml:space="preserve">Anxiety and Stress	</w:t>
      </w:r>
      <w:r>
        <w:rPr>
          <w:rFonts w:ascii="Calibri" w:hAnsi="Calibri" w:eastAsia="Calibri"/>
          <w:i w:val="true"/>
          <w:color w:val="145F82"/>
          <w:spacing w:val="0"/>
          <w:w w:val="100"/>
          <w:sz w:val="22"/>
          <w:vertAlign w:val="baseline"/>
          <w:lang w:val="en-US"/>
        </w:rPr>
        <w:t xml:space="preserve">"Older people still have skills to be useful and want to be"</w:t>
      </w:r>
    </w:p>
    <w:p>
      <w:pPr>
        <w:spacing w:before="44" w:after="0" w:line="289" w:lineRule="exact"/>
        <w:ind w:right="0" w:left="1440" w:firstLine="0"/>
        <w:jc w:val="left"/>
        <w:textAlignment w:val="baseline"/>
        <w:rPr>
          <w:rFonts w:ascii="Calibri" w:hAnsi="Calibri" w:eastAsia="Calibri"/>
          <w:color w:val="000000"/>
          <w:spacing w:val="0"/>
          <w:w w:val="100"/>
          <w:sz w:val="22"/>
          <w:vertAlign w:val="baseline"/>
          <w:lang w:val="en-US"/>
        </w:rPr>
      </w:pPr>
      <w:r>
        <w:pict>
          <v:shapetype id="_x0000_t601" coordsize="21600,21600" o:spt="202" path="m,l,21600r21600,l21600,xe">
            <v:stroke joinstyle="miter"/>
            <v:path gradientshapeok="t" o:connecttype="rect"/>
          </v:shapetype>
          <v:shape id="_x0000_s600" type="#_x0000_t601" filled="f" stroked="f" style="position:absolute;width:333pt;height:50.4pt;z-index:-1;margin-left:279pt;margin-top:168.25pt;mso-wrap-distance-left:46.7pt;mso-wrap-distance-right:0pt;mso-position-horizontal-relative:page;mso-position-vertical-relative:page">
            <w10:wrap type="square" side="both"/>
            <v:fill opacity="1" o:opacity2="1" recolor="f" rotate="f" type="solid"/>
            <v:textbox inset="0pt, 0pt, 0pt, 0pt">
              <w:txbxContent>
                <w:p>
                  <w:pPr>
                    <w:spacing w:before="244" w:after="557" w:line="197" w:lineRule="exact"/>
                    <w:ind w:right="0" w:left="1296" w:firstLine="0"/>
                    <w:jc w:val="left"/>
                    <w:textAlignment w:val="baseline"/>
                    <w:rPr>
                      <w:rFonts w:ascii="Calibri" w:hAnsi="Calibri" w:eastAsia="Calibri"/>
                      <w:i w:val="true"/>
                      <w:color w:val="145F82"/>
                      <w:spacing w:val="0"/>
                      <w:w w:val="100"/>
                      <w:sz w:val="20"/>
                      <w:vertAlign w:val="baseline"/>
                      <w:lang w:val="en-US"/>
                    </w:rPr>
                  </w:pPr>
                  <w:r>
                    <w:rPr>
                      <w:rFonts w:ascii="Calibri" w:hAnsi="Calibri" w:eastAsia="Calibri"/>
                      <w:i w:val="true"/>
                      <w:color w:val="145F82"/>
                      <w:spacing w:val="0"/>
                      <w:w w:val="100"/>
                      <w:sz w:val="20"/>
                      <w:vertAlign w:val="baseline"/>
                      <w:lang w:val="en-US"/>
                    </w:rPr>
                    <w:t xml:space="preserve">-YCC Focus Group Participant</w:t>
                  </w:r>
                </w:p>
              </w:txbxContent>
            </v:textbox>
          </v:shape>
        </w:pict>
      </w:r>
      <w:r>
        <w:pict>
          <v:line strokeweight="2.15pt" strokecolor="#145F82" from="279pt,198.25pt" to="527.55pt,198.25pt" style="position:absolute;mso-position-horizontal-relative:page;mso-position-vertical-relative:page;">
            <v:stroke dashstyle="solid"/>
          </v:line>
        </w:pict>
      </w:r>
      <w:r>
        <w:rPr>
          <w:rFonts w:ascii="Calibri" w:hAnsi="Calibri" w:eastAsia="Calibri"/>
          <w:color w:val="000000"/>
          <w:spacing w:val="0"/>
          <w:w w:val="100"/>
          <w:sz w:val="22"/>
          <w:vertAlign w:val="baseline"/>
          <w:lang w:val="en-US"/>
        </w:rPr>
        <w:t xml:space="preserve">Mental health was noted as a major issue across all focus groups. Youth cited bullying and cyberbullying as factors influencing mental health while older adults noted isolation as a key contributor. A shortage of</w:t>
      </w:r>
    </w:p>
    <w:p>
      <w:pPr>
        <w:spacing w:before="71" w:after="0" w:line="222" w:lineRule="exact"/>
        <w:ind w:right="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health providers and ongoing barriers to seeking help, especially for marginalized groups, was</w:t>
      </w:r>
    </w:p>
    <w:p>
      <w:pPr>
        <w:spacing w:before="66" w:after="0" w:line="220" w:lineRule="exact"/>
        <w:ind w:right="0" w:left="144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cited as cause for concern.</w:t>
      </w:r>
    </w:p>
    <w:p>
      <w:pPr>
        <w:spacing w:before="162" w:after="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Declining mental health can signal underlying concerns around rising stress, depression, or anxiety in the community. This may lead to higher rates of chronic disease, substance use, reduced productivity, and greater demand for mental health and medical services.</w:t>
      </w:r>
    </w:p>
    <w:p>
      <w:pPr>
        <w:spacing w:before="195" w:after="584" w:line="268" w:lineRule="exact"/>
        <w:ind w:right="2232" w:left="1440" w:firstLine="0"/>
        <w:jc w:val="left"/>
        <w:textAlignment w:val="baseline"/>
        <w:rPr>
          <w:rFonts w:ascii="Arial" w:hAnsi="Arial" w:eastAsia="Arial"/>
          <w:color w:val="000000"/>
          <w:spacing w:val="0"/>
          <w:w w:val="100"/>
          <w:sz w:val="22"/>
          <w:vertAlign w:val="baseline"/>
          <w:lang w:val="en-US"/>
        </w:rPr>
      </w:pPr>
      <w:r>
        <w:rPr>
          <w:rFonts w:ascii="Arial" w:hAnsi="Arial" w:eastAsia="Arial"/>
          <w:color w:val="000000"/>
          <w:spacing w:val="0"/>
          <w:w w:val="100"/>
          <w:sz w:val="22"/>
          <w:vertAlign w:val="baseline"/>
          <w:lang w:val="en-US"/>
        </w:rPr>
        <w:t xml:space="preserve">Building community support systems focused on resilience-building strategies and social connections can improve community well-being.</w:t>
      </w:r>
    </w:p>
    <w:p>
      <w:pPr>
        <w:spacing w:before="3" w:after="0" w:line="289" w:lineRule="exact"/>
        <w:ind w:right="1584" w:left="1440" w:firstLine="0"/>
        <w:jc w:val="left"/>
        <w:textAlignment w:val="baseline"/>
        <w:rPr>
          <w:rFonts w:ascii="Calibri" w:hAnsi="Calibri" w:eastAsia="Calibri"/>
          <w:color w:val="000000"/>
          <w:spacing w:val="0"/>
          <w:w w:val="100"/>
          <w:sz w:val="22"/>
          <w:vertAlign w:val="baseline"/>
          <w:lang w:val="en-US"/>
        </w:rPr>
      </w:pPr>
      <w:r>
        <w:pict>
          <v:shapetype id="_x0000_t602" coordsize="21600,21600" o:spt="202" path="m,l,21600r21600,l21600,xe">
            <v:stroke joinstyle="miter"/>
            <v:path gradientshapeok="t" o:connecttype="rect"/>
          </v:shapetype>
          <v:shape id="_x0000_s601" type="#_x0000_t602" filled="f" stroked="f" style="position:absolute;width:612pt;height:43.65pt;z-index:-1;margin-left:0pt;margin-top:375.1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03" coordsize="21600,21600" o:spt="202" path="m,l,21600r21600,l21600,xe">
            <v:stroke joinstyle="miter"/>
            <v:path gradientshapeok="t" o:connecttype="rect"/>
          </v:shapetype>
          <v:shape id="_x0000_s602" type="#_x0000_t603" filled="f" stroked="f" style="position:absolute;width:611.5pt;height:34.6pt;z-index:-1;margin-left:0pt;margin-top:375.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9420"/>
                        <wp:docPr name="Picture" id="185"/>
                        <a:graphic>
                          <a:graphicData uri="http://schemas.openxmlformats.org/drawingml/2006/picture">
                            <pic:pic>
                              <pic:nvPicPr>
                                <pic:cNvPr id="185" name="Picture"/>
                                <pic:cNvPicPr preferRelativeResize="false"/>
                              </pic:nvPicPr>
                              <pic:blipFill>
                                <a:blip r:embed="prId185"/>
                                <a:stretch>
                                  <a:fillRect/>
                                </a:stretch>
                              </pic:blipFill>
                              <pic:spPr>
                                <a:xfrm>
                                  <a:off x="0" y="0"/>
                                  <a:ext cx="7766050" cy="439420"/>
                                </a:xfrm>
                                <a:prstGeom prst="rect"/>
                              </pic:spPr>
                            </pic:pic>
                          </a:graphicData>
                        </a:graphic>
                      </wp:inline>
                    </w:drawing>
                  </w:r>
                </w:p>
              </w:txbxContent>
            </v:textbox>
          </v:shape>
        </w:pict>
      </w:r>
      <w:r>
        <w:pict>
          <v:shapetype id="_x0000_t604" coordsize="21600,21600" o:spt="202" path="m,l,21600r21600,l21600,xe">
            <v:stroke joinstyle="miter"/>
            <v:path gradientshapeok="t" o:connecttype="rect"/>
          </v:shapetype>
          <v:shape id="_x0000_s603" type="#_x0000_t604" filled="f" stroked="f" style="position:absolute;width:194.15pt;height:16.25pt;z-index:-1;margin-left:213.85pt;margin-top:379.75pt;mso-wrap-distance-left:0pt;mso-wrap-distance-right:0pt;mso-position-horizontal-relative:page;mso-position-vertical-relative:page">
            <w10:wrap type="square" side="both"/>
            <v:fill opacity="1" o:opacity2="1" recolor="f" rotate="f" type="solid"/>
            <v:textbox inset="0pt, 0pt, 0pt, 0pt">
              <w:txbxContent>
                <w:p>
                  <w:pPr>
                    <w:spacing w:before="33" w:after="5" w:line="287" w:lineRule="exact"/>
                    <w:ind w:right="0" w:left="0" w:firstLine="0"/>
                    <w:jc w:val="center"/>
                    <w:textAlignment w:val="baseline"/>
                    <w:rPr>
                      <w:rFonts w:ascii="Calibri" w:hAnsi="Calibri" w:eastAsia="Calibri"/>
                      <w:b w:val="true"/>
                      <w:color w:val="FFFFFF"/>
                      <w:spacing w:val="-4"/>
                      <w:w w:val="100"/>
                      <w:sz w:val="28"/>
                      <w:vertAlign w:val="baseline"/>
                      <w:lang w:val="en-US"/>
                    </w:rPr>
                  </w:pPr>
                  <w:r>
                    <w:rPr>
                      <w:rFonts w:ascii="Calibri" w:hAnsi="Calibri" w:eastAsia="Calibri"/>
                      <w:b w:val="true"/>
                      <w:color w:val="FFFFFF"/>
                      <w:spacing w:val="-4"/>
                      <w:w w:val="100"/>
                      <w:sz w:val="28"/>
                      <w:vertAlign w:val="baseline"/>
                      <w:lang w:val="en-US"/>
                    </w:rPr>
                    <w:t xml:space="preserve">Community Assets and Resources</w:t>
                  </w:r>
                </w:p>
              </w:txbxContent>
            </v:textbox>
          </v:shape>
        </w:pict>
      </w:r>
      <w:r>
        <w:rPr>
          <w:rFonts w:ascii="Calibri" w:hAnsi="Calibri" w:eastAsia="Calibri"/>
          <w:color w:val="000000"/>
          <w:spacing w:val="0"/>
          <w:w w:val="100"/>
          <w:sz w:val="22"/>
          <w:vertAlign w:val="baseline"/>
          <w:lang w:val="en-US"/>
        </w:rPr>
        <w:t xml:space="preserve">Existing and needed community assets and resources supporting health were identified throughout the Community Health Assessment process. The community partners listed in Appendix 1 provide valuable resources to support positive health outcomes for Yates County residents.</w:t>
      </w:r>
    </w:p>
    <w:p>
      <w:pPr>
        <w:spacing w:before="166"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Pivital Public Health Partnership and Common Ground Health are two agencies that promote and facilitate regional collaboration. Pivital is a partnership of eight rural health departments in the Finger Lakes Region, focusing on improving the health and well-being of Finger Lakes residents. Common Ground Health covers the same geographic footprint, with the addition of Monroe County, and focuses on bringing together leaders from all sectors to collaborate on strategies for improving health in the region. Both agencies provide support, collaboration and resources to improve the health of Yates County residents.</w:t>
      </w:r>
    </w:p>
    <w:p>
      <w:pPr>
        <w:spacing w:before="163" w:after="130" w:line="289" w:lineRule="exact"/>
        <w:ind w:right="1440"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has broad engagement from nonprofits, healthcare systems, school districts, grassroots groups, and faith-based communities. Agencies like Finger Lakes Area Counseling &amp; Recovery Agency (FLACRA), Cornell Cooperative Extension, UR Medicine Finger Lakes Health, Pro Action provide mental health, substance use, medical, social, and educational services. Individuals of all ages and backgrounds—including low-income populations, older adults, those living with disabilities, LGBTQIA+ community members, immigrants, and racial minorities— are engaged through support groups, advisory boards, social media, and multilingual support. Partners actively work on policy and advocacy, adapt through regular evaluation , and use innovative tools and leadership opportunities to build resilience and local capacity.</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104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24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05" coordsize="21600,21600" o:spt="202" path="m,l,21600r21600,l21600,xe">
            <v:stroke joinstyle="miter"/>
            <v:path gradientshapeok="t" o:connecttype="rect"/>
          </v:shapetype>
          <v:shape id="_x0000_s604" type="#_x0000_t605"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86"/>
                              <a:graphic>
                                <a:graphicData uri="http://schemas.openxmlformats.org/drawingml/2006/picture">
                                  <pic:pic>
                                    <pic:nvPicPr>
                                      <pic:cNvPr id="186" name="Picture"/>
                                      <pic:cNvPicPr preferRelativeResize="false"/>
                                    </pic:nvPicPr>
                                    <pic:blipFill>
                                      <a:blip r:embed="prId186"/>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87"/>
                              <a:graphic>
                                <a:graphicData uri="http://schemas.openxmlformats.org/drawingml/2006/picture">
                                  <pic:pic>
                                    <pic:nvPicPr>
                                      <pic:cNvPr id="187" name="Picture"/>
                                      <pic:cNvPicPr preferRelativeResize="false"/>
                                    </pic:nvPicPr>
                                    <pic:blipFill>
                                      <a:blip r:embed="prId187"/>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606" coordsize="21600,21600" o:spt="202" path="m,l,21600r21600,l21600,xe">
            <v:stroke joinstyle="miter"/>
            <v:path gradientshapeok="t" o:connecttype="rect"/>
          </v:shapetype>
          <v:shape id="_x0000_s605" type="#_x0000_t606" filled="f" stroked="f" style="position:absolute;width:612pt;height:322.5pt;z-index:1;margin-left:0pt;margin-top:72.1pt;mso-wrap-distance-left:0pt;mso-wrap-distance-right:0pt;mso-position-horizontal-relative:page;mso-position-vertical-relative:page">
            <w10:wrap anchorx="page" anchory="page"/>
            <v:fill opacity="1" o:opacity2="1" recolor="f" rotate="f" type="solid"/>
            <v:textbox inset="0pt, 0pt, 0pt, 0pt">
              <w:txbxContent>
                <w:p>
                  <w:pPr>
                    <w:spacing w:before="0" w:after="0" w:line="279" w:lineRule="exact"/>
                    <w:ind w:right="194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There is also a strong emphasis on community within the county as exemplified by committed staff, volunteers, and resource sharing (spaces, technology, event support). Social hubs such as libraries, community centers, churches, and schools anchor programming and promote referrals across health/wellness, social, and preventive services.</w:t>
                  </w:r>
                </w:p>
                <w:p>
                  <w:pPr>
                    <w:spacing w:before="163"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While partnerships and organizations exist to foster collaboration in the community, gaps still exist that may inhibit growth. Several partners discussed the need to expand community engagement for youth inclusion. Engagement must go beyond social media to include more one-to-one interaction. Many populations, especially the older population, expressed the desire to mentor youth and foster relationships.</w:t>
                  </w:r>
                </w:p>
                <w:p>
                  <w:pPr>
                    <w:spacing w:before="162" w:after="0" w:line="290"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Additionally, community partners and businesses must continue to address organizational awareness of structural determinants of health. In doing so, creating more inventive, comfortable, and accessible meeting and engagement spaces are needed.</w:t>
                  </w:r>
                </w:p>
                <w:p>
                  <w:pPr>
                    <w:spacing w:before="160" w:after="0" w:line="289" w:lineRule="exact"/>
                    <w:ind w:right="1584"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Through implementation of the Community Health Improvement Plan (CHIP), Yates County and its community partners will work to leverage existing relationships, knowledge, and resources. The Yates County CHIP workplan will include a full description of interventions and partner roles that will be used to address chosen priorities and objectives.</w:t>
                  </w:r>
                </w:p>
                <w:p>
                  <w:pPr>
                    <w:spacing w:before="163" w:after="0" w:line="288" w:lineRule="exact"/>
                    <w:ind w:right="1872" w:left="144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Table Y7 highlights the specific county partners associated with each priority area and how they may support Yates County in achieving its goals.</w:t>
                  </w:r>
                </w:p>
                <w:p>
                  <w:pPr>
                    <w:spacing w:before="230" w:after="187" w:line="221" w:lineRule="exact"/>
                    <w:ind w:right="0" w:left="1440" w:firstLine="0"/>
                    <w:jc w:val="left"/>
                    <w:textAlignment w:val="baseline"/>
                    <w:rPr>
                      <w:rFonts w:ascii="Calibri" w:hAnsi="Calibri" w:eastAsia="Calibri"/>
                      <w:i w:val="true"/>
                      <w:color w:val="000000"/>
                      <w:spacing w:val="0"/>
                      <w:w w:val="100"/>
                      <w:sz w:val="22"/>
                      <w:vertAlign w:val="baseline"/>
                      <w:lang w:val="en-US"/>
                    </w:rPr>
                  </w:pPr>
                  <w:r>
                    <w:rPr>
                      <w:rFonts w:ascii="Calibri" w:hAnsi="Calibri" w:eastAsia="Calibri"/>
                      <w:i w:val="true"/>
                      <w:color w:val="000000"/>
                      <w:spacing w:val="0"/>
                      <w:w w:val="100"/>
                      <w:sz w:val="22"/>
                      <w:vertAlign w:val="baseline"/>
                      <w:lang w:val="en-US"/>
                    </w:rPr>
                    <w:t xml:space="preserve">Table Y7: County Resources to Accomplish CHA/CHIP Goals</w:t>
                  </w:r>
                </w:p>
              </w:txbxContent>
            </v:textbox>
          </v:shape>
        </w:pict>
      </w:r>
      <w:r>
        <w:pict>
          <v:shapetype id="_x0000_t607" coordsize="21600,21600" o:spt="202" path="m,l,21600r21600,l21600,xe">
            <v:stroke joinstyle="miter"/>
            <v:path gradientshapeok="t" o:connecttype="rect"/>
          </v:shapetype>
          <v:shape id="_x0000_s606" type="#_x0000_t607" filled="f" stroked="f" style="position:absolute;width:612pt;height:322.25pt;z-index:1;margin-left:0pt;margin-top:394.6pt;mso-wrap-distance-left:0pt;mso-wrap-distance-right:0pt;mso-position-horizontal-relative:page;mso-position-vertical-relative:page">
            <w10:wrap anchorx="page" anchory="page"/>
            <v:fill opacity="1" o:opacity2="1" recolor="f" rotate="f" type="solid"/>
            <v:textbox inset="0pt, 0pt, 0pt, 0pt">
              <w:txbxContent>
                <w:tbl>
                  <w:tblPr>
                    <w:jc w:val="left"/>
                    <w:tblInd w:w="1440" w:type="dxa"/>
                    <w:tblLayout w:type="fixed"/>
                    <w:tblCellMar>
                      <w:left w:w="0" w:type="dxa"/>
                      <w:right w:w="0" w:type="dxa"/>
                    </w:tblCellMar>
                  </w:tblPr>
                  <w:tblGrid>
                    <w:gridCol w:w="2731"/>
                    <w:gridCol w:w="3000"/>
                    <w:gridCol w:w="3629"/>
                  </w:tblGrid>
                  <w:tr>
                    <w:trPr>
                      <w:trHeight w:val="1042" w:hRule="exact"/>
                    </w:trPr>
                    <w:tc>
                      <w:tcPr>
                        <w:tcW w:w="2731" w:type="dxa"/>
                        <w:tcBorders>
                          <w:top w:val="single" w:sz="5" w:color="000000"/>
                          <w:left w:val="single" w:sz="5" w:color="000000"/>
                          <w:bottom w:val="single" w:sz="5" w:color="000000"/>
                          <w:right w:val="single" w:sz="5" w:color="000000"/>
                        </w:tcBorders>
                        <w:shd w:val="clear" w:color="83C9EB" w:fill="83C9EB"/>
                        <w:textDirection w:val="lrTb"/>
                        <w:vAlign w:val="center"/>
                      </w:tcPr>
                      <w:p>
                        <w:pPr>
                          <w:spacing w:before="385" w:after="364" w:line="287" w:lineRule="exact"/>
                          <w:ind w:right="0" w:left="565" w:firstLine="0"/>
                          <w:jc w:val="left"/>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Priority Area</w:t>
                        </w:r>
                      </w:p>
                    </w:tc>
                    <w:tc>
                      <w:tcPr>
                        <w:tcW w:w="3000" w:type="dxa"/>
                        <w:tcBorders>
                          <w:top w:val="single" w:sz="5" w:color="000000"/>
                          <w:left w:val="single" w:sz="5" w:color="000000"/>
                          <w:bottom w:val="single" w:sz="5" w:color="000000"/>
                          <w:right w:val="single" w:sz="5" w:color="000000"/>
                        </w:tcBorders>
                        <w:shd w:val="clear" w:color="83C9EB" w:fill="83C9EB"/>
                        <w:textDirection w:val="lrTb"/>
                        <w:vAlign w:val="top"/>
                      </w:tcPr>
                      <w:p>
                        <w:pPr>
                          <w:spacing w:before="163" w:after="191" w:line="341" w:lineRule="exact"/>
                          <w:ind w:right="0" w:left="144" w:firstLine="432"/>
                          <w:jc w:val="left"/>
                          <w:textAlignment w:val="baseline"/>
                          <w:rPr>
                            <w:rFonts w:ascii="Calibri" w:hAnsi="Calibri" w:eastAsia="Calibri"/>
                            <w:b w:val="true"/>
                            <w:color w:val="000000"/>
                            <w:spacing w:val="-3"/>
                            <w:w w:val="100"/>
                            <w:sz w:val="28"/>
                            <w:vertAlign w:val="baseline"/>
                            <w:lang w:val="en-US"/>
                          </w:rPr>
                        </w:pPr>
                        <w:r>
                          <w:rPr>
                            <w:rFonts w:ascii="Calibri" w:hAnsi="Calibri" w:eastAsia="Calibri"/>
                            <w:b w:val="true"/>
                            <w:color w:val="000000"/>
                            <w:spacing w:val="-3"/>
                            <w:w w:val="100"/>
                            <w:sz w:val="28"/>
                            <w:vertAlign w:val="baseline"/>
                            <w:lang w:val="en-US"/>
                          </w:rPr>
                          <w:t xml:space="preserve">Sample Assets &amp; Collaborafi ve Resources</w:t>
                        </w:r>
                      </w:p>
                    </w:tc>
                    <w:tc>
                      <w:tcPr>
                        <w:tcW w:w="3629" w:type="dxa"/>
                        <w:tcBorders>
                          <w:top w:val="single" w:sz="5" w:color="000000"/>
                          <w:left w:val="single" w:sz="5" w:color="000000"/>
                          <w:bottom w:val="single" w:sz="5" w:color="000000"/>
                          <w:right w:val="single" w:sz="5" w:color="000000"/>
                        </w:tcBorders>
                        <w:shd w:val="clear" w:color="83C9EB" w:fill="83C9EB"/>
                        <w:textDirection w:val="lrTb"/>
                        <w:vAlign w:val="top"/>
                      </w:tcPr>
                      <w:p>
                        <w:pPr>
                          <w:spacing w:before="0" w:after="0" w:line="336" w:lineRule="exact"/>
                          <w:ind w:right="0" w:left="0" w:firstLine="0"/>
                          <w:jc w:val="center"/>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How They Support</w:t>
                          <w:br/>
                        </w:r>
                        <w:r>
                          <w:rPr>
                            <w:rFonts w:ascii="Calibri" w:hAnsi="Calibri" w:eastAsia="Calibri"/>
                            <w:b w:val="true"/>
                            <w:color w:val="000000"/>
                            <w:spacing w:val="0"/>
                            <w:w w:val="100"/>
                            <w:sz w:val="28"/>
                            <w:vertAlign w:val="baseline"/>
                            <w:lang w:val="en-US"/>
                          </w:rPr>
                          <w:t xml:space="preserve">Community Health &amp; Well-</w:t>
                        </w:r>
                        <w:r>
                          <w:rPr>
                            <w:rFonts w:ascii="Calibri" w:hAnsi="Calibri" w:eastAsia="Calibri"/>
                            <w:color w:val="000000"/>
                            <w:w w:val="100"/>
                            <w:sz w:val="24"/>
                            <w:vertAlign w:val="baseline"/>
                            <w:lang w:val="en-US"/>
                          </w:rPr>
                          <w:t xml:space="preserve">
</w:t>
                        </w:r>
                      </w:p>
                      <w:p>
                        <w:pPr>
                          <w:spacing w:before="54" w:after="23" w:line="287" w:lineRule="exact"/>
                          <w:ind w:right="0" w:left="0" w:firstLine="0"/>
                          <w:jc w:val="center"/>
                          <w:textAlignment w:val="baseline"/>
                          <w:rPr>
                            <w:rFonts w:ascii="Calibri" w:hAnsi="Calibri" w:eastAsia="Calibri"/>
                            <w:b w:val="true"/>
                            <w:color w:val="000000"/>
                            <w:spacing w:val="0"/>
                            <w:w w:val="100"/>
                            <w:sz w:val="28"/>
                            <w:vertAlign w:val="baseline"/>
                            <w:lang w:val="en-US"/>
                          </w:rPr>
                        </w:pPr>
                        <w:r>
                          <w:rPr>
                            <w:rFonts w:ascii="Calibri" w:hAnsi="Calibri" w:eastAsia="Calibri"/>
                            <w:b w:val="true"/>
                            <w:color w:val="000000"/>
                            <w:spacing w:val="0"/>
                            <w:w w:val="100"/>
                            <w:sz w:val="28"/>
                            <w:vertAlign w:val="baseline"/>
                            <w:lang w:val="en-US"/>
                          </w:rPr>
                          <w:t xml:space="preserve">being</w:t>
                        </w:r>
                      </w:p>
                    </w:tc>
                  </w:tr>
                  <w:tr>
                    <w:trPr>
                      <w:trHeight w:val="273" w:hRule="exact"/>
                    </w:trPr>
                    <w:tc>
                      <w:tcPr>
                        <w:tcW w:w="2731" w:type="dxa"/>
                        <w:tcBorders>
                          <w:top w:val="single" w:sz="5" w:color="000000"/>
                          <w:left w:val="single" w:sz="5" w:color="000000"/>
                          <w:bottom w:val="none"/>
                          <w:right w:val="single" w:sz="5" w:color="000000"/>
                        </w:tcBorders>
                        <w:shd w:val="clear" w:color="C1E3F5" w:fill="C1E3F5"/>
                        <w:textDirection w:val="lrTb"/>
                        <w:vAlign w:val="center"/>
                      </w:tcPr>
                      <w:p>
                        <w:pPr>
                          <w:spacing w:before="32" w:after="14" w:line="222"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Stability &amp;</w:t>
                        </w:r>
                      </w:p>
                    </w:tc>
                    <w:tc>
                      <w:tcPr>
                        <w:tcW w:w="3000" w:type="dxa"/>
                        <w:tcBorders>
                          <w:top w:val="single" w:sz="5" w:color="000000"/>
                          <w:left w:val="single" w:sz="5" w:color="000000"/>
                          <w:bottom w:val="none"/>
                          <w:right w:val="single" w:sz="5" w:color="000000"/>
                        </w:tcBorders>
                        <w:textDirection w:val="lrTb"/>
                        <w:vAlign w:val="center"/>
                      </w:tcPr>
                      <w:p>
                        <w:pPr>
                          <w:spacing w:before="32" w:after="14" w:line="222"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DSS; Keuka</w:t>
                        </w:r>
                      </w:p>
                    </w:tc>
                    <w:tc>
                      <w:tcPr>
                        <w:tcW w:w="3629" w:type="dxa"/>
                        <w:tcBorders>
                          <w:top w:val="single" w:sz="5" w:color="000000"/>
                          <w:left w:val="single" w:sz="5" w:color="000000"/>
                          <w:bottom w:val="none"/>
                          <w:right w:val="single" w:sz="5" w:color="000000"/>
                        </w:tcBorders>
                        <w:textDirection w:val="lrTb"/>
                        <w:vAlign w:val="center"/>
                      </w:tcPr>
                      <w:p>
                        <w:pPr>
                          <w:spacing w:before="32" w:after="16" w:line="220"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Ensure basic needs for residents are</w:t>
                        </w:r>
                      </w:p>
                    </w:tc>
                  </w:tr>
                  <w:tr>
                    <w:trPr>
                      <w:trHeight w:val="279" w:hRule="exact"/>
                    </w:trPr>
                    <w:tc>
                      <w:tcPr>
                        <w:tcW w:w="2731" w:type="dxa"/>
                        <w:tcBorders>
                          <w:top w:val="none"/>
                          <w:left w:val="single" w:sz="5" w:color="000000"/>
                          <w:bottom w:val="none"/>
                          <w:right w:val="single" w:sz="5" w:color="000000"/>
                        </w:tcBorders>
                        <w:shd w:val="clear" w:color="C1E3F5" w:fill="C1E3F5"/>
                        <w:textDirection w:val="lrTb"/>
                        <w:vAlign w:val="center"/>
                      </w:tcPr>
                      <w:p>
                        <w:pPr>
                          <w:spacing w:before="0" w:after="1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Affordability</w:t>
                        </w:r>
                      </w:p>
                    </w:tc>
                    <w:tc>
                      <w:tcPr>
                        <w:tcW w:w="3000" w:type="dxa"/>
                        <w:tcBorders>
                          <w:top w:val="none"/>
                          <w:left w:val="single" w:sz="5" w:color="000000"/>
                          <w:bottom w:val="none"/>
                          <w:right w:val="single" w:sz="5" w:color="000000"/>
                        </w:tcBorders>
                        <w:textDirection w:val="lrTb"/>
                        <w:vAlign w:val="center"/>
                      </w:tcPr>
                      <w:p>
                        <w:pPr>
                          <w:spacing w:before="0" w:after="19"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Housing Council; Cornell</w:t>
                        </w:r>
                      </w:p>
                    </w:tc>
                    <w:tc>
                      <w:tcPr>
                        <w:tcW w:w="3629" w:type="dxa"/>
                        <w:tcBorders>
                          <w:top w:val="none"/>
                          <w:left w:val="single" w:sz="5" w:color="000000"/>
                          <w:bottom w:val="none"/>
                          <w:right w:val="single" w:sz="5" w:color="000000"/>
                        </w:tcBorders>
                        <w:textDirection w:val="lrTb"/>
                        <w:vAlign w:val="center"/>
                      </w:tcPr>
                      <w:p>
                        <w:pPr>
                          <w:spacing w:before="0" w:after="19"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met (housing, food, safe drinking</w:t>
                        </w:r>
                      </w:p>
                    </w:tc>
                  </w:tr>
                  <w:tr>
                    <w:trPr>
                      <w:trHeight w:val="273" w:hRule="exact"/>
                    </w:trPr>
                    <w:tc>
                      <w:tcPr>
                        <w:tcW w:w="2731" w:type="dxa"/>
                        <w:tcBorders>
                          <w:top w:val="none"/>
                          <w:left w:val="single" w:sz="5" w:color="000000"/>
                          <w:bottom w:val="none"/>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00" w:type="dxa"/>
                        <w:tcBorders>
                          <w:top w:val="none"/>
                          <w:left w:val="single" w:sz="5" w:color="000000"/>
                          <w:bottom w:val="none"/>
                          <w:right w:val="single" w:sz="5" w:color="000000"/>
                        </w:tcBorders>
                        <w:textDirection w:val="lrTb"/>
                        <w:vAlign w:val="center"/>
                      </w:tcPr>
                      <w:p>
                        <w:pPr>
                          <w:spacing w:before="0" w:after="24"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Cooperative Extension (CCE);</w:t>
                        </w:r>
                      </w:p>
                    </w:tc>
                    <w:tc>
                      <w:tcPr>
                        <w:tcW w:w="3629" w:type="dxa"/>
                        <w:tcBorders>
                          <w:top w:val="none"/>
                          <w:left w:val="single" w:sz="5" w:color="000000"/>
                          <w:bottom w:val="none"/>
                          <w:right w:val="single" w:sz="5" w:color="000000"/>
                        </w:tcBorders>
                        <w:textDirection w:val="lrTb"/>
                        <w:vAlign w:val="center"/>
                      </w:tcPr>
                      <w:p>
                        <w:pPr>
                          <w:spacing w:before="0" w:after="24" w:line="221"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water, clothing, heat etc.);</w:t>
                        </w:r>
                      </w:p>
                    </w:tc>
                  </w:tr>
                  <w:tr>
                    <w:trPr>
                      <w:trHeight w:val="250" w:hRule="exact"/>
                    </w:trPr>
                    <w:tc>
                      <w:tcPr>
                        <w:tcW w:w="2731" w:type="dxa"/>
                        <w:tcBorders>
                          <w:top w:val="none"/>
                          <w:left w:val="single" w:sz="5" w:color="000000"/>
                          <w:bottom w:val="none"/>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00" w:type="dxa"/>
                        <w:tcBorders>
                          <w:top w:val="none"/>
                          <w:left w:val="single" w:sz="5" w:color="000000"/>
                          <w:bottom w:val="none"/>
                          <w:right w:val="single" w:sz="5" w:color="000000"/>
                        </w:tcBorders>
                        <w:textDirection w:val="lrTb"/>
                        <w:vAlign w:val="center"/>
                      </w:tcPr>
                      <w:p>
                        <w:pPr>
                          <w:spacing w:before="0" w:after="19" w:line="221"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Soil and Water;</w:t>
                        </w:r>
                      </w:p>
                    </w:tc>
                    <w:tc>
                      <w:tcPr>
                        <w:tcW w:w="3629" w:type="dxa"/>
                        <w:tcBorders>
                          <w:top w:val="none"/>
                          <w:left w:val="single" w:sz="5" w:color="000000"/>
                          <w:bottom w:val="none"/>
                          <w:right w:val="single" w:sz="5" w:color="000000"/>
                        </w:tcBorders>
                        <w:textDirection w:val="lrTb"/>
                        <w:vAlign w:val="center"/>
                      </w:tcPr>
                      <w:p>
                        <w:pPr>
                          <w:spacing w:before="0" w:after="20" w:line="220"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educational resources to residents</w:t>
                        </w:r>
                      </w:p>
                    </w:tc>
                  </w:tr>
                  <w:tr>
                    <w:trPr>
                      <w:trHeight w:val="269" w:hRule="exact"/>
                    </w:trPr>
                    <w:tc>
                      <w:tcPr>
                        <w:tcW w:w="2731" w:type="dxa"/>
                        <w:tcBorders>
                          <w:top w:val="none"/>
                          <w:left w:val="single" w:sz="5" w:color="000000"/>
                          <w:bottom w:val="none"/>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00" w:type="dxa"/>
                        <w:tcBorders>
                          <w:top w:val="none"/>
                          <w:left w:val="single" w:sz="5" w:color="000000"/>
                          <w:bottom w:val="none"/>
                          <w:right w:val="single" w:sz="5" w:color="000000"/>
                        </w:tcBorders>
                        <w:textDirection w:val="lrTb"/>
                        <w:vAlign w:val="center"/>
                      </w:tcPr>
                      <w:p>
                        <w:pPr>
                          <w:spacing w:before="0" w:after="10" w:line="220"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Geneva District Office for</w:t>
                        </w:r>
                      </w:p>
                    </w:tc>
                    <w:tc>
                      <w:tcPr>
                        <w:tcW w:w="3629" w:type="dxa"/>
                        <w:tcBorders>
                          <w:top w:val="none"/>
                          <w:left w:val="single" w:sz="5" w:color="000000"/>
                          <w:bottom w:val="none"/>
                          <w:right w:val="single" w:sz="5" w:color="000000"/>
                        </w:tcBorders>
                        <w:textDirection w:val="lrTb"/>
                        <w:vAlign w:val="center"/>
                      </w:tcPr>
                      <w:p>
                        <w:pPr>
                          <w:spacing w:before="0" w:after="10" w:line="220"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who face environmental hazards</w:t>
                        </w:r>
                      </w:p>
                    </w:tc>
                  </w:tr>
                  <w:tr>
                    <w:trPr>
                      <w:trHeight w:val="268" w:hRule="exact"/>
                    </w:trPr>
                    <w:tc>
                      <w:tcPr>
                        <w:tcW w:w="2731" w:type="dxa"/>
                        <w:tcBorders>
                          <w:top w:val="none"/>
                          <w:left w:val="single" w:sz="5" w:color="000000"/>
                          <w:bottom w:val="none"/>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00" w:type="dxa"/>
                        <w:tcBorders>
                          <w:top w:val="none"/>
                          <w:left w:val="single" w:sz="5" w:color="000000"/>
                          <w:bottom w:val="none"/>
                          <w:right w:val="single" w:sz="5" w:color="000000"/>
                        </w:tcBorders>
                        <w:textDirection w:val="lrTb"/>
                        <w:vAlign w:val="center"/>
                      </w:tcPr>
                      <w:p>
                        <w:pPr>
                          <w:spacing w:before="0" w:after="16" w:line="220"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Environmental Health; LAW of</w:t>
                        </w:r>
                      </w:p>
                    </w:tc>
                    <w:tc>
                      <w:tcPr>
                        <w:tcW w:w="3629" w:type="dxa"/>
                        <w:tcBorders>
                          <w:top w:val="none"/>
                          <w:left w:val="single" w:sz="5" w:color="000000"/>
                          <w:bottom w:val="none"/>
                          <w:right w:val="single" w:sz="5" w:color="000000"/>
                        </w:tcBorders>
                        <w:textDirection w:val="lrTb"/>
                        <w:vAlign w:val="center"/>
                      </w:tcPr>
                      <w:p>
                        <w:pPr>
                          <w:spacing w:before="0" w:after="14" w:line="222" w:lineRule="exact"/>
                          <w:ind w:right="0" w:left="1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within their house; informing</w:t>
                        </w:r>
                      </w:p>
                    </w:tc>
                  </w:tr>
                  <w:tr>
                    <w:trPr>
                      <w:trHeight w:val="2947" w:hRule="exact"/>
                    </w:trPr>
                    <w:tc>
                      <w:tcPr>
                        <w:tcW w:w="2731" w:type="dxa"/>
                        <w:tcBorders>
                          <w:top w:val="none"/>
                          <w:left w:val="single" w:sz="5" w:color="000000"/>
                          <w:bottom w:val="single" w:sz="5" w:color="000000"/>
                          <w:right w:val="single" w:sz="5" w:color="000000"/>
                        </w:tcBorders>
                        <w:shd w:val="clear" w:color="C1E3F5" w:fill="C1E3F5"/>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c>
                      <w:tcPr>
                        <w:tcW w:w="3000" w:type="dxa"/>
                        <w:tcBorders>
                          <w:top w:val="none"/>
                          <w:left w:val="single" w:sz="5" w:color="000000"/>
                          <w:bottom w:val="single" w:sz="5" w:color="000000"/>
                          <w:right w:val="single" w:sz="5" w:color="000000"/>
                        </w:tcBorders>
                        <w:textDirection w:val="lrTb"/>
                        <w:vAlign w:val="top"/>
                      </w:tcPr>
                      <w:p>
                        <w:pPr>
                          <w:spacing w:before="0" w:after="2682" w:line="222" w:lineRule="exact"/>
                          <w:ind w:right="0" w:left="111"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NYS; Housing Consortium</w:t>
                        </w:r>
                      </w:p>
                    </w:tc>
                    <w:tc>
                      <w:tcPr>
                        <w:tcW w:w="3629" w:type="dxa"/>
                        <w:tcBorders>
                          <w:top w:val="none"/>
                          <w:left w:val="single" w:sz="5" w:color="000000"/>
                          <w:bottom w:val="single" w:sz="5" w:color="000000"/>
                          <w:right w:val="single" w:sz="5" w:color="000000"/>
                        </w:tcBorders>
                        <w:textDirection w:val="lrTb"/>
                        <w:vAlign w:val="top"/>
                      </w:tcPr>
                      <w:p>
                        <w:pPr>
                          <w:spacing w:before="0" w:after="1340" w:line="265" w:lineRule="exact"/>
                          <w:ind w:right="144" w:left="108"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residents of their rights as a homeowner; community and governmental collaboration can help maintain neighborhoods at affordable prices for residents who live and work in the area</w:t>
                        </w:r>
                      </w:p>
                    </w:tc>
                  </w:tr>
                </w:tbl>
                <w:p>
                  <w:pPr>
                    <w:spacing w:before="0" w:after="810" w:line="20" w:lineRule="exact"/>
                  </w:pPr>
                </w:p>
              </w:txbxContent>
            </v:textbox>
          </v:shape>
        </w:pict>
      </w:r>
      <w:r>
        <w:pict>
          <v:shapetype id="_x0000_t608" coordsize="21600,21600" o:spt="202" path="m,l,21600r21600,l21600,xe">
            <v:stroke joinstyle="miter"/>
            <v:path gradientshapeok="t" o:connecttype="rect"/>
          </v:shapetype>
          <v:shape id="_x0000_s607" type="#_x0000_t608"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105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609" coordsize="21600,21600" o:spt="202" path="m,l,21600r21600,l21600,xe">
            <v:stroke joinstyle="miter"/>
            <v:path gradientshapeok="t" o:connecttype="rect"/>
          </v:shapetype>
          <v:shape id="_x0000_s608" type="#_x0000_t609" filled="f" stroked="f" style="position:absolute;width:586.3pt;height:53pt;z-index:-1;margin-left:13.7pt;margin-top: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88"/>
                              <a:graphic>
                                <a:graphicData uri="http://schemas.openxmlformats.org/drawingml/2006/picture">
                                  <pic:pic>
                                    <pic:nvPicPr>
                                      <pic:cNvPr id="188" name="Picture"/>
                                      <pic:cNvPicPr preferRelativeResize="false"/>
                                    </pic:nvPicPr>
                                    <pic:blipFill>
                                      <a:blip r:embed="prId188"/>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89"/>
                              <a:graphic>
                                <a:graphicData uri="http://schemas.openxmlformats.org/drawingml/2006/picture">
                                  <pic:pic>
                                    <pic:nvPicPr>
                                      <pic:cNvPr id="189" name="Picture"/>
                                      <pic:cNvPicPr preferRelativeResize="false"/>
                                    </pic:nvPicPr>
                                    <pic:blipFill>
                                      <a:blip r:embed="prId189"/>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shapetype id="_x0000_t610" coordsize="21600,21600" o:spt="202" path="m,l,21600r21600,l21600,xe">
            <v:stroke joinstyle="miter"/>
            <v:path gradientshapeok="t" o:connecttype="rect"/>
          </v:shapetype>
          <v:shape id="_x0000_s609" type="#_x0000_t610" fillcolor="#C1E3F5" stroked="t" style="position:absolute;width:136.55pt;height:251.75pt;z-index:1;margin-left:72.25pt;margin-top:72.25pt;mso-wrap-distance-left:0pt;mso-wrap-distance-right:0pt;mso-position-horizontal-relative:page;mso-position-vertical-relative:page">
            <w10:wrap anchorx="page" anchory="page"/>
            <v:textbox inset="0pt, 0pt, 0pt, 0pt">
              <w:txbxContent>
                <w:p>
                  <w:pPr>
                    <w:spacing w:before="0" w:after="4231" w:line="263" w:lineRule="exact"/>
                    <w:ind w:right="216" w:left="72" w:firstLine="0"/>
                    <w:jc w:val="left"/>
                    <w:textAlignment w:val="baseline"/>
                    <w:rPr>
                      <w:rFonts w:ascii="Calibri" w:hAnsi="Calibri" w:eastAsia="Calibri"/>
                      <w:color w:val="000000"/>
                      <w:spacing w:val="-4"/>
                      <w:w w:val="100"/>
                      <w:sz w:val="22"/>
                      <w:vertAlign w:val="baseline"/>
                      <w:lang w:val="en-US"/>
                    </w:rPr>
                  </w:pPr>
                  <w:r>
                    <w:rPr>
                      <w:rFonts w:ascii="Calibri" w:hAnsi="Calibri" w:eastAsia="Calibri"/>
                      <w:color w:val="000000"/>
                      <w:spacing w:val="-4"/>
                      <w:w w:val="100"/>
                      <w:sz w:val="22"/>
                      <w:vertAlign w:val="baseline"/>
                      <w:lang w:val="en-US"/>
                    </w:rPr>
                    <w:t xml:space="preserve">Preventive Services of Chronic Disease Prevention &amp; Control</w:t>
                  </w:r>
                </w:p>
              </w:txbxContent>
            </v:textbox>
          </v:shape>
        </w:pict>
      </w:r>
      <w:r>
        <w:pict>
          <v:shapetype id="_x0000_t611" coordsize="21600,21600" o:spt="202" path="m,l,21600r21600,l21600,xe">
            <v:stroke joinstyle="miter"/>
            <v:path gradientshapeok="t" o:connecttype="rect"/>
          </v:shapetype>
          <v:shape id="_x0000_s610" type="#_x0000_t611" fillcolor="#C1E3F5" stroked="t" style="position:absolute;width:136.55pt;height:202.1pt;z-index:1;margin-left:72.25pt;margin-top:324pt;mso-wrap-distance-left:0pt;mso-wrap-distance-right:0pt;mso-position-horizontal-relative:page;mso-position-vertical-relative:page">
            <w10:wrap anchorx="page" anchory="page"/>
            <v:textbox inset="0pt, 0pt, 0pt, 0pt">
              <w:txbxContent>
                <w:p>
                  <w:pPr>
                    <w:spacing w:before="14" w:after="3767" w:line="222" w:lineRule="exact"/>
                    <w:ind w:right="0" w:left="72" w:firstLine="0"/>
                    <w:jc w:val="left"/>
                    <w:textAlignment w:val="baseline"/>
                    <w:rPr>
                      <w:rFonts w:ascii="Calibri" w:hAnsi="Calibri" w:eastAsia="Calibri"/>
                      <w:color w:val="000000"/>
                      <w:spacing w:val="-3"/>
                      <w:w w:val="100"/>
                      <w:sz w:val="22"/>
                      <w:vertAlign w:val="baseline"/>
                      <w:lang w:val="en-US"/>
                    </w:rPr>
                  </w:pPr>
                  <w:r>
                    <w:rPr>
                      <w:rFonts w:ascii="Calibri" w:hAnsi="Calibri" w:eastAsia="Calibri"/>
                      <w:color w:val="000000"/>
                      <w:spacing w:val="-3"/>
                      <w:w w:val="100"/>
                      <w:sz w:val="22"/>
                      <w:vertAlign w:val="baseline"/>
                      <w:lang w:val="en-US"/>
                    </w:rPr>
                    <w:t xml:space="preserve">Anxiety &amp; Stress </w:t>
                  </w:r>
                </w:p>
              </w:txbxContent>
            </v:textbox>
          </v:shape>
        </w:pict>
      </w:r>
      <w:r>
        <w:pict>
          <v:shapetype id="_x0000_t612" coordsize="21600,21600" o:spt="202" path="m,l,21600r21600,l21600,xe">
            <v:stroke joinstyle="miter"/>
            <v:path gradientshapeok="t" o:connecttype="rect"/>
          </v:shapetype>
          <v:shape id="_x0000_s611" type="#_x0000_t612" filled="f" stroked="t" style="position:absolute;width:150pt;height:251.25pt;z-index:1;margin-left:208.8pt;margin-top:72.25pt;mso-wrap-distance-left:0pt;mso-wrap-distance-right:0pt;mso-position-horizontal-relative:page;mso-position-vertical-relative:page">
            <w10:wrap anchorx="page" anchory="page"/>
            <v:fill opacity="1" o:opacity2="1" recolor="f" rotate="f" type="solid"/>
            <v:textbox inset="0pt, 0pt, 0pt, 0pt">
              <w:txbxContent>
                <w:p>
                  <w:pPr>
                    <w:spacing w:before="0" w:after="993" w:line="267" w:lineRule="exact"/>
                    <w:ind w:right="144"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Cornell Cooperative Extension (CCE); ProAction of Steuben and Yates; Tobacco Action Coalition of the Finger Lakes; Finger Lakes Community Health; Penn Yan Central School District (PYCSD); Dundee Central School District (DCSD); UR Medicine Finger Lakes Health; Dundee Food Pantry-Baptist Church; The Living Well; Dundee Fresh Grocery, Our Town Rocks; Medical Reserve Corps (MRC); Rochester Regional Health</w:t>
                  </w:r>
                </w:p>
              </w:txbxContent>
            </v:textbox>
          </v:shape>
        </w:pict>
      </w:r>
      <w:r>
        <w:pict>
          <v:shapetype id="_x0000_t613" coordsize="21600,21600" o:spt="202" path="m,l,21600r21600,l21600,xe">
            <v:stroke joinstyle="miter"/>
            <v:path gradientshapeok="t" o:connecttype="rect"/>
          </v:shapetype>
          <v:shape id="_x0000_s612" type="#_x0000_t613" filled="f" stroked="t" style="position:absolute;width:150pt;height:202.6pt;z-index:1;margin-left:208.8pt;margin-top:323.5pt;mso-wrap-distance-left:0pt;mso-wrap-distance-right:0pt;mso-position-horizontal-relative:page;mso-position-vertical-relative:page">
            <w10:wrap anchorx="page" anchory="page"/>
            <v:fill opacity="1" o:opacity2="1" recolor="f" rotate="f" type="solid"/>
            <v:textbox inset="0pt, 0pt, 0pt, 0pt">
              <w:txbxContent>
                <w:p>
                  <w:pPr>
                    <w:spacing w:before="0" w:after="7" w:line="268" w:lineRule="exact"/>
                    <w:ind w:right="144" w:left="72"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Penn Yan Public Library; Yates County Office of Emergency Services; ProAction of Steuben and Yates; Finger Lakes Area Counseling and Referral Agency (FLACRA); Finger Lakes Community Health; Yates County Sheriff’s Office (YCSO); Lakeview Health Services; Yates County Correctional Facility; UR Medicine Finger Lakes Health; The Living Well; Yates County Community Services; Our Town Rocks; Yates Prevention Coalition </w:t>
                  </w:r>
                </w:p>
              </w:txbxContent>
            </v:textbox>
          </v:shape>
        </w:pict>
      </w:r>
      <w:r>
        <w:pict>
          <v:shapetype id="_x0000_t614" coordsize="21600,21600" o:spt="202" path="m,l,21600r21600,l21600,xe">
            <v:stroke joinstyle="miter"/>
            <v:path gradientshapeok="t" o:connecttype="rect"/>
          </v:shapetype>
          <v:shape id="_x0000_s613" type="#_x0000_t614" filled="f" stroked="t" style="position:absolute;width:181.2pt;height:251.15pt;z-index:1;margin-left:358.8pt;margin-top:72.25pt;mso-wrap-distance-left:0pt;mso-wrap-distance-right:0pt;mso-position-horizontal-relative:page;mso-position-vertical-relative:page">
            <w10:wrap anchorx="page" anchory="page"/>
            <v:fill opacity="1" o:opacity2="1" recolor="f" rotate="f" type="solid"/>
            <v:textbox inset="0pt, 0pt, 0pt, 0pt">
              <w:txbxContent>
                <w:p>
                  <w:pPr>
                    <w:spacing w:before="0" w:after="1533" w:line="267" w:lineRule="exact"/>
                    <w:ind w:right="144" w:left="72"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Providing educational resources around general health and well-being, nutrition, and prevention/management of chronic disease; primary, emergency, and specialty health care providers; food and nutrition security; school systems providing primary prevention education, healthy food options, and educational opportunities around health and well-being; organizations offering community support groups and connection to resources</w:t>
                  </w:r>
                </w:p>
              </w:txbxContent>
            </v:textbox>
          </v:shape>
        </w:pict>
      </w:r>
      <w:r>
        <w:pict>
          <v:shapetype id="_x0000_t615" coordsize="21600,21600" o:spt="202" path="m,l,21600r21600,l21600,xe">
            <v:stroke joinstyle="miter"/>
            <v:path gradientshapeok="t" o:connecttype="rect"/>
          </v:shapetype>
          <v:shape id="_x0000_s614" type="#_x0000_t615" filled="f" stroked="t" style="position:absolute;width:181.2pt;height:202.7pt;z-index:1;margin-left:358.8pt;margin-top:323.4pt;mso-wrap-distance-left:0pt;mso-wrap-distance-right:0pt;mso-position-horizontal-relative:page;mso-position-vertical-relative:page">
            <w10:wrap anchorx="page" anchory="page"/>
            <v:fill opacity="1" o:opacity2="1" recolor="f" rotate="f" type="solid"/>
            <v:textbox inset="0pt, 0pt, 0pt, 0pt">
              <w:txbxContent>
                <w:p>
                  <w:pPr>
                    <w:spacing w:before="0" w:after="1632" w:line="268" w:lineRule="exact"/>
                    <w:ind w:right="144" w:left="72"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health support and care; emergency response to mental health crises; resources for mental health and general well-being; educational resources for residents who experience mental health concerns; population-specific resources and community support; social connection opportunities</w:t>
                  </w:r>
                </w:p>
              </w:txbxContent>
            </v:textbox>
          </v:shape>
        </w:pict>
      </w:r>
      <w:r>
        <w:pict>
          <v:shapetype id="_x0000_t616" coordsize="21600,21600" o:spt="202" path="m,l,21600r21600,l21600,xe">
            <v:stroke joinstyle="miter"/>
            <v:path gradientshapeok="t" o:connecttype="rect"/>
          </v:shapetype>
          <v:shape id="_x0000_s615" type="#_x0000_t616" filled="f" stroked="f" style="position:absolute;width:612pt;height:14pt;z-index:-1;margin-left:0pt;margin-top:728pt;mso-wrap-distance-left:0pt;mso-wrap-distance-right:0pt;mso-position-horizontal-relative:page;mso-position-vertical-relative:page">
            <w10:wrap type="square" side="both"/>
            <v:fill opacity="1" o:opacity2="1" recolor="f" rotate="f" type="solid"/>
            <v:textbox inset="0pt, 0pt, 0pt, 0pt">
              <w:txbxContent>
                <w:p>
                  <w:pPr>
                    <w:tabs>
                      <w:tab w:val="left" w:leader="none" w:pos="9504"/>
                    </w:tabs>
                    <w:spacing w:before="27"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rPr>
                      <w:rFonts w:ascii="Calibri" w:hAnsi="Calibri" w:eastAsia="Calibri"/>
                      <w:b w:val="true"/>
                      <w:color w:val="145F82"/>
                      <w:spacing w:val="0"/>
                      <w:w w:val="100"/>
                      <w:sz w:val="24"/>
                      <w:vertAlign w:val="baseline"/>
                      <w:lang w:val="en-US"/>
                    </w:rPr>
                    <w:t xml:space="preserve">Page 106	</w:t>
                  </w:r>
                  <w:r>
                    <w:rPr>
                      <w:rFonts w:ascii="Calibri" w:hAnsi="Calibri" w:eastAsia="Calibri"/>
                      <w:b w:val="true"/>
                      <w:color w:val="145F82"/>
                      <w:spacing w:val="0"/>
                      <w:w w:val="100"/>
                      <w:sz w:val="24"/>
                      <w:vertAlign w:val="baseline"/>
                      <w:lang w:val="en-US"/>
                    </w:rPr>
                    <w:t xml:space="preserve">Yates County</w:t>
                  </w:r>
                </w:p>
              </w:txbxContent>
            </v:textbox>
          </v:shape>
        </w:pict>
      </w:r>
      <w:r>
        <w:pict>
          <v:line strokeweight="1.7pt" strokecolor="#145F82" from="0pt,62.9pt" to="612.05pt,62.9pt" style="position:absolute;mso-position-horizontal-relative:page;mso-position-vertical-relative:page;">
            <v:stroke dashstyle="solid"/>
          </v:line>
        </w:pict>
      </w:r>
      <w:r>
        <w:pict>
          <v:line strokeweight="1.9pt" strokecolor="#145F82" from="0pt,717.85pt" to="612.05pt,717.85pt" style="position:absolute;mso-position-horizontal-relative:page;mso-position-vertical-relative:page;">
            <v:stroke dashstyle="solid"/>
          </v:line>
        </w:pict>
      </w:r>
    </w:p>
    <w:p>
      <w:pPr>
        <w:sectPr>
          <w:type w:val="nextPage"/>
          <w:pgSz w:w="12240" w:h="15840" w:orient="portrait"/>
          <w:pgMar w:bottom="607" w:top="1152" w:right="0" w:left="0" w:header="720" w:footer="720"/>
          <w:titlePg w:val="false"/>
          <w:textDirection w:val="lrTb"/>
        </w:sectPr>
      </w:pPr>
    </w:p>
    <w:p>
      <w:pPr>
        <w:spacing w:before="235" w:after="95" w:line="287" w:lineRule="exact"/>
        <w:ind w:right="0" w:left="1440" w:firstLine="0"/>
        <w:jc w:val="left"/>
        <w:textAlignment w:val="baseline"/>
        <w:rPr>
          <w:rFonts w:ascii="Calibri" w:hAnsi="Calibri" w:eastAsia="Calibri"/>
          <w:b w:val="true"/>
          <w:color w:val="000000"/>
          <w:spacing w:val="-1"/>
          <w:w w:val="100"/>
          <w:sz w:val="28"/>
          <w:vertAlign w:val="baseline"/>
          <w:lang w:val="en-US"/>
        </w:rPr>
      </w:pPr>
      <w:r>
        <w:pict>
          <v:shapetype id="_x0000_t617" coordsize="21600,21600" o:spt="202" path="m,l,21600r21600,l21600,xe">
            <v:stroke joinstyle="miter"/>
            <v:path gradientshapeok="t" o:connecttype="rect"/>
          </v:shapetype>
          <v:shape id="_x0000_s616" type="#_x0000_t617"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18"/>
                    <w:gridCol w:w="9734"/>
                    <w:gridCol w:w="874"/>
                  </w:tblGrid>
                  <w:tr>
                    <w:trPr>
                      <w:trHeight w:val="988" w:hRule="exact"/>
                    </w:trPr>
                    <w:tc>
                      <w:tcPr>
                        <w:tcW w:w="111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9930" cy="609600"/>
                              <wp:docPr name="Picture" id="190"/>
                              <a:graphic>
                                <a:graphicData uri="http://schemas.openxmlformats.org/drawingml/2006/picture">
                                  <pic:pic>
                                    <pic:nvPicPr>
                                      <pic:cNvPr id="190" name="Picture"/>
                                      <pic:cNvPicPr preferRelativeResize="false"/>
                                    </pic:nvPicPr>
                                    <pic:blipFill>
                                      <a:blip r:embed="prId190"/>
                                      <a:stretch>
                                        <a:fillRect/>
                                      </a:stretch>
                                    </pic:blipFill>
                                    <pic:spPr>
                                      <a:xfrm>
                                        <a:off x="0" y="0"/>
                                        <a:ext cx="709930" cy="609600"/>
                                      </a:xfrm>
                                      <a:prstGeom prst="rect"/>
                                    </pic:spPr>
                                  </pic:pic>
                                </a:graphicData>
                              </a:graphic>
                            </wp:inline>
                          </w:drawing>
                        </w:r>
                      </w:p>
                    </w:tc>
                    <w:tc>
                      <w:tcPr>
                        <w:tcW w:w="973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91"/>
                              <a:graphic>
                                <a:graphicData uri="http://schemas.openxmlformats.org/drawingml/2006/picture">
                                  <pic:pic>
                                    <pic:nvPicPr>
                                      <pic:cNvPr id="191" name="Picture"/>
                                      <pic:cNvPicPr preferRelativeResize="false"/>
                                    </pic:nvPicPr>
                                    <pic:blipFill>
                                      <a:blip r:embed="prId191"/>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pict>
          <v:line strokeweight="1.7pt" strokecolor="#145F82" from="0pt,62.9pt" to="612.05pt,62.9pt" style="position:absolute;mso-position-horizontal-relative:page;mso-position-vertical-relative:page;">
            <v:stroke dashstyle="solid"/>
          </v:line>
        </w:pict>
      </w:r>
      <w:r>
        <w:rPr>
          <w:rFonts w:ascii="Calibri" w:hAnsi="Calibri" w:eastAsia="Calibri"/>
          <w:b w:val="true"/>
          <w:color w:val="000000"/>
          <w:spacing w:val="-1"/>
          <w:w w:val="100"/>
          <w:sz w:val="28"/>
          <w:vertAlign w:val="baseline"/>
          <w:lang w:val="en-US"/>
        </w:rPr>
        <w:t xml:space="preserve">Appendix 1</w:t>
      </w:r>
    </w:p>
    <w:p>
      <w:pPr>
        <w:spacing w:before="0" w:after="264" w:line="264" w:lineRule="exact"/>
        <w:ind w:right="1944" w:left="1440" w:firstLine="0"/>
        <w:jc w:val="left"/>
        <w:textAlignment w:val="baseline"/>
        <w:rPr>
          <w:rFonts w:ascii="Calibri" w:hAnsi="Calibri" w:eastAsia="Calibri"/>
          <w:color w:val="000000"/>
          <w:spacing w:val="0"/>
          <w:w w:val="100"/>
          <w:sz w:val="22"/>
          <w:vertAlign w:val="baseline"/>
          <w:lang w:val="en-US"/>
        </w:rPr>
      </w:pPr>
      <w:r>
        <w:pict>
          <v:shapetype id="_x0000_t618" coordsize="21600,21600" o:spt="202" path="m,l,21600r21600,l21600,xe">
            <v:stroke joinstyle="miter"/>
            <v:path gradientshapeok="t" o:connecttype="rect"/>
          </v:shapetype>
          <v:shape id="_x0000_s617" type="#_x0000_t618" filled="f" stroked="f" style="position:absolute;width:612pt;height:44.3pt;z-index:-1;margin-left:0pt;margin-top:93.1pt;mso-wrap-distance-left:0pt;mso-wrap-distance-right:0pt;mso-position-horizontal-relative:page;mso-position-vertical-relative:page">
            <w10:wrap type="square"/>
            <v:fill opacity="1" o:opacity2="1" recolor="f" rotate="f" type="solid"/>
            <v:textbox inset="0pt, 0pt, 0pt, 0pt">
              <w:txbxContent/>
            </v:textbox>
          </v:shape>
        </w:pict>
      </w:r>
      <w:r>
        <w:pict>
          <v:shapetype id="_x0000_t619" coordsize="21600,21600" o:spt="202" path="m,l,21600r21600,l21600,xe">
            <v:stroke joinstyle="miter"/>
            <v:path gradientshapeok="t" o:connecttype="rect"/>
          </v:shapetype>
          <v:shape id="_x0000_s618" type="#_x0000_t619" filled="f" stroked="f" style="position:absolute;width:611.5pt;height:34.6pt;z-index:-1;margin-left:0pt;margin-top:93.1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766050" cy="439420"/>
                        <wp:docPr name="Picture" id="192"/>
                        <a:graphic>
                          <a:graphicData uri="http://schemas.openxmlformats.org/drawingml/2006/picture">
                            <pic:pic>
                              <pic:nvPicPr>
                                <pic:cNvPr id="192" name="Picture"/>
                                <pic:cNvPicPr preferRelativeResize="false"/>
                              </pic:nvPicPr>
                              <pic:blipFill>
                                <a:blip r:embed="prId192"/>
                                <a:stretch>
                                  <a:fillRect/>
                                </a:stretch>
                              </pic:blipFill>
                              <pic:spPr>
                                <a:xfrm>
                                  <a:off x="0" y="0"/>
                                  <a:ext cx="7766050" cy="439420"/>
                                </a:xfrm>
                                <a:prstGeom prst="rect"/>
                              </pic:spPr>
                            </pic:pic>
                          </a:graphicData>
                        </a:graphic>
                      </wp:inline>
                    </w:drawing>
                  </w:r>
                </w:p>
              </w:txbxContent>
            </v:textbox>
          </v:shape>
        </w:pict>
      </w:r>
      <w:r>
        <w:pict>
          <v:shapetype id="_x0000_t620" coordsize="21600,21600" o:spt="202" path="m,l,21600r21600,l21600,xe">
            <v:stroke joinstyle="miter"/>
            <v:path gradientshapeok="t" o:connecttype="rect"/>
          </v:shapetype>
          <v:shape id="_x0000_s619" type="#_x0000_t620" filled="f" stroked="f" style="position:absolute;width:303.6pt;height:16.25pt;z-index:-1;margin-left:160.55pt;margin-top:97.75pt;mso-wrap-distance-left:0pt;mso-wrap-distance-right:0pt;mso-position-horizontal-relative:page;mso-position-vertical-relative:page">
            <w10:wrap type="square" side="both"/>
            <v:fill opacity="1" o:opacity2="1" recolor="f" rotate="f" type="solid"/>
            <v:textbox inset="0pt, 0pt, 0pt, 0pt">
              <w:txbxContent>
                <w:p>
                  <w:pPr>
                    <w:spacing w:before="33" w:after="0" w:line="287" w:lineRule="exact"/>
                    <w:ind w:right="0" w:left="0" w:firstLine="0"/>
                    <w:jc w:val="center"/>
                    <w:textAlignment w:val="baseline"/>
                    <w:rPr>
                      <w:rFonts w:ascii="Calibri" w:hAnsi="Calibri" w:eastAsia="Calibri"/>
                      <w:color w:val="FFFFFF"/>
                      <w:spacing w:val="-4"/>
                      <w:w w:val="100"/>
                      <w:sz w:val="28"/>
                      <w:vertAlign w:val="baseline"/>
                      <w:lang w:val="en-US"/>
                    </w:rPr>
                  </w:pPr>
                  <w:r>
                    <w:rPr>
                      <w:rFonts w:ascii="Calibri" w:hAnsi="Calibri" w:eastAsia="Calibri"/>
                      <w:color w:val="FFFFFF"/>
                      <w:spacing w:val="-4"/>
                      <w:w w:val="100"/>
                      <w:sz w:val="28"/>
                      <w:vertAlign w:val="baseline"/>
                      <w:lang w:val="en-US"/>
                    </w:rPr>
                    <w:t xml:space="preserve">Participating Partners and Community Representation</w:t>
                  </w:r>
                </w:p>
              </w:txbxContent>
            </v:textbox>
          </v:shape>
        </w:pict>
      </w:r>
      <w:r>
        <w:rPr>
          <w:rFonts w:ascii="Calibri" w:hAnsi="Calibri" w:eastAsia="Calibri"/>
          <w:color w:val="000000"/>
          <w:spacing w:val="0"/>
          <w:w w:val="100"/>
          <w:sz w:val="22"/>
          <w:vertAlign w:val="baseline"/>
          <w:lang w:val="en-US"/>
        </w:rPr>
        <w:t xml:space="preserve">A diverse coalition of organizations and community members participated in the Yates County Community Health Assessment process to ensure broad stakeholder input and representation from populations experiencing health disparities. Known as Choose Health Yates, this group serves as the Community Health Improvement Plan (CHIP) steering committee for Yates County. The following partners are active members of the Choose Health Yates Committee:</w:t>
      </w:r>
    </w:p>
    <w:tbl>
      <w:tblPr>
        <w:jc w:val="left"/>
        <w:tblInd w:w="1440" w:type="dxa"/>
        <w:tblLayout w:type="fixed"/>
        <w:tblCellMar>
          <w:left w:w="0" w:type="dxa"/>
          <w:right w:w="0" w:type="dxa"/>
        </w:tblCellMar>
      </w:tblPr>
      <w:tblGrid>
        <w:gridCol w:w="2918"/>
        <w:gridCol w:w="3423"/>
        <w:gridCol w:w="3019"/>
      </w:tblGrid>
      <w:tr>
        <w:trPr>
          <w:trHeight w:val="451" w:hRule="exact"/>
        </w:trPr>
        <w:tc>
          <w:tcPr>
            <w:tcW w:w="2918"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40" w:after="168" w:line="229" w:lineRule="exact"/>
              <w:ind w:right="886"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Organization</w:t>
            </w:r>
          </w:p>
        </w:tc>
        <w:tc>
          <w:tcPr>
            <w:tcW w:w="3423"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40" w:after="168" w:line="229" w:lineRule="exact"/>
              <w:ind w:right="1356"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Sector</w:t>
            </w:r>
          </w:p>
        </w:tc>
        <w:tc>
          <w:tcPr>
            <w:tcW w:w="3019" w:type="dxa"/>
            <w:tcBorders>
              <w:top w:val="single" w:sz="5" w:color="000000"/>
              <w:left w:val="single" w:sz="5" w:color="000000"/>
              <w:bottom w:val="single" w:sz="5" w:color="000000"/>
              <w:right w:val="single" w:sz="5" w:color="000000"/>
            </w:tcBorders>
            <w:shd w:val="clear" w:color="145F82" w:fill="145F82"/>
            <w:textDirection w:val="lrTb"/>
            <w:vAlign w:val="top"/>
          </w:tcPr>
          <w:p>
            <w:pPr>
              <w:spacing w:before="40" w:after="168" w:line="229" w:lineRule="exact"/>
              <w:ind w:right="965" w:left="0" w:firstLine="0"/>
              <w:jc w:val="right"/>
              <w:textAlignment w:val="baseline"/>
              <w:rPr>
                <w:rFonts w:ascii="Calibri" w:hAnsi="Calibri" w:eastAsia="Calibri"/>
                <w:b w:val="true"/>
                <w:color w:val="FFFFFF"/>
                <w:spacing w:val="0"/>
                <w:w w:val="100"/>
                <w:sz w:val="23"/>
                <w:vertAlign w:val="baseline"/>
                <w:lang w:val="en-US"/>
              </w:rPr>
            </w:pPr>
            <w:r>
              <w:rPr>
                <w:rFonts w:ascii="Calibri" w:hAnsi="Calibri" w:eastAsia="Calibri"/>
                <w:b w:val="true"/>
                <w:color w:val="FFFFFF"/>
                <w:spacing w:val="0"/>
                <w:w w:val="100"/>
                <w:sz w:val="23"/>
                <w:vertAlign w:val="baseline"/>
                <w:lang w:val="en-US"/>
              </w:rPr>
              <w:t xml:space="preserve">Population</w:t>
            </w:r>
          </w:p>
        </w:tc>
      </w:tr>
      <w:tr>
        <w:trPr>
          <w:trHeight w:val="442"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Penn Yan Public Library</w:t>
            </w:r>
          </w:p>
        </w:tc>
        <w:tc>
          <w:tcPr>
            <w:tcW w:w="3423"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All populations, LGBTQ+</w:t>
            </w:r>
          </w:p>
        </w:tc>
      </w:tr>
      <w:tr>
        <w:trPr>
          <w:trHeight w:val="715"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82"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Pivital Public Health</w:t>
              <w:br/>
            </w:r>
            <w:r>
              <w:rPr>
                <w:rFonts w:ascii="Calibri" w:hAnsi="Calibri" w:eastAsia="Calibri"/>
                <w:color w:val="000000"/>
                <w:spacing w:val="0"/>
                <w:w w:val="100"/>
                <w:sz w:val="22"/>
                <w:vertAlign w:val="baseline"/>
                <w:lang w:val="en-US"/>
              </w:rPr>
              <w:t xml:space="preserve">Partnership</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451"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451"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Finger Lakes region</w:t>
            </w:r>
          </w:p>
        </w:tc>
      </w:tr>
      <w:tr>
        <w:trPr>
          <w:trHeight w:val="442"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3" w:after="188"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Chamber of Commerce</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187" w:line="222"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tourism agency</w:t>
            </w:r>
          </w:p>
        </w:tc>
        <w:tc>
          <w:tcPr>
            <w:tcW w:w="3019" w:type="dxa"/>
            <w:tcBorders>
              <w:top w:val="single" w:sz="5" w:color="000000"/>
              <w:left w:val="single" w:sz="5" w:color="000000"/>
              <w:bottom w:val="single" w:sz="5" w:color="000000"/>
              <w:right w:val="single" w:sz="5" w:color="000000"/>
            </w:tcBorders>
            <w:textDirection w:val="lrTb"/>
            <w:vAlign w:val="top"/>
          </w:tcPr>
          <w:p>
            <w:pPr>
              <w:spacing w:before="33" w:after="187" w:line="222"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residents</w:t>
            </w:r>
          </w:p>
        </w:tc>
      </w:tr>
      <w:tr>
        <w:trPr>
          <w:trHeight w:val="710"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82" w:line="26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Office of Emergency Services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446"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government</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446"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residents</w:t>
            </w:r>
          </w:p>
        </w:tc>
      </w:tr>
      <w:tr>
        <w:trPr>
          <w:trHeight w:val="715"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3"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Cornell</w:t>
              <w:br/>
            </w:r>
            <w:r>
              <w:rPr>
                <w:rFonts w:ascii="Calibri" w:hAnsi="Calibri" w:eastAsia="Calibri"/>
                <w:color w:val="000000"/>
                <w:spacing w:val="0"/>
                <w:w w:val="100"/>
                <w:sz w:val="22"/>
                <w:vertAlign w:val="baseline"/>
                <w:lang w:val="en-US"/>
              </w:rPr>
              <w:t xml:space="preserve">Cooperative Extension</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446" w:line="222"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educational system</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173" w:line="264" w:lineRule="exact"/>
              <w:ind w:right="72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Agricultural workers, low-income, veterans</w:t>
            </w:r>
          </w:p>
        </w:tc>
      </w:tr>
      <w:tr>
        <w:trPr>
          <w:trHeight w:val="442"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ProAction of Steuben and Yates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agency</w:t>
            </w:r>
          </w:p>
        </w:tc>
        <w:tc>
          <w:tcPr>
            <w:tcW w:w="3019" w:type="dxa"/>
            <w:tcBorders>
              <w:top w:val="single" w:sz="5" w:color="000000"/>
              <w:left w:val="single" w:sz="5" w:color="000000"/>
              <w:bottom w:val="single" w:sz="5" w:color="000000"/>
              <w:right w:val="single" w:sz="5" w:color="000000"/>
            </w:tcBorders>
            <w:textDirection w:val="lrTb"/>
            <w:vAlign w:val="top"/>
          </w:tcPr>
          <w:p>
            <w:pPr>
              <w:spacing w:before="34" w:after="177"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Aging population, low-income</w:t>
            </w:r>
          </w:p>
        </w:tc>
      </w:tr>
      <w:tr>
        <w:trPr>
          <w:trHeight w:val="710"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68"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Department of Social Services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441" w:line="222"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government</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168"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Marginalized populations- low socioeconomic status</w:t>
            </w:r>
          </w:p>
        </w:tc>
      </w:tr>
      <w:tr>
        <w:trPr>
          <w:trHeight w:val="715"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7" w:line="264" w:lineRule="exact"/>
              <w:ind w:right="252" w:left="0" w:firstLine="0"/>
              <w:jc w:val="left"/>
              <w:textAlignment w:val="baseline"/>
              <w:rPr>
                <w:rFonts w:ascii="Calibri" w:hAnsi="Calibri" w:eastAsia="Calibri"/>
                <w:color w:val="000000"/>
                <w:spacing w:val="-1"/>
                <w:w w:val="100"/>
                <w:sz w:val="22"/>
                <w:vertAlign w:val="baseline"/>
                <w:lang w:val="en-US"/>
              </w:rPr>
            </w:pPr>
            <w:r>
              <w:rPr>
                <w:rFonts w:ascii="Calibri" w:hAnsi="Calibri" w:eastAsia="Calibri"/>
                <w:color w:val="000000"/>
                <w:spacing w:val="-1"/>
                <w:w w:val="100"/>
                <w:sz w:val="22"/>
                <w:vertAlign w:val="baseline"/>
                <w:lang w:val="en-US"/>
              </w:rPr>
              <w:t xml:space="preserve">Finger Lakes Area Counseling and Referral Agency (FLACRA)</w:t>
            </w:r>
          </w:p>
        </w:tc>
        <w:tc>
          <w:tcPr>
            <w:tcW w:w="3423" w:type="dxa"/>
            <w:tcBorders>
              <w:top w:val="single" w:sz="5" w:color="000000"/>
              <w:left w:val="single" w:sz="5" w:color="000000"/>
              <w:bottom w:val="single" w:sz="5" w:color="000000"/>
              <w:right w:val="single" w:sz="5" w:color="000000"/>
            </w:tcBorders>
            <w:textDirection w:val="lrTb"/>
            <w:vAlign w:val="top"/>
          </w:tcPr>
          <w:p>
            <w:pPr>
              <w:spacing w:before="0" w:after="177"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Mental and behavioral health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177"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People who use drugs (PWUD), marginalized populations</w:t>
            </w:r>
          </w:p>
        </w:tc>
      </w:tr>
      <w:tr>
        <w:trPr>
          <w:trHeight w:val="711"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2" w:line="262"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Tobacco Action Coalition of the Finger Lakes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4" w:after="441"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34" w:after="441"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Finger Lakes region</w:t>
            </w:r>
          </w:p>
        </w:tc>
      </w:tr>
      <w:tr>
        <w:trPr>
          <w:trHeight w:val="1248"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8" w:after="979"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Finger Lakes Community Health</w:t>
            </w:r>
          </w:p>
        </w:tc>
        <w:tc>
          <w:tcPr>
            <w:tcW w:w="3423" w:type="dxa"/>
            <w:tcBorders>
              <w:top w:val="single" w:sz="5" w:color="000000"/>
              <w:left w:val="single" w:sz="5" w:color="000000"/>
              <w:bottom w:val="single" w:sz="5" w:color="000000"/>
              <w:right w:val="single" w:sz="5" w:color="000000"/>
            </w:tcBorders>
            <w:textDirection w:val="lrTb"/>
            <w:vAlign w:val="top"/>
          </w:tcPr>
          <w:p>
            <w:pPr>
              <w:spacing w:before="0" w:after="710"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Federally Qualified Health Center (FQHC )</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172" w:line="26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Marginalized communities-migrant/agriculture workers, LGBTQ+, low-income, Medicaid recipients, LEP</w:t>
            </w:r>
          </w:p>
        </w:tc>
      </w:tr>
      <w:tr>
        <w:trPr>
          <w:trHeight w:val="715"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82"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Penn Yan Central School District (PYCSD)</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451" w:line="221"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Academics</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451"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Youth</w:t>
            </w:r>
          </w:p>
        </w:tc>
      </w:tr>
      <w:tr>
        <w:trPr>
          <w:trHeight w:val="710"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7" w:line="262"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Sheriff’s Office (YCSO)</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446" w:line="222" w:lineRule="exact"/>
              <w:ind w:right="0" w:left="1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government</w:t>
            </w:r>
          </w:p>
        </w:tc>
        <w:tc>
          <w:tcPr>
            <w:tcW w:w="3019" w:type="dxa"/>
            <w:tcBorders>
              <w:top w:val="single" w:sz="5" w:color="000000"/>
              <w:left w:val="single" w:sz="5" w:color="000000"/>
              <w:bottom w:val="single" w:sz="5" w:color="000000"/>
              <w:right w:val="single" w:sz="5" w:color="000000"/>
            </w:tcBorders>
            <w:textDirection w:val="lrTb"/>
            <w:vAlign w:val="top"/>
          </w:tcPr>
          <w:p>
            <w:pPr>
              <w:spacing w:before="33" w:after="446" w:line="222"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residents</w:t>
            </w:r>
          </w:p>
        </w:tc>
      </w:tr>
      <w:tr>
        <w:trPr>
          <w:trHeight w:val="726"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9" w:after="465"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Lakeview Health Services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0" w:after="197" w:line="264" w:lineRule="exact"/>
              <w:ind w:right="792"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Mental and behavioral health services</w:t>
            </w:r>
          </w:p>
        </w:tc>
        <w:tc>
          <w:tcPr>
            <w:tcW w:w="3019" w:type="dxa"/>
            <w:tcBorders>
              <w:top w:val="single" w:sz="5" w:color="000000"/>
              <w:left w:val="single" w:sz="5" w:color="000000"/>
              <w:bottom w:val="single" w:sz="5" w:color="000000"/>
              <w:right w:val="single" w:sz="5" w:color="000000"/>
            </w:tcBorders>
            <w:textDirection w:val="lrTb"/>
            <w:vAlign w:val="top"/>
          </w:tcPr>
          <w:p>
            <w:pPr>
              <w:spacing w:before="39" w:after="465" w:line="221" w:lineRule="exact"/>
              <w:ind w:right="0" w:left="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Finger Lakes Region</w:t>
            </w:r>
          </w:p>
        </w:tc>
      </w:tr>
    </w:tbl>
    <w:p>
      <w:pPr>
        <w:spacing w:before="0" w:after="507" w:line="20" w:lineRule="exact"/>
      </w:pP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107	</w:t>
      </w:r>
      <w:r>
        <w:rPr>
          <w:rFonts w:ascii="Calibri" w:hAnsi="Calibri" w:eastAsia="Calibri"/>
          <w:b w:val="true"/>
          <w:color w:val="145F82"/>
          <w:spacing w:val="0"/>
          <w:w w:val="100"/>
          <w:sz w:val="24"/>
          <w:vertAlign w:val="baseline"/>
          <w:lang w:val="en-US"/>
        </w:rPr>
        <w:t xml:space="preserve">Yates County</w:t>
      </w:r>
    </w:p>
    <w:p>
      <w:pPr>
        <w:sectPr>
          <w:type w:val="nextPage"/>
          <w:pgSz w:w="12240" w:h="15840" w:orient="portrait"/>
          <w:pgMar w:bottom="604" w:top="1240" w:right="0" w:left="0" w:header="720" w:footer="720"/>
          <w:titlePg w:val="false"/>
          <w:textDirection w:val="lrTb"/>
        </w:sectPr>
      </w:pPr>
    </w:p>
    <w:p>
      <w:pPr>
        <w:spacing w:before="180" w:after="0" w:line="20" w:lineRule="exact"/>
      </w:pPr>
      <w:r>
        <w:pict>
          <v:line strokeweight="1.7pt" strokecolor="#145F82" from="0pt,62.9pt" to="612.05pt,62.9pt" style="position:absolute;mso-position-horizontal-relative:page;mso-position-vertical-relative:page;">
            <v:stroke dashstyle="solid"/>
          </v:line>
        </w:pict>
      </w:r>
    </w:p>
    <w:tbl>
      <w:tblPr>
        <w:jc w:val="left"/>
        <w:tblInd w:w="1440" w:type="dxa"/>
        <w:tblLayout w:type="fixed"/>
        <w:tblCellMar>
          <w:left w:w="0" w:type="dxa"/>
          <w:right w:w="0" w:type="dxa"/>
        </w:tblCellMar>
      </w:tblPr>
      <w:tblGrid>
        <w:gridCol w:w="2918"/>
        <w:gridCol w:w="3423"/>
        <w:gridCol w:w="3019"/>
      </w:tblGrid>
      <w:tr>
        <w:trPr>
          <w:trHeight w:val="720"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87" w:line="266" w:lineRule="exact"/>
              <w:ind w:right="612" w:left="0" w:firstLine="0"/>
              <w:jc w:val="left"/>
              <w:textAlignment w:val="baseline"/>
              <w:rPr>
                <w:rFonts w:ascii="Calibri" w:hAnsi="Calibri" w:eastAsia="Calibri"/>
                <w:color w:val="000000"/>
                <w:spacing w:val="-2"/>
                <w:w w:val="100"/>
                <w:sz w:val="22"/>
                <w:vertAlign w:val="baseline"/>
                <w:lang w:val="en-US"/>
              </w:rPr>
            </w:pPr>
            <w:r>
              <w:rPr>
                <w:rFonts w:ascii="Calibri" w:hAnsi="Calibri" w:eastAsia="Calibri"/>
                <w:color w:val="000000"/>
                <w:spacing w:val="-2"/>
                <w:w w:val="100"/>
                <w:sz w:val="22"/>
                <w:vertAlign w:val="baseline"/>
                <w:lang w:val="en-US"/>
              </w:rPr>
              <w:t xml:space="preserve">Yates County Correctional Facility</w:t>
            </w:r>
          </w:p>
        </w:tc>
        <w:tc>
          <w:tcPr>
            <w:tcW w:w="3423" w:type="dxa"/>
            <w:tcBorders>
              <w:top w:val="single" w:sz="5" w:color="000000"/>
              <w:left w:val="single" w:sz="5" w:color="000000"/>
              <w:bottom w:val="single" w:sz="5" w:color="000000"/>
              <w:right w:val="single" w:sz="5" w:color="000000"/>
            </w:tcBorders>
            <w:textDirection w:val="lrTb"/>
            <w:vAlign w:val="top"/>
          </w:tcPr>
          <w:p>
            <w:pPr>
              <w:spacing w:before="43" w:after="456"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government</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188" w:line="266"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Marginalized populations-incarcerated individuals</w:t>
            </w:r>
          </w:p>
        </w:tc>
      </w:tr>
      <w:tr>
        <w:trPr>
          <w:trHeight w:val="979"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2" w:line="264"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University of Rochester Medical Center- Soldiers &amp; Sailors Memorial Hospital</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710"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Hospital</w:t>
            </w:r>
          </w:p>
        </w:tc>
        <w:tc>
          <w:tcPr>
            <w:tcW w:w="3019" w:type="dxa"/>
            <w:tcBorders>
              <w:top w:val="single" w:sz="5" w:color="000000"/>
              <w:left w:val="single" w:sz="5" w:color="000000"/>
              <w:bottom w:val="single" w:sz="5" w:color="000000"/>
              <w:right w:val="single" w:sz="5" w:color="000000"/>
            </w:tcBorders>
            <w:textDirection w:val="lrTb"/>
            <w:vAlign w:val="top"/>
          </w:tcPr>
          <w:p>
            <w:pPr>
              <w:spacing w:before="33" w:after="710" w:line="221"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All populations</w:t>
            </w:r>
          </w:p>
        </w:tc>
      </w:tr>
      <w:tr>
        <w:trPr>
          <w:trHeight w:val="711"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82" w:line="26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Dundee Food Pantry- Baptist Church</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446"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Faith based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446" w:line="221"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Low-income, aging population</w:t>
            </w:r>
          </w:p>
        </w:tc>
      </w:tr>
      <w:tr>
        <w:trPr>
          <w:trHeight w:val="446"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7" w:after="182" w:line="222"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The Living Well</w:t>
            </w:r>
          </w:p>
        </w:tc>
        <w:tc>
          <w:tcPr>
            <w:tcW w:w="3423" w:type="dxa"/>
            <w:tcBorders>
              <w:top w:val="single" w:sz="5" w:color="000000"/>
              <w:left w:val="single" w:sz="5" w:color="000000"/>
              <w:bottom w:val="single" w:sz="5" w:color="000000"/>
              <w:right w:val="single" w:sz="5" w:color="000000"/>
            </w:tcBorders>
            <w:textDirection w:val="lrTb"/>
            <w:vAlign w:val="top"/>
          </w:tcPr>
          <w:p>
            <w:pPr>
              <w:spacing w:before="37" w:after="182" w:line="222"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w:t>
            </w:r>
          </w:p>
        </w:tc>
        <w:tc>
          <w:tcPr>
            <w:tcW w:w="3019" w:type="dxa"/>
            <w:tcBorders>
              <w:top w:val="single" w:sz="5" w:color="000000"/>
              <w:left w:val="single" w:sz="5" w:color="000000"/>
              <w:bottom w:val="single" w:sz="5" w:color="000000"/>
              <w:right w:val="single" w:sz="5" w:color="000000"/>
            </w:tcBorders>
            <w:textDirection w:val="lrTb"/>
            <w:vAlign w:val="top"/>
          </w:tcPr>
          <w:p>
            <w:pPr>
              <w:spacing w:before="37" w:after="182" w:line="222"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Low-income, aging population</w:t>
            </w:r>
          </w:p>
        </w:tc>
      </w:tr>
      <w:tr>
        <w:trPr>
          <w:trHeight w:val="710"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0" w:after="177" w:line="261" w:lineRule="exact"/>
              <w:ind w:right="0" w:left="0"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Community Services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446"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Local government</w:t>
            </w:r>
          </w:p>
        </w:tc>
        <w:tc>
          <w:tcPr>
            <w:tcW w:w="3019" w:type="dxa"/>
            <w:tcBorders>
              <w:top w:val="single" w:sz="5" w:color="000000"/>
              <w:left w:val="single" w:sz="5" w:color="000000"/>
              <w:bottom w:val="single" w:sz="5" w:color="000000"/>
              <w:right w:val="single" w:sz="5" w:color="000000"/>
            </w:tcBorders>
            <w:textDirection w:val="lrTb"/>
            <w:vAlign w:val="top"/>
          </w:tcPr>
          <w:p>
            <w:pPr>
              <w:spacing w:before="33" w:after="446" w:line="221"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Yates County Residents</w:t>
            </w:r>
          </w:p>
        </w:tc>
      </w:tr>
      <w:tr>
        <w:trPr>
          <w:trHeight w:val="442"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8" w:after="177" w:line="222"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Dundee Fresh Grocery</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178"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Business</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177" w:line="222"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All populations</w:t>
            </w:r>
          </w:p>
        </w:tc>
      </w:tr>
      <w:tr>
        <w:trPr>
          <w:trHeight w:val="446"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8" w:after="182" w:line="221"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Our Town Rocks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8" w:after="182" w:line="221"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Nonprofit community organization</w:t>
            </w:r>
          </w:p>
        </w:tc>
        <w:tc>
          <w:tcPr>
            <w:tcW w:w="3019" w:type="dxa"/>
            <w:tcBorders>
              <w:top w:val="single" w:sz="5" w:color="000000"/>
              <w:left w:val="single" w:sz="5" w:color="000000"/>
              <w:bottom w:val="single" w:sz="5" w:color="000000"/>
              <w:right w:val="single" w:sz="5" w:color="000000"/>
            </w:tcBorders>
            <w:textDirection w:val="lrTb"/>
            <w:vAlign w:val="top"/>
          </w:tcPr>
          <w:p>
            <w:pPr>
              <w:spacing w:before="38" w:after="182" w:line="221" w:lineRule="exact"/>
              <w:ind w:right="0" w:left="19"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All populations</w:t>
            </w:r>
          </w:p>
        </w:tc>
      </w:tr>
      <w:tr>
        <w:trPr>
          <w:trHeight w:val="452" w:hRule="exact"/>
        </w:trPr>
        <w:tc>
          <w:tcPr>
            <w:tcW w:w="2918" w:type="dxa"/>
            <w:tcBorders>
              <w:top w:val="single" w:sz="5" w:color="000000"/>
              <w:left w:val="single" w:sz="5" w:color="000000"/>
              <w:bottom w:val="single" w:sz="5" w:color="000000"/>
              <w:right w:val="single" w:sz="5" w:color="000000"/>
            </w:tcBorders>
            <w:textDirection w:val="lrTb"/>
            <w:vAlign w:val="top"/>
          </w:tcPr>
          <w:p>
            <w:pPr>
              <w:spacing w:before="33" w:after="187" w:line="222" w:lineRule="exact"/>
              <w:ind w:right="0" w:left="14"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Retired Physicians</w:t>
            </w:r>
          </w:p>
        </w:tc>
        <w:tc>
          <w:tcPr>
            <w:tcW w:w="3423" w:type="dxa"/>
            <w:tcBorders>
              <w:top w:val="single" w:sz="5" w:color="000000"/>
              <w:left w:val="single" w:sz="5" w:color="000000"/>
              <w:bottom w:val="single" w:sz="5" w:color="000000"/>
              <w:right w:val="single" w:sz="5" w:color="000000"/>
            </w:tcBorders>
            <w:textDirection w:val="lrTb"/>
            <w:vAlign w:val="top"/>
          </w:tcPr>
          <w:p>
            <w:pPr>
              <w:spacing w:before="33" w:after="187" w:line="222" w:lineRule="exact"/>
              <w:ind w:right="0" w:left="15" w:firstLine="0"/>
              <w:jc w:val="left"/>
              <w:textAlignment w:val="baseline"/>
              <w:rPr>
                <w:rFonts w:ascii="Calibri" w:hAnsi="Calibri" w:eastAsia="Calibri"/>
                <w:color w:val="000000"/>
                <w:spacing w:val="0"/>
                <w:w w:val="100"/>
                <w:sz w:val="22"/>
                <w:vertAlign w:val="baseline"/>
                <w:lang w:val="en-US"/>
              </w:rPr>
            </w:pPr>
            <w:r>
              <w:rPr>
                <w:rFonts w:ascii="Calibri" w:hAnsi="Calibri" w:eastAsia="Calibri"/>
                <w:color w:val="000000"/>
                <w:spacing w:val="0"/>
                <w:w w:val="100"/>
                <w:sz w:val="22"/>
                <w:vertAlign w:val="baseline"/>
                <w:lang w:val="en-US"/>
              </w:rPr>
              <w:t xml:space="preserve">Community members</w:t>
            </w:r>
          </w:p>
        </w:tc>
        <w:tc>
          <w:tcPr>
            <w:tcW w:w="3019" w:type="dxa"/>
            <w:tcBorders>
              <w:top w:val="single" w:sz="5" w:color="000000"/>
              <w:left w:val="single" w:sz="5" w:color="000000"/>
              <w:bottom w:val="single" w:sz="5" w:color="000000"/>
              <w:right w:val="single" w:sz="5" w:color="000000"/>
            </w:tcBorders>
            <w:textDirection w:val="lrTb"/>
            <w:vAlign w:val="top"/>
          </w:tcPr>
          <w:p>
            <w:pPr>
              <w:spacing w:before="0" w:after="0" w:line="240" w:lineRule="auto"/>
              <w:ind w:right="0" w:left="0" w:firstLine="0"/>
              <w:jc w:val="left"/>
              <w:textAlignment w:val="baseline"/>
              <w:rPr>
                <w:rFonts w:ascii="Calibri" w:hAnsi="Calibri" w:eastAsia="Calibri"/>
                <w:color w:val="000000"/>
                <w:w w:val="100"/>
                <w:sz w:val="24"/>
                <w:vertAlign w:val="baseline"/>
                <w:lang w:val="en-US"/>
              </w:rPr>
            </w:pPr>
            <w:r>
              <w:rPr>
                <w:rFonts w:ascii="Calibri" w:hAnsi="Calibri" w:eastAsia="Calibri"/>
                <w:color w:val="000000"/>
                <w:w w:val="100"/>
                <w:sz w:val="24"/>
                <w:vertAlign w:val="baseline"/>
                <w:lang w:val="en-US"/>
              </w:rPr>
              <w:t xml:space="preserve">
</w:t>
            </w:r>
          </w:p>
        </w:tc>
      </w:tr>
    </w:tbl>
    <w:p>
      <w:pPr>
        <w:spacing w:before="0" w:after="1045" w:line="20" w:lineRule="exact"/>
      </w:pPr>
    </w:p>
    <w:p>
      <w:pPr>
        <w:spacing w:before="0" w:after="150" w:line="240" w:lineRule="auto"/>
        <w:ind w:right="19" w:left="29"/>
        <w:jc w:val="left"/>
        <w:textAlignment w:val="baseline"/>
      </w:pPr>
      <w:r>
        <w:drawing>
          <wp:inline>
            <wp:extent cx="7741920" cy="3550920"/>
            <wp:docPr name="Picture" id="193"/>
            <a:graphic>
              <a:graphicData uri="http://schemas.openxmlformats.org/drawingml/2006/picture">
                <pic:pic>
                  <pic:nvPicPr>
                    <pic:cNvPr id="193" name="Picture"/>
                    <pic:cNvPicPr preferRelativeResize="false"/>
                  </pic:nvPicPr>
                  <pic:blipFill>
                    <a:blip r:embed="prId193"/>
                    <a:stretch>
                      <a:fillRect/>
                    </a:stretch>
                  </pic:blipFill>
                  <pic:spPr>
                    <a:xfrm>
                      <a:off x="0" y="0"/>
                      <a:ext cx="7741920" cy="3550920"/>
                    </a:xfrm>
                    <a:prstGeom prst="rect"/>
                  </pic:spPr>
                </pic:pic>
              </a:graphicData>
            </a:graphic>
          </wp:inline>
        </w:drawing>
      </w:r>
    </w:p>
    <w:p>
      <w:pPr>
        <w:spacing w:before="0" w:after="571" w:line="302" w:lineRule="exact"/>
        <w:ind w:right="0" w:left="216" w:firstLine="0"/>
        <w:jc w:val="left"/>
        <w:textAlignment w:val="baseline"/>
        <w:rPr>
          <w:rFonts w:ascii="Calibri" w:hAnsi="Calibri" w:eastAsia="Calibri"/>
          <w:i w:val="true"/>
          <w:color w:val="000000"/>
          <w:spacing w:val="0"/>
          <w:w w:val="100"/>
          <w:sz w:val="19"/>
          <w:vertAlign w:val="baseline"/>
          <w:lang w:val="en-US"/>
        </w:rPr>
      </w:pPr>
      <w:r>
        <w:pict>
          <v:shapetype id="_x0000_t621" coordsize="21600,21600" o:spt="202" path="m,l,21600r21600,l21600,xe">
            <v:stroke joinstyle="miter"/>
            <v:path gradientshapeok="t" o:connecttype="rect"/>
          </v:shapetype>
          <v:shape id="_x0000_s620" type="#_x0000_t621" filled="f" stroked="f" style="position:absolute;width:586.3pt;height:53pt;z-index:1;margin-left:13.7pt;margin-top:9pt;mso-wrap-distance-left:0pt;mso-wrap-distance-right:0pt;mso-position-horizontal-relative:page;mso-position-vertical-relative:page">
            <w10:wrap anchorx="page" anchory="page"/>
            <v:fill opacity="1" o:opacity2="1" recolor="f" rotate="f" type="solid"/>
            <v:textbox inset="0pt, 0pt, 0pt, 0pt">
              <w:txbxContent>
                <w:tbl>
                  <w:tblPr>
                    <w:jc w:val="left"/>
                    <w:tblLayout w:type="fixed"/>
                    <w:tblCellMar>
                      <w:left w:w="0" w:type="dxa"/>
                      <w:right w:w="0" w:type="dxa"/>
                    </w:tblCellMar>
                  </w:tblPr>
                  <w:tblGrid>
                    <w:gridCol w:w="1108"/>
                    <w:gridCol w:w="9744"/>
                    <w:gridCol w:w="874"/>
                  </w:tblGrid>
                  <w:tr>
                    <w:trPr>
                      <w:trHeight w:val="988" w:hRule="exact"/>
                    </w:trPr>
                    <w:tc>
                      <w:tcPr>
                        <w:tcW w:w="1108"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703580" cy="609600"/>
                              <wp:docPr name="Picture" id="194"/>
                              <a:graphic>
                                <a:graphicData uri="http://schemas.openxmlformats.org/drawingml/2006/picture">
                                  <pic:pic>
                                    <pic:nvPicPr>
                                      <pic:cNvPr id="194" name="Picture"/>
                                      <pic:cNvPicPr preferRelativeResize="false"/>
                                    </pic:nvPicPr>
                                    <pic:blipFill>
                                      <a:blip r:embed="prId194"/>
                                      <a:stretch>
                                        <a:fillRect/>
                                      </a:stretch>
                                    </pic:blipFill>
                                    <pic:spPr>
                                      <a:xfrm>
                                        <a:off x="0" y="0"/>
                                        <a:ext cx="703580" cy="609600"/>
                                      </a:xfrm>
                                      <a:prstGeom prst="rect"/>
                                    </pic:spPr>
                                  </pic:pic>
                                </a:graphicData>
                              </a:graphic>
                            </wp:inline>
                          </w:drawing>
                        </w:r>
                      </w:p>
                    </w:tc>
                    <w:tc>
                      <w:tcPr>
                        <w:tcW w:w="9744" w:type="dxa"/>
                        <w:tcBorders>
                          <w:top w:val="none"/>
                          <w:left w:val="none"/>
                          <w:bottom w:val="none"/>
                          <w:right w:val="none"/>
                        </w:tcBorders>
                        <w:textDirection w:val="lrTb"/>
                        <w:vAlign w:val="bottom"/>
                      </w:tcPr>
                      <w:p>
                        <w:pPr>
                          <w:spacing w:before="575" w:after="124" w:line="287" w:lineRule="exact"/>
                          <w:ind w:right="0" w:left="0" w:firstLine="0"/>
                          <w:jc w:val="center"/>
                          <w:textAlignment w:val="baseline"/>
                          <w:rPr>
                            <w:rFonts w:ascii="Calibri" w:hAnsi="Calibri" w:eastAsia="Calibri"/>
                            <w:b w:val="true"/>
                            <w:color w:val="145F82"/>
                            <w:spacing w:val="0"/>
                            <w:w w:val="100"/>
                            <w:sz w:val="28"/>
                            <w:vertAlign w:val="baseline"/>
                            <w:lang w:val="en-US"/>
                          </w:rPr>
                        </w:pPr>
                        <w:r>
                          <w:rPr>
                            <w:rFonts w:ascii="Calibri" w:hAnsi="Calibri" w:eastAsia="Calibri"/>
                            <w:b w:val="true"/>
                            <w:color w:val="145F82"/>
                            <w:spacing w:val="0"/>
                            <w:w w:val="100"/>
                            <w:sz w:val="28"/>
                            <w:vertAlign w:val="baseline"/>
                            <w:lang w:val="en-US"/>
                          </w:rPr>
                          <w:t xml:space="preserve">Community Health Assessment – Yates County</w:t>
                        </w:r>
                      </w:p>
                    </w:tc>
                    <w:tc>
                      <w:tcPr>
                        <w:tcW w:w="874" w:type="dxa"/>
                        <w:tcBorders>
                          <w:top w:val="none"/>
                          <w:left w:val="none"/>
                          <w:bottom w:val="none"/>
                          <w:right w:val="none"/>
                        </w:tcBorders>
                        <w:textDirection w:val="lrTb"/>
                        <w:vAlign w:val="top"/>
                      </w:tcPr>
                      <w:p>
                        <w:pPr>
                          <w:spacing w:before="12" w:after="16" w:line="240" w:lineRule="auto"/>
                          <w:ind w:right="0" w:left="0"/>
                          <w:jc w:val="center"/>
                          <w:textAlignment w:val="baseline"/>
                        </w:pPr>
                        <w:r>
                          <w:drawing>
                            <wp:inline>
                              <wp:extent cx="554990" cy="561340"/>
                              <wp:docPr name="Picture" id="195"/>
                              <a:graphic>
                                <a:graphicData uri="http://schemas.openxmlformats.org/drawingml/2006/picture">
                                  <pic:pic>
                                    <pic:nvPicPr>
                                      <pic:cNvPr id="195" name="Picture"/>
                                      <pic:cNvPicPr preferRelativeResize="false"/>
                                    </pic:nvPicPr>
                                    <pic:blipFill>
                                      <a:blip r:embed="prId195"/>
                                      <a:stretch>
                                        <a:fillRect/>
                                      </a:stretch>
                                    </pic:blipFill>
                                    <pic:spPr>
                                      <a:xfrm>
                                        <a:off x="0" y="0"/>
                                        <a:ext cx="554990" cy="561340"/>
                                      </a:xfrm>
                                      <a:prstGeom prst="rect"/>
                                    </pic:spPr>
                                  </pic:pic>
                                </a:graphicData>
                              </a:graphic>
                            </wp:inline>
                          </w:drawing>
                        </w:r>
                      </w:p>
                    </w:tc>
                  </w:tr>
                </w:tbl>
                <w:p>
                  <w:pPr>
                    <w:spacing w:before="0" w:after="52" w:line="20" w:lineRule="exact"/>
                  </w:pPr>
                </w:p>
              </w:txbxContent>
            </v:textbox>
          </v:shape>
        </w:pict>
      </w:r>
      <w:r>
        <w:rPr>
          <w:rFonts w:ascii="Calibri" w:hAnsi="Calibri" w:eastAsia="Calibri"/>
          <w:i w:val="true"/>
          <w:color w:val="000000"/>
          <w:spacing w:val="0"/>
          <w:w w:val="100"/>
          <w:sz w:val="19"/>
          <w:vertAlign w:val="baseline"/>
          <w:lang w:val="en-US"/>
        </w:rPr>
        <w:t xml:space="preserve">Soldiers and Sailors Memorial Hospital Courtesy of UR Medicine Finger Lakes Health</w:t>
        <w:br/>
      </w:r>
      <w:r>
        <w:rPr>
          <w:rFonts w:ascii="Calibri" w:hAnsi="Calibri" w:eastAsia="Calibri"/>
          <w:color w:val="000000"/>
          <w:spacing w:val="0"/>
          <w:w w:val="100"/>
          <w:sz w:val="18"/>
          <w:vertAlign w:val="baseline"/>
          <w:lang w:val="en-US"/>
        </w:rPr>
        <w:t xml:space="preserve">Courtesy of UR Medicine- Soldiers and Sailors Memorial Hospital</w:t>
      </w:r>
    </w:p>
    <w:p>
      <w:pPr>
        <w:tabs>
          <w:tab w:val="left" w:leader="none" w:pos="9504"/>
        </w:tabs>
        <w:spacing w:before="250" w:after="0" w:line="245" w:lineRule="exact"/>
        <w:ind w:right="0" w:left="1440" w:firstLine="0"/>
        <w:jc w:val="left"/>
        <w:textAlignment w:val="baseline"/>
        <w:rPr>
          <w:rFonts w:ascii="Calibri" w:hAnsi="Calibri" w:eastAsia="Calibri"/>
          <w:b w:val="true"/>
          <w:color w:val="145F82"/>
          <w:spacing w:val="0"/>
          <w:w w:val="100"/>
          <w:sz w:val="24"/>
          <w:vertAlign w:val="baseline"/>
          <w:lang w:val="en-US"/>
        </w:rPr>
      </w:pPr>
      <w:r>
        <w:pict>
          <v:line strokeweight="1.9pt" strokecolor="#145F82" from="0pt,717.85pt" to="612.05pt,717.85pt" style="position:absolute;mso-position-horizontal-relative:page;mso-position-vertical-relative:page;">
            <v:stroke dashstyle="solid"/>
          </v:line>
        </w:pict>
      </w:r>
      <w:r>
        <w:rPr>
          <w:rFonts w:ascii="Calibri" w:hAnsi="Calibri" w:eastAsia="Calibri"/>
          <w:b w:val="true"/>
          <w:color w:val="145F82"/>
          <w:spacing w:val="0"/>
          <w:w w:val="100"/>
          <w:sz w:val="24"/>
          <w:vertAlign w:val="baseline"/>
          <w:lang w:val="en-US"/>
        </w:rPr>
        <w:t xml:space="preserve">Page 108	</w:t>
      </w:r>
      <w:r>
        <w:rPr>
          <w:rFonts w:ascii="Calibri" w:hAnsi="Calibri" w:eastAsia="Calibri"/>
          <w:b w:val="true"/>
          <w:color w:val="145F82"/>
          <w:spacing w:val="0"/>
          <w:w w:val="100"/>
          <w:sz w:val="24"/>
          <w:vertAlign w:val="baseline"/>
          <w:lang w:val="en-US"/>
        </w:rPr>
        <w:t xml:space="preserve">Yates County</w:t>
      </w:r>
    </w:p>
    <w:sectPr>
      <w:type w:val="nextPage"/>
      <w:pgSz w:w="12240" w:h="15840" w:orient="portrait"/>
      <w:pgMar w:bottom="604" w:top="1240" w:right="0" w:left="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Calibri">
    <w:charset w:val="00"/>
    <w:pitch w:val="variable"/>
    <w:family w:val="swiss"/>
    <w:panose1 w:val="02020603050405020304"/>
  </w:font>
  <w:font w:name="Segoe UI">
    <w:charset w:val="00"/>
    <w:pitch w:val="variable"/>
    <w:family w:val="swiss"/>
    <w:panose1 w:val="02020603050405020304"/>
  </w:font>
  <w:font w:name="Symbol">
    <w:charset w:val="00"/>
    <w:pitch w:val="variable"/>
    <w:family w:val="swiss"/>
    <w:panose1 w:val="02020603050405020304"/>
  </w:font>
  <w:font w:name="Times New Roman">
    <w:charset w:val="00"/>
    <w:pitch w:val="variable"/>
    <w:family w:val="auto"/>
    <w:panose1 w:val="02020603050405020304"/>
  </w:font>
  <w:font w:name="Verdana">
    <w:charset w:val="00"/>
    <w:pitch w:val="variable"/>
    <w:family w:val="swiss"/>
    <w:panose1 w:val="02020603050405020304"/>
  </w:font>
</w:fonts>
</file>

<file path=word/footnotes.xml><?xml version="1.0" encoding="utf-8"?>
<w:footnot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otnote w:type="separator" w:id="-1">
    <w:p/>
  </w:footnote>
  <w:footnote w:type="continuationSeparator" w:id="0">
    <w:p>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1"/>
      <w:numFmt w:val="decimal"/>
      <w:lvlText w:val="%1."/>
      <w:pPr>
        <w:tabs>
          <w:tab w:val="left" w:pos="432"/>
        </w:tabs>
      </w:pPr>
      <w:rPr>
        <w:rFonts w:ascii="Calibri" w:hAnsi="Calibri" w:eastAsia="Calibri"/>
        <w:color w:val="000000"/>
        <w:spacing w:val="-4"/>
        <w:w w:val="100"/>
        <w:sz w:val="22"/>
        <w:vertAlign w:val="baseline"/>
        <w:lang w:val="en-US"/>
      </w:rPr>
    </w:lvl>
  </w:abstractNum>
  <w:abstractNum w:abstractNumId="2">
    <w:lvl w:ilvl="0">
      <w:start w:val="0"/>
      <w:numFmt w:val="bullet"/>
      <w:lvlText w:val="·"/>
      <w:pPr>
        <w:tabs>
          <w:tab w:val="left" w:pos="360"/>
        </w:tabs>
      </w:pPr>
      <w:rPr>
        <w:rFonts w:ascii="Symbol" w:hAnsi="Symbol" w:eastAsia="Symbol"/>
        <w:color w:val="000000"/>
        <w:spacing w:val="0"/>
        <w:w w:val="100"/>
        <w:sz w:val="22"/>
        <w:vertAlign w:val="baseline"/>
        <w:lang w:val="en-US"/>
      </w:rPr>
    </w:lvl>
  </w:abstractNum>
  <w:abstractNum w:abstractNumId="3">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4">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5">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6">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7">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8">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9">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10">
    <w:lvl w:ilvl="0">
      <w:start w:val="1"/>
      <w:numFmt w:val="decimal"/>
      <w:lvlText w:val="%1."/>
      <w:pPr>
        <w:tabs>
          <w:tab w:val="left" w:pos="144"/>
        </w:tabs>
      </w:pPr>
      <w:rPr>
        <w:rFonts w:ascii="Calibri" w:hAnsi="Calibri" w:eastAsia="Calibri"/>
        <w:color w:val="000000"/>
        <w:spacing w:val="0"/>
        <w:w w:val="100"/>
        <w:sz w:val="22"/>
        <w:vertAlign w:val="baseline"/>
        <w:lang w:val="en-US"/>
      </w:rPr>
    </w:lvl>
  </w:abstractNum>
  <w:abstractNum w:abstractNumId="11">
    <w:lvl w:ilvl="0">
      <w:start w:val="1"/>
      <w:numFmt w:val="decimal"/>
      <w:lvlText w:val="%1."/>
      <w:pPr>
        <w:tabs>
          <w:tab w:val="left" w:pos="144"/>
        </w:tabs>
      </w:pPr>
      <w:rPr>
        <w:rFonts w:ascii="Calibri" w:hAnsi="Calibri" w:eastAsia="Calibri"/>
        <w:b w:val="true"/>
        <w:color w:val="000000"/>
        <w:spacing w:val="0"/>
        <w:w w:val="100"/>
        <w:sz w:val="23"/>
        <w:shd w:val="solid" w:color="C1E3F5" w:fill="C1E3F5"/>
        <w:vertAlign w:val="baseline"/>
        <w:lang w:val="en-US"/>
      </w:rPr>
    </w:lvl>
  </w:abstractNum>
  <w:abstractNum w:abstractNumId="12">
    <w:lvl w:ilvl="0">
      <w:start w:val="1"/>
      <w:numFmt w:val="decimal"/>
      <w:lvlText w:val="%1."/>
      <w:pPr>
        <w:tabs>
          <w:tab w:val="left" w:pos="360"/>
        </w:tabs>
      </w:pPr>
      <w:rPr>
        <w:rFonts w:ascii="Calibri" w:hAnsi="Calibri" w:eastAsia="Calibri"/>
        <w:color w:val="000000"/>
        <w:spacing w:val="0"/>
        <w:w w:val="100"/>
        <w:sz w:val="22"/>
        <w:vertAlign w:val="baseline"/>
        <w:lang w:val="en-US"/>
      </w:rPr>
    </w:lvl>
  </w:abstractNum>
  <w:abstractNum w:abstractNumId="13">
    <w:lvl w:ilvl="0">
      <w:start w:val="1"/>
      <w:numFmt w:val="decimal"/>
      <w:lvlText w:val="%1."/>
      <w:pPr>
        <w:tabs>
          <w:tab w:val="left" w:pos="432"/>
        </w:tabs>
      </w:pPr>
      <w:rPr>
        <w:rFonts w:ascii="Calibri" w:hAnsi="Calibri" w:eastAsia="Calibri"/>
        <w:color w:val="000000"/>
        <w:spacing w:val="-1"/>
        <w:w w:val="100"/>
        <w:sz w:val="22"/>
        <w:vertAlign w:val="baseline"/>
        <w:lang w:val="en-US"/>
      </w:rPr>
    </w:lvl>
  </w:abstractNum>
  <w:abstractNum w:abstractNumId="14">
    <w:lvl w:ilvl="0">
      <w:start w:val="1"/>
      <w:numFmt w:val="decimal"/>
      <w:lvlText w:val="%1."/>
      <w:pPr>
        <w:tabs>
          <w:tab w:val="left" w:pos="288"/>
        </w:tabs>
      </w:pPr>
      <w:rPr>
        <w:rFonts w:ascii="Calibri" w:hAnsi="Calibri" w:eastAsia="Calibri"/>
        <w:b w:val="true"/>
        <w:color w:val="000000"/>
        <w:spacing w:val="0"/>
        <w:w w:val="100"/>
        <w:sz w:val="22"/>
        <w:vertAlign w:val="baseline"/>
        <w:lang w:val="en-U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5"/>
  </w:compat>
  <w:footnotePr>
    <w:footnote w:id="-1"/>
    <w:footnote w:id="0"/>
  </w:footnotePr>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DefaultParagraphFont" w:type="paragraph" w:default="1">
    <w:name w:val="Normal"/>
  </w:style>
  <w:style w:styleId="DefaultParagraphFont" w:type="character" w:default="1">
    <w:name w:val="Default Paragraph Font"/>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http://www.naccho.org"/><Relationship Id="dhId2" Type="http://schemas.openxmlformats.org/officeDocument/2006/relationships/hyperlink" TargetMode="External" Target="http://census.gov/"/><Relationship Id="dhId3" Type="http://schemas.openxmlformats.org/officeDocument/2006/relationships/hyperlink" TargetMode="External" Target="http://www.naccho.org"/><Relationship Id="dhId4" Type="http://schemas.openxmlformats.org/officeDocument/2006/relationships/hyperlink" TargetMode="External" Target="http://www.naccho.org"/><Relationship Id="dhId5" Type="http://schemas.openxmlformats.org/officeDocument/2006/relationships/hyperlink" TargetMode="External" Target="https://pivitalphp.org/reports/access-to-care/"/><Relationship Id="dhId6" Type="http://schemas.openxmlformats.org/officeDocument/2006/relationships/hyperlink" TargetMode="External" Target="https://pivitalphp.org/reports/access-to-care/"/><Relationship Id="dhId7" Type="http://schemas.openxmlformats.org/officeDocument/2006/relationships/hyperlink" TargetMode="External" Target="http://FingerLakesTravelNY.com:"/><Relationship Id="dhId8" Type="http://schemas.openxmlformats.org/officeDocument/2006/relationships/hyperlink" TargetMode="External" Target="https://pri-gift-shop.myshopify.com/collections/publications/products/ithaca-is-gorges"/><Relationship Id="dhId9" Type="http://schemas.openxmlformats.org/officeDocument/2006/relationships/hyperlink" TargetMode="External" Target="ftp://www.ruralhealthinfo.org/topics/migrant-health"/><Relationship Id="dhId10" Type="http://schemas.openxmlformats.org/officeDocument/2006/relationships/hyperlink" TargetMode="External" Target="https://groups.etown.edu/amishstudies/statistics/amish-population-profile-2025."/><Relationship Id="dhId11" Type="http://schemas.openxmlformats.org/officeDocument/2006/relationships/hyperlink" TargetMode="External" Target="https://penntoday.upenn.edu/news/free-vaccinations-childprotect-program-helps-amish-communities-stay-healthy?utm_source=chatgpt.com"/><Relationship Id="dhId12" Type="http://schemas.openxmlformats.org/officeDocument/2006/relationships/hyperlink" TargetMode="External" Target="https://www2.census.gov/programs-surveys/popest/technical-documentation/methodology/2020-2022/methods-statement-v2022.pdf"/><Relationship Id="dhId13" Type="http://schemas.openxmlformats.org/officeDocument/2006/relationships/hyperlink" TargetMode="External" Target="ftp://minorityhealth.hhs.gov/american-indian-and-alaska-native-health"/><Relationship Id="dhId14" Type="http://schemas.openxmlformats.org/officeDocument/2006/relationships/hyperlink" TargetMode="External" Target="ftp://www.va.gov/health-care/health-needs-conditions/"/><Relationship Id="dhId15" Type="http://schemas.openxmlformats.org/officeDocument/2006/relationships/hyperlink" TargetMode="External" Target="https://www.health.ny.gov/health_care/medicaid/enrollment/docs/by_resident_co/current_month.htm"/><Relationship Id="dhId16" Type="http://schemas.openxmlformats.org/officeDocument/2006/relationships/hyperlink" TargetMode="External" Target="https://info.nystateofhealth.ny.gov/stay-connected"/><Relationship Id="dhId17" Type="http://schemas.openxmlformats.org/officeDocument/2006/relationships/hyperlink" TargetMode="External" Target="ftp://www.countyhealthrankings.org/about-us"/><Relationship Id="dhId18" Type="http://schemas.openxmlformats.org/officeDocument/2006/relationships/hyperlink" TargetMode="External" Target="https://www.countyhealthrankings.org/health-data"/><Relationship Id="dhId19" Type="http://schemas.openxmlformats.org/officeDocument/2006/relationships/hyperlink" TargetMode="External" Target="https://www.apa.org/topics/socioeconomic-status/poverty-hunger-homelessness-children"/><Relationship Id="dhId20" Type="http://schemas.openxmlformats.org/officeDocument/2006/relationships/hyperlink" TargetMode="External" Target="https://www.nejm.org/doi/full/10.1056/NEJMp1802313"/><Relationship Id="dhId21" Type="http://schemas.openxmlformats.org/officeDocument/2006/relationships/hyperlink" TargetMode="External" Target="ftp://odphp.health.gov/healthypeople/about/workgroups/maternal-infant-and-child-health-workgroup"/><Relationship Id="dhId22" Type="http://schemas.openxmlformats.org/officeDocument/2006/relationships/hyperlink" TargetMode="External" Target="https://www.osc.ny.gov/files/reports/pdf/missing-school-ny-chronic-absenteeism.pdf"/><Relationship Id="dhId23" Type="http://schemas.openxmlformats.org/officeDocument/2006/relationships/hyperlink" TargetMode="External" Target="mailto:Alyssa.Quissimisse@yatescountyny.gov"/><Relationship Id="dhId24" Type="http://schemas.openxmlformats.org/officeDocument/2006/relationships/hyperlink" TargetMode="External" Target="mailto:Kimberly.Ilacqua@flhealth.org"/><Relationship Id="dhId25" Type="http://schemas.openxmlformats.org/officeDocument/2006/relationships/hyperlink" TargetMode="External" Target="mailto:MFoster@pivitalphp.org"/><Relationship Id="dhId26" Type="http://schemas.openxmlformats.org/officeDocument/2006/relationships/hyperlink" TargetMode="External" Target="http://Roadmaps.www.countyhealthrankings.org/health"/><Relationship Id="dhId27" Type="http://schemas.openxmlformats.org/officeDocument/2006/relationships/hyperlink" TargetMode="External" Target="https://commongroundhealth.org/insights/county"/><Relationship Id="dhId28" Type="http://schemas.openxmlformats.org/officeDocument/2006/relationships/hyperlink" TargetMode="External" Target="https://map.feedingamerica.org/county/2023/child/new-york/county/yates"/><Relationship Id="dhId29" Type="http://schemas.openxmlformats.org/officeDocument/2006/relationships/hyperlink" TargetMode="External" Target="https://www.yatescountyny.gov/DocumentCenter/View/8733/Yates-County-Registered-STR-Properties?bidId="/><Relationship Id="dhId30" Type="http://schemas.openxmlformats.org/officeDocument/2006/relationships/hyperlink" TargetMode="External" Target="https://www.cdc.gov/suicide/facts/index.html"/><Relationship Id="dhId31" Type="http://schemas.openxmlformats.org/officeDocument/2006/relationships/hyperlink" TargetMode="External" Target="https://www.nimh.nih.gov/health/publications/chronic-illness-"/><Relationship Id="dhId32" Type="http://schemas.openxmlformats.org/officeDocument/2006/relationships/hyperlink" TargetMode="External" Target="http://chatgpt.com"/><Relationship Id="dhId33" Type="http://schemas.openxmlformats.org/officeDocument/2006/relationships/hyperlink" TargetMode="External" Target="ftp://www.cdc.gov/aces/about/index.html"/><Relationship Id="dhId34" Type="http://schemas.openxmlformats.org/officeDocument/2006/relationships/hyperlink" TargetMode="External" Target="https://www.cdc.gov/nutrition/php/about/index.html"/><Relationship Id="dhId35" Type="http://schemas.openxmlformats.org/officeDocument/2006/relationships/hyperlink" TargetMode="External" Target="https://www.who.int/news-room/fact-sheets/detail/physical-activity"/><Relationship Id="dhId36" Type="http://schemas.openxmlformats.org/officeDocument/2006/relationships/hyperlink" TargetMode="External" Target="https://www.cdc.gov/injury/index.html"/><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pn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png"/><Relationship Id="prId8" Type="http://schemas.openxmlformats.org/officeDocument/2006/relationships/image" Target="media/image8.pn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prId16" Type="http://schemas.openxmlformats.org/officeDocument/2006/relationships/image" Target="media/image16.jpg"/><Relationship Id="prId17" Type="http://schemas.openxmlformats.org/officeDocument/2006/relationships/image" Target="media/image17.jpg"/><Relationship Id="prId18" Type="http://schemas.openxmlformats.org/officeDocument/2006/relationships/image" Target="media/image18.png"/><Relationship Id="prId19" Type="http://schemas.openxmlformats.org/officeDocument/2006/relationships/image" Target="media/image19.png"/><Relationship Id="prId20" Type="http://schemas.openxmlformats.org/officeDocument/2006/relationships/image" Target="media/image20.png"/><Relationship Id="prId21" Type="http://schemas.openxmlformats.org/officeDocument/2006/relationships/image" Target="media/image21.png"/><Relationship Id="prId22" Type="http://schemas.openxmlformats.org/officeDocument/2006/relationships/image" Target="media/image22.png"/><Relationship Id="prId23" Type="http://schemas.openxmlformats.org/officeDocument/2006/relationships/image" Target="media/image23.png"/><Relationship Id="prId24" Type="http://schemas.openxmlformats.org/officeDocument/2006/relationships/image" Target="media/image24.png"/><Relationship Id="prId25" Type="http://schemas.openxmlformats.org/officeDocument/2006/relationships/image" Target="media/image25.png"/><Relationship Id="prId26" Type="http://schemas.openxmlformats.org/officeDocument/2006/relationships/image" Target="media/image26.png"/><Relationship Id="prId27" Type="http://schemas.openxmlformats.org/officeDocument/2006/relationships/image" Target="media/image27.png"/><Relationship Id="prId28" Type="http://schemas.openxmlformats.org/officeDocument/2006/relationships/image" Target="media/image28.png"/><Relationship Id="prId29" Type="http://schemas.openxmlformats.org/officeDocument/2006/relationships/image" Target="media/image29.png"/><Relationship Id="prId30" Type="http://schemas.openxmlformats.org/officeDocument/2006/relationships/image" Target="media/image30.png"/><Relationship Id="prId31" Type="http://schemas.openxmlformats.org/officeDocument/2006/relationships/image" Target="media/image31.jpg"/><Relationship Id="prId32" Type="http://schemas.openxmlformats.org/officeDocument/2006/relationships/image" Target="media/image32.jpg"/><Relationship Id="prId33" Type="http://schemas.openxmlformats.org/officeDocument/2006/relationships/image" Target="media/image33.jpg"/><Relationship Id="prId34" Type="http://schemas.openxmlformats.org/officeDocument/2006/relationships/image" Target="media/image34.jpg"/><Relationship Id="prId35" Type="http://schemas.openxmlformats.org/officeDocument/2006/relationships/image" Target="media/image35.jpg"/><Relationship Id="prId36" Type="http://schemas.openxmlformats.org/officeDocument/2006/relationships/image" Target="media/image36.jpg"/><Relationship Id="prId37" Type="http://schemas.openxmlformats.org/officeDocument/2006/relationships/image" Target="media/image37.jpg"/><Relationship Id="prId38" Type="http://schemas.openxmlformats.org/officeDocument/2006/relationships/image" Target="media/image38.jpg"/><Relationship Id="prId39" Type="http://schemas.openxmlformats.org/officeDocument/2006/relationships/image" Target="media/image39.jpg"/><Relationship Id="prId40" Type="http://schemas.openxmlformats.org/officeDocument/2006/relationships/image" Target="media/image40.jpg"/><Relationship Id="prId41" Type="http://schemas.openxmlformats.org/officeDocument/2006/relationships/image" Target="media/image41.jpg"/><Relationship Id="prId42" Type="http://schemas.openxmlformats.org/officeDocument/2006/relationships/image" Target="media/image42.jpg"/><Relationship Id="prId43" Type="http://schemas.openxmlformats.org/officeDocument/2006/relationships/image" Target="media/image43.jpg"/><Relationship Id="prId44" Type="http://schemas.openxmlformats.org/officeDocument/2006/relationships/image" Target="media/image44.jpg"/><Relationship Id="prId45" Type="http://schemas.openxmlformats.org/officeDocument/2006/relationships/image" Target="media/image45.jpg"/><Relationship Id="prId46" Type="http://schemas.openxmlformats.org/officeDocument/2006/relationships/image" Target="media/image46.jpg"/><Relationship Id="prId47" Type="http://schemas.openxmlformats.org/officeDocument/2006/relationships/image" Target="media/image47.jpg"/><Relationship Id="prId48" Type="http://schemas.openxmlformats.org/officeDocument/2006/relationships/image" Target="media/image48.jpg"/><Relationship Id="prId49" Type="http://schemas.openxmlformats.org/officeDocument/2006/relationships/image" Target="media/image49.jpg"/><Relationship Id="prId50" Type="http://schemas.openxmlformats.org/officeDocument/2006/relationships/image" Target="media/image50.png"/><Relationship Id="prId51" Type="http://schemas.openxmlformats.org/officeDocument/2006/relationships/image" Target="media/image51.png"/><Relationship Id="prId52" Type="http://schemas.openxmlformats.org/officeDocument/2006/relationships/image" Target="media/image52.png"/><Relationship Id="prId53" Type="http://schemas.openxmlformats.org/officeDocument/2006/relationships/image" Target="media/image53.png"/><Relationship Id="prId54" Type="http://schemas.openxmlformats.org/officeDocument/2006/relationships/image" Target="media/image54.png"/><Relationship Id="prId55" Type="http://schemas.openxmlformats.org/officeDocument/2006/relationships/image" Target="media/image55.jpg"/><Relationship Id="prId56" Type="http://schemas.openxmlformats.org/officeDocument/2006/relationships/image" Target="media/image56.jpg"/><Relationship Id="prId57" Type="http://schemas.openxmlformats.org/officeDocument/2006/relationships/image" Target="media/image57.jpg"/><Relationship Id="prId58" Type="http://schemas.openxmlformats.org/officeDocument/2006/relationships/image" Target="media/image58.jpg"/><Relationship Id="prId59" Type="http://schemas.openxmlformats.org/officeDocument/2006/relationships/image" Target="media/image59.png"/><Relationship Id="prId60" Type="http://schemas.openxmlformats.org/officeDocument/2006/relationships/image" Target="media/image60.png"/><Relationship Id="prId61" Type="http://schemas.openxmlformats.org/officeDocument/2006/relationships/image" Target="media/image61.png"/><Relationship Id="prId62" Type="http://schemas.openxmlformats.org/officeDocument/2006/relationships/image" Target="media/image62.png"/><Relationship Id="prId63" Type="http://schemas.openxmlformats.org/officeDocument/2006/relationships/image" Target="media/image63.png"/><Relationship Id="prId64" Type="http://schemas.openxmlformats.org/officeDocument/2006/relationships/image" Target="media/image64.png"/><Relationship Id="prId65" Type="http://schemas.openxmlformats.org/officeDocument/2006/relationships/image" Target="media/image65.png"/><Relationship Id="prId66" Type="http://schemas.openxmlformats.org/officeDocument/2006/relationships/image" Target="media/image66.jpg"/><Relationship Id="prId67" Type="http://schemas.openxmlformats.org/officeDocument/2006/relationships/image" Target="media/image67.jpg"/><Relationship Id="prId68" Type="http://schemas.openxmlformats.org/officeDocument/2006/relationships/image" Target="media/image68.jpg"/><Relationship Id="prId69" Type="http://schemas.openxmlformats.org/officeDocument/2006/relationships/image" Target="media/image69.png"/><Relationship Id="prId70" Type="http://schemas.openxmlformats.org/officeDocument/2006/relationships/image" Target="media/image70.png"/><Relationship Id="prId71" Type="http://schemas.openxmlformats.org/officeDocument/2006/relationships/image" Target="media/image71.png"/><Relationship Id="prId72" Type="http://schemas.openxmlformats.org/officeDocument/2006/relationships/image" Target="media/image72.jpg"/><Relationship Id="prId73" Type="http://schemas.openxmlformats.org/officeDocument/2006/relationships/image" Target="media/image73.jpg"/><Relationship Id="prId74" Type="http://schemas.openxmlformats.org/officeDocument/2006/relationships/image" Target="media/image74.jpg"/><Relationship Id="prId75" Type="http://schemas.openxmlformats.org/officeDocument/2006/relationships/image" Target="media/image75.jpg"/><Relationship Id="prId76" Type="http://schemas.openxmlformats.org/officeDocument/2006/relationships/image" Target="media/image76.png"/><Relationship Id="prId77" Type="http://schemas.openxmlformats.org/officeDocument/2006/relationships/image" Target="media/image77.png"/><Relationship Id="prId78" Type="http://schemas.openxmlformats.org/officeDocument/2006/relationships/image" Target="media/image78.png"/><Relationship Id="prId79" Type="http://schemas.openxmlformats.org/officeDocument/2006/relationships/image" Target="media/image79.png"/><Relationship Id="prId80" Type="http://schemas.openxmlformats.org/officeDocument/2006/relationships/image" Target="media/image80.png"/><Relationship Id="prId81" Type="http://schemas.openxmlformats.org/officeDocument/2006/relationships/image" Target="media/image81.png"/><Relationship Id="prId82" Type="http://schemas.openxmlformats.org/officeDocument/2006/relationships/image" Target="media/image82.png"/><Relationship Id="prId83" Type="http://schemas.openxmlformats.org/officeDocument/2006/relationships/image" Target="media/image83.png"/><Relationship Id="prId84" Type="http://schemas.openxmlformats.org/officeDocument/2006/relationships/image" Target="media/image84.png"/><Relationship Id="prId85" Type="http://schemas.openxmlformats.org/officeDocument/2006/relationships/image" Target="media/image85.png"/><Relationship Id="prId86" Type="http://schemas.openxmlformats.org/officeDocument/2006/relationships/image" Target="media/image86.jpg"/><Relationship Id="prId87" Type="http://schemas.openxmlformats.org/officeDocument/2006/relationships/image" Target="media/image87.jpg"/><Relationship Id="prId88" Type="http://schemas.openxmlformats.org/officeDocument/2006/relationships/image" Target="media/image88.jpg"/><Relationship Id="prId89" Type="http://schemas.openxmlformats.org/officeDocument/2006/relationships/image" Target="media/image89.jpg"/><Relationship Id="prId90" Type="http://schemas.openxmlformats.org/officeDocument/2006/relationships/image" Target="media/image90.jpg"/><Relationship Id="prId91" Type="http://schemas.openxmlformats.org/officeDocument/2006/relationships/image" Target="media/image91.jpg"/><Relationship Id="prId92" Type="http://schemas.openxmlformats.org/officeDocument/2006/relationships/image" Target="media/image92.jpg"/><Relationship Id="prId93" Type="http://schemas.openxmlformats.org/officeDocument/2006/relationships/image" Target="media/image93.jpg"/><Relationship Id="prId94" Type="http://schemas.openxmlformats.org/officeDocument/2006/relationships/image" Target="media/image94.jpg"/><Relationship Id="prId95" Type="http://schemas.openxmlformats.org/officeDocument/2006/relationships/image" Target="media/image95.jpg"/><Relationship Id="prId96" Type="http://schemas.openxmlformats.org/officeDocument/2006/relationships/image" Target="media/image96.jpg"/><Relationship Id="prId97" Type="http://schemas.openxmlformats.org/officeDocument/2006/relationships/image" Target="media/image97.jpg"/><Relationship Id="prId98" Type="http://schemas.openxmlformats.org/officeDocument/2006/relationships/image" Target="media/image98.jpg"/><Relationship Id="prId99" Type="http://schemas.openxmlformats.org/officeDocument/2006/relationships/image" Target="media/image99.jpg"/><Relationship Id="prId100" Type="http://schemas.openxmlformats.org/officeDocument/2006/relationships/image" Target="media/image100.jpg"/><Relationship Id="prId101" Type="http://schemas.openxmlformats.org/officeDocument/2006/relationships/image" Target="media/image101.jpg"/><Relationship Id="prId102" Type="http://schemas.openxmlformats.org/officeDocument/2006/relationships/image" Target="media/image102.jpg"/><Relationship Id="prId103" Type="http://schemas.openxmlformats.org/officeDocument/2006/relationships/image" Target="media/image103.jpg"/><Relationship Id="prId104" Type="http://schemas.openxmlformats.org/officeDocument/2006/relationships/image" Target="media/image104.jpg"/><Relationship Id="prId105" Type="http://schemas.openxmlformats.org/officeDocument/2006/relationships/image" Target="media/image105.jpg"/><Relationship Id="prId106" Type="http://schemas.openxmlformats.org/officeDocument/2006/relationships/image" Target="media/image106.jpg"/><Relationship Id="prId107" Type="http://schemas.openxmlformats.org/officeDocument/2006/relationships/image" Target="media/image107.jpg"/><Relationship Id="prId108" Type="http://schemas.openxmlformats.org/officeDocument/2006/relationships/image" Target="media/image108.jpg"/><Relationship Id="prId109" Type="http://schemas.openxmlformats.org/officeDocument/2006/relationships/image" Target="media/image109.jpg"/><Relationship Id="prId110" Type="http://schemas.openxmlformats.org/officeDocument/2006/relationships/image" Target="media/image110.jpg"/><Relationship Id="prId111" Type="http://schemas.openxmlformats.org/officeDocument/2006/relationships/image" Target="media/image111.jpg"/><Relationship Id="prId112" Type="http://schemas.openxmlformats.org/officeDocument/2006/relationships/image" Target="media/image112.jpg"/><Relationship Id="prId113" Type="http://schemas.openxmlformats.org/officeDocument/2006/relationships/image" Target="media/image113.jpg"/><Relationship Id="prId114" Type="http://schemas.openxmlformats.org/officeDocument/2006/relationships/image" Target="media/image114.jpg"/><Relationship Id="prId115" Type="http://schemas.openxmlformats.org/officeDocument/2006/relationships/image" Target="media/image115.jpg"/><Relationship Id="prId116" Type="http://schemas.openxmlformats.org/officeDocument/2006/relationships/image" Target="media/image116.jpg"/><Relationship Id="prId117" Type="http://schemas.openxmlformats.org/officeDocument/2006/relationships/image" Target="media/image117.jpg"/><Relationship Id="prId118" Type="http://schemas.openxmlformats.org/officeDocument/2006/relationships/image" Target="media/image118.jpg"/><Relationship Id="prId119" Type="http://schemas.openxmlformats.org/officeDocument/2006/relationships/image" Target="media/image119.jpg"/><Relationship Id="prId120" Type="http://schemas.openxmlformats.org/officeDocument/2006/relationships/image" Target="media/image120.jpg"/><Relationship Id="prId121" Type="http://schemas.openxmlformats.org/officeDocument/2006/relationships/image" Target="media/image121.jpg"/><Relationship Id="prId122" Type="http://schemas.openxmlformats.org/officeDocument/2006/relationships/image" Target="media/image122.jpg"/><Relationship Id="prId123" Type="http://schemas.openxmlformats.org/officeDocument/2006/relationships/image" Target="media/image123.jpg"/><Relationship Id="prId124" Type="http://schemas.openxmlformats.org/officeDocument/2006/relationships/image" Target="media/image124.jpg"/><Relationship Id="prId125" Type="http://schemas.openxmlformats.org/officeDocument/2006/relationships/image" Target="media/image125.jpg"/><Relationship Id="prId126" Type="http://schemas.openxmlformats.org/officeDocument/2006/relationships/image" Target="media/image126.jpg"/><Relationship Id="prId127" Type="http://schemas.openxmlformats.org/officeDocument/2006/relationships/image" Target="media/image127.jpg"/><Relationship Id="prId128" Type="http://schemas.openxmlformats.org/officeDocument/2006/relationships/image" Target="media/image128.jpg"/><Relationship Id="prId129" Type="http://schemas.openxmlformats.org/officeDocument/2006/relationships/image" Target="media/image129.jpg"/><Relationship Id="prId130" Type="http://schemas.openxmlformats.org/officeDocument/2006/relationships/image" Target="media/image130.jpg"/><Relationship Id="prId131" Type="http://schemas.openxmlformats.org/officeDocument/2006/relationships/image" Target="media/image131.jpg"/><Relationship Id="prId132" Type="http://schemas.openxmlformats.org/officeDocument/2006/relationships/image" Target="media/image132.jpg"/><Relationship Id="prId133" Type="http://schemas.openxmlformats.org/officeDocument/2006/relationships/image" Target="media/image133.jpg"/><Relationship Id="prId134" Type="http://schemas.openxmlformats.org/officeDocument/2006/relationships/image" Target="media/image134.jpg"/><Relationship Id="prId135" Type="http://schemas.openxmlformats.org/officeDocument/2006/relationships/image" Target="media/image135.jpg"/><Relationship Id="prId136" Type="http://schemas.openxmlformats.org/officeDocument/2006/relationships/image" Target="media/image136.jpg"/><Relationship Id="prId137" Type="http://schemas.openxmlformats.org/officeDocument/2006/relationships/image" Target="media/image137.jpg"/><Relationship Id="prId138" Type="http://schemas.openxmlformats.org/officeDocument/2006/relationships/image" Target="media/image138.jpg"/><Relationship Id="prId139" Type="http://schemas.openxmlformats.org/officeDocument/2006/relationships/image" Target="media/image139.jpg"/><Relationship Id="prId140" Type="http://schemas.openxmlformats.org/officeDocument/2006/relationships/image" Target="media/image140.jpg"/><Relationship Id="prId141" Type="http://schemas.openxmlformats.org/officeDocument/2006/relationships/image" Target="media/image141.jpg"/><Relationship Id="prId142" Type="http://schemas.openxmlformats.org/officeDocument/2006/relationships/image" Target="media/image142.jpg"/><Relationship Id="prId143" Type="http://schemas.openxmlformats.org/officeDocument/2006/relationships/image" Target="media/image143.jpg"/><Relationship Id="prId144" Type="http://schemas.openxmlformats.org/officeDocument/2006/relationships/image" Target="media/image144.jpg"/><Relationship Id="prId145" Type="http://schemas.openxmlformats.org/officeDocument/2006/relationships/image" Target="media/image145.jpg"/><Relationship Id="prId146" Type="http://schemas.openxmlformats.org/officeDocument/2006/relationships/image" Target="media/image146.jpg"/><Relationship Id="prId147" Type="http://schemas.openxmlformats.org/officeDocument/2006/relationships/image" Target="media/image147.jpg"/><Relationship Id="prId148" Type="http://schemas.openxmlformats.org/officeDocument/2006/relationships/image" Target="media/image148.jpg"/><Relationship Id="prId149" Type="http://schemas.openxmlformats.org/officeDocument/2006/relationships/image" Target="media/image149.jpg"/><Relationship Id="prId150" Type="http://schemas.openxmlformats.org/officeDocument/2006/relationships/image" Target="media/image150.jpg"/><Relationship Id="prId151" Type="http://schemas.openxmlformats.org/officeDocument/2006/relationships/image" Target="media/image151.jpg"/><Relationship Id="prId152" Type="http://schemas.openxmlformats.org/officeDocument/2006/relationships/image" Target="media/image152.jpg"/><Relationship Id="prId153" Type="http://schemas.openxmlformats.org/officeDocument/2006/relationships/image" Target="media/image153.jpg"/><Relationship Id="prId154" Type="http://schemas.openxmlformats.org/officeDocument/2006/relationships/image" Target="media/image154.jpg"/><Relationship Id="prId155" Type="http://schemas.openxmlformats.org/officeDocument/2006/relationships/image" Target="media/image155.jpg"/><Relationship Id="prId156" Type="http://schemas.openxmlformats.org/officeDocument/2006/relationships/image" Target="media/image156.jpg"/><Relationship Id="prId157" Type="http://schemas.openxmlformats.org/officeDocument/2006/relationships/image" Target="media/image157.jpg"/><Relationship Id="prId158" Type="http://schemas.openxmlformats.org/officeDocument/2006/relationships/image" Target="media/image158.jpg"/><Relationship Id="prId159" Type="http://schemas.openxmlformats.org/officeDocument/2006/relationships/image" Target="media/image159.jpg"/><Relationship Id="prId160" Type="http://schemas.openxmlformats.org/officeDocument/2006/relationships/image" Target="media/image160.jpg"/><Relationship Id="prId161" Type="http://schemas.openxmlformats.org/officeDocument/2006/relationships/image" Target="media/image161.jpg"/><Relationship Id="prId162" Type="http://schemas.openxmlformats.org/officeDocument/2006/relationships/image" Target="media/image162.jpg"/><Relationship Id="prId163" Type="http://schemas.openxmlformats.org/officeDocument/2006/relationships/image" Target="media/image163.jpg"/><Relationship Id="prId164" Type="http://schemas.openxmlformats.org/officeDocument/2006/relationships/image" Target="media/image164.jpg"/><Relationship Id="prId165" Type="http://schemas.openxmlformats.org/officeDocument/2006/relationships/image" Target="media/image165.jpg"/><Relationship Id="prId166" Type="http://schemas.openxmlformats.org/officeDocument/2006/relationships/image" Target="media/image166.jpg"/><Relationship Id="prId167" Type="http://schemas.openxmlformats.org/officeDocument/2006/relationships/image" Target="media/image167.jpg"/><Relationship Id="prId168" Type="http://schemas.openxmlformats.org/officeDocument/2006/relationships/image" Target="media/image168.jpg"/><Relationship Id="prId169" Type="http://schemas.openxmlformats.org/officeDocument/2006/relationships/image" Target="media/image169.jpg"/><Relationship Id="prId170" Type="http://schemas.openxmlformats.org/officeDocument/2006/relationships/image" Target="media/image170.jpg"/><Relationship Id="prId171" Type="http://schemas.openxmlformats.org/officeDocument/2006/relationships/image" Target="media/image171.jpg"/><Relationship Id="prId172" Type="http://schemas.openxmlformats.org/officeDocument/2006/relationships/image" Target="media/image172.jpg"/><Relationship Id="prId173" Type="http://schemas.openxmlformats.org/officeDocument/2006/relationships/image" Target="media/image173.jpg"/><Relationship Id="prId174" Type="http://schemas.openxmlformats.org/officeDocument/2006/relationships/image" Target="media/image174.jpg"/><Relationship Id="prId175" Type="http://schemas.openxmlformats.org/officeDocument/2006/relationships/image" Target="media/image175.jpg"/><Relationship Id="prId176" Type="http://schemas.openxmlformats.org/officeDocument/2006/relationships/image" Target="media/image176.jpg"/><Relationship Id="prId177" Type="http://schemas.openxmlformats.org/officeDocument/2006/relationships/image" Target="media/image177.jpg"/><Relationship Id="prId178" Type="http://schemas.openxmlformats.org/officeDocument/2006/relationships/image" Target="media/image178.jpg"/><Relationship Id="prId179" Type="http://schemas.openxmlformats.org/officeDocument/2006/relationships/image" Target="media/image179.jpg"/><Relationship Id="prId180" Type="http://schemas.openxmlformats.org/officeDocument/2006/relationships/image" Target="media/image180.jpg"/><Relationship Id="prId181" Type="http://schemas.openxmlformats.org/officeDocument/2006/relationships/image" Target="media/image181.jpg"/><Relationship Id="prId182" Type="http://schemas.openxmlformats.org/officeDocument/2006/relationships/image" Target="media/image182.jpg"/><Relationship Id="prId183" Type="http://schemas.openxmlformats.org/officeDocument/2006/relationships/image" Target="media/image183.jpg"/><Relationship Id="prId184" Type="http://schemas.openxmlformats.org/officeDocument/2006/relationships/image" Target="media/image184.jpg"/><Relationship Id="prId185" Type="http://schemas.openxmlformats.org/officeDocument/2006/relationships/image" Target="media/image185.jpg"/><Relationship Id="prId186" Type="http://schemas.openxmlformats.org/officeDocument/2006/relationships/image" Target="media/image186.jpg"/><Relationship Id="prId187" Type="http://schemas.openxmlformats.org/officeDocument/2006/relationships/image" Target="media/image187.jpg"/><Relationship Id="prId188" Type="http://schemas.openxmlformats.org/officeDocument/2006/relationships/image" Target="media/image188.jpg"/><Relationship Id="prId189" Type="http://schemas.openxmlformats.org/officeDocument/2006/relationships/image" Target="media/image189.jpg"/><Relationship Id="prId190" Type="http://schemas.openxmlformats.org/officeDocument/2006/relationships/image" Target="media/image190.jpg"/><Relationship Id="prId191" Type="http://schemas.openxmlformats.org/officeDocument/2006/relationships/image" Target="media/image191.jpg"/><Relationship Id="prId192" Type="http://schemas.openxmlformats.org/officeDocument/2006/relationships/image" Target="media/image192.jpg"/><Relationship Id="prId193" Type="http://schemas.openxmlformats.org/officeDocument/2006/relationships/image" Target="media/image193.jpg"/><Relationship Id="prId194" Type="http://schemas.openxmlformats.org/officeDocument/2006/relationships/image" Target="media/image194.jpg"/><Relationship Id="prId195" Type="http://schemas.openxmlformats.org/officeDocument/2006/relationships/image" Target="media/image195.jpg"/><Relationship Id="styleId" Type="http://schemas.openxmlformats.org/officeDocument/2006/relationships/styles" Target="styles.xml"/><Relationship Id="settingId" Type="http://schemas.openxmlformats.org/officeDocument/2006/relationships/settings" Target="settings.xml"/><Relationship Id="footnotesId" Type="http://schemas.openxmlformats.org/officeDocument/2006/relationships/footnotes" Target="footnotes.xml"/></Relationships>
</file>

<file path=docProps/app.xml><?xml version="1.0" encoding="utf-8"?>
<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xmlns="http://schemas.openxmlformats.org/officeDocument/2006/extended-properties"/>
</file>

<file path=docProps/core.xml><?xml version="1.0" encoding="utf-8"?>
<cp:coreProperties xmlns:dcterms="http://purl.org/dc/terms/" xmlns:xsi="http://www.w3.org/2001/XMLSchema-instance"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title>REGIONAL AND YA FINAL 12.17.25</dc:title>
  <dc:creator>Hoffmann, Pauline</dc:creator>
  <dcterms:created xsi:type="dcterms:W3CDTF">2026-04-15T15:21:38Z</dcterms:created>
  <dcterms:modified xsi:type="dcterms:W3CDTF">2026-04-15T15:21:38Z</dcterms:modified>
</cp:coreProperties>
</file>