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5"/>
        <w:ind w:left="0"/>
        <w:rPr>
          <w:rFonts w:ascii="Times New Roman"/>
          <w:sz w:val="6"/>
        </w:rPr>
      </w:pPr>
    </w:p>
    <w:p>
      <w:pPr>
        <w:spacing w:line="240" w:lineRule="auto"/>
        <w:ind w:left="9" w:right="-29" w:firstLine="0"/>
        <w:rPr>
          <w:rFonts w:ascii="Times New Roman"/>
          <w:sz w:val="20"/>
        </w:rPr>
      </w:pPr>
      <w:r>
        <w:rPr>
          <w:rFonts w:ascii="Times New Roman"/>
          <w:sz w:val="20"/>
        </w:rPr>
        <mc:AlternateContent>
          <mc:Choice Requires="wps">
            <w:drawing>
              <wp:inline distT="0" distB="0" distL="0" distR="0">
                <wp:extent cx="7759065" cy="431800"/>
                <wp:effectExtent l="0" t="0" r="0" b="0"/>
                <wp:docPr id="8" name="Textbox 8"/>
                <wp:cNvGraphicFramePr>
                  <a:graphicFrameLocks/>
                </wp:cNvGraphicFramePr>
                <a:graphic>
                  <a:graphicData uri="http://schemas.microsoft.com/office/word/2010/wordprocessingShape">
                    <wps:wsp>
                      <wps:cNvPr id="8" name="Textbox 8"/>
                      <wps:cNvSpPr txBox="1"/>
                      <wps:spPr>
                        <a:xfrm>
                          <a:off x="0" y="0"/>
                          <a:ext cx="7759065" cy="431800"/>
                        </a:xfrm>
                        <a:prstGeom prst="rect">
                          <a:avLst/>
                        </a:prstGeom>
                      </wps:spPr>
                      <wps:txbx>
                        <w:txbxContent>
                          <w:p>
                            <w:pPr>
                              <w:spacing w:before="72"/>
                              <w:ind w:left="29" w:right="0" w:firstLine="0"/>
                              <w:jc w:val="center"/>
                              <w:rPr>
                                <w:b/>
                                <w:sz w:val="36"/>
                              </w:rPr>
                            </w:pPr>
                            <w:r>
                              <w:rPr>
                                <w:b/>
                                <w:color w:val="FFFFFF"/>
                                <w:spacing w:val="-4"/>
                                <w:sz w:val="36"/>
                              </w:rPr>
                              <w:t>Yates</w:t>
                            </w:r>
                            <w:r>
                              <w:rPr>
                                <w:b/>
                                <w:color w:val="FFFFFF"/>
                                <w:spacing w:val="-12"/>
                                <w:sz w:val="36"/>
                              </w:rPr>
                              <w:t> </w:t>
                            </w:r>
                            <w:r>
                              <w:rPr>
                                <w:b/>
                                <w:color w:val="FFFFFF"/>
                                <w:spacing w:val="-2"/>
                                <w:sz w:val="36"/>
                              </w:rPr>
                              <w:t>County</w:t>
                            </w:r>
                          </w:p>
                        </w:txbxContent>
                      </wps:txbx>
                      <wps:bodyPr wrap="square" lIns="0" tIns="0" rIns="0" bIns="0" rtlCol="0">
                        <a:noAutofit/>
                      </wps:bodyPr>
                    </wps:wsp>
                  </a:graphicData>
                </a:graphic>
              </wp:inline>
            </w:drawing>
          </mc:Choice>
          <mc:Fallback>
            <w:pict>
              <v:shape style="width:610.950pt;height:34pt;mso-position-horizontal-relative:char;mso-position-vertical-relative:line" type="#_x0000_t202" id="docshape5" filled="false" stroked="false">
                <w10:anchorlock/>
                <v:textbox inset="0,0,0,0">
                  <w:txbxContent>
                    <w:p>
                      <w:pPr>
                        <w:spacing w:before="72"/>
                        <w:ind w:left="29" w:right="0" w:firstLine="0"/>
                        <w:jc w:val="center"/>
                        <w:rPr>
                          <w:b/>
                          <w:sz w:val="36"/>
                        </w:rPr>
                      </w:pPr>
                      <w:r>
                        <w:rPr>
                          <w:b/>
                          <w:color w:val="FFFFFF"/>
                          <w:spacing w:val="-4"/>
                          <w:sz w:val="36"/>
                        </w:rPr>
                        <w:t>Yates</w:t>
                      </w:r>
                      <w:r>
                        <w:rPr>
                          <w:b/>
                          <w:color w:val="FFFFFF"/>
                          <w:spacing w:val="-12"/>
                          <w:sz w:val="36"/>
                        </w:rPr>
                        <w:t> </w:t>
                      </w:r>
                      <w:r>
                        <w:rPr>
                          <w:b/>
                          <w:color w:val="FFFFFF"/>
                          <w:spacing w:val="-2"/>
                          <w:sz w:val="36"/>
                        </w:rPr>
                        <w:t>County</w:t>
                      </w:r>
                    </w:p>
                  </w:txbxContent>
                </v:textbox>
              </v:shape>
            </w:pict>
          </mc:Fallback>
        </mc:AlternateContent>
      </w:r>
      <w:r>
        <w:rPr>
          <w:rFonts w:ascii="Times New Roman"/>
          <w:sz w:val="20"/>
        </w:rPr>
      </w:r>
    </w:p>
    <w:p>
      <w:pPr>
        <w:pStyle w:val="BodyText"/>
        <w:ind w:left="0"/>
        <w:rPr>
          <w:rFonts w:ascii="Times New Roman"/>
        </w:rPr>
      </w:pPr>
    </w:p>
    <w:p>
      <w:pPr>
        <w:pStyle w:val="BodyText"/>
        <w:spacing w:before="59"/>
        <w:ind w:left="0"/>
        <w:rPr>
          <w:rFonts w:ascii="Times New Roman"/>
        </w:rPr>
      </w:pPr>
    </w:p>
    <w:p>
      <w:pPr>
        <w:spacing w:before="0"/>
        <w:ind w:left="1440" w:right="8359" w:firstLine="0"/>
        <w:jc w:val="both"/>
        <w:rPr>
          <w:sz w:val="22"/>
        </w:rPr>
      </w:pPr>
      <w:r>
        <w:rPr>
          <w:sz w:val="22"/>
        </w:rPr>
        <w:drawing>
          <wp:anchor distT="0" distB="0" distL="0" distR="0" allowOverlap="1" layoutInCell="1" locked="0" behindDoc="0" simplePos="0" relativeHeight="15730176">
            <wp:simplePos x="0" y="0"/>
            <wp:positionH relativeFrom="page">
              <wp:posOffset>4297654</wp:posOffset>
            </wp:positionH>
            <wp:positionV relativeFrom="paragraph">
              <wp:posOffset>392196</wp:posOffset>
            </wp:positionV>
            <wp:extent cx="2852925" cy="2194557"/>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7" cstate="print"/>
                    <a:stretch>
                      <a:fillRect/>
                    </a:stretch>
                  </pic:blipFill>
                  <pic:spPr>
                    <a:xfrm>
                      <a:off x="0" y="0"/>
                      <a:ext cx="2852925" cy="2194557"/>
                    </a:xfrm>
                    <a:prstGeom prst="rect">
                      <a:avLst/>
                    </a:prstGeom>
                  </pic:spPr>
                </pic:pic>
              </a:graphicData>
            </a:graphic>
          </wp:anchor>
        </w:drawing>
      </w:r>
      <w:r>
        <w:rPr>
          <w:sz w:val="22"/>
        </w:rPr>
        <mc:AlternateContent>
          <mc:Choice Requires="wps">
            <w:drawing>
              <wp:anchor distT="0" distB="0" distL="0" distR="0" allowOverlap="1" layoutInCell="1" locked="0" behindDoc="1" simplePos="0" relativeHeight="486531072">
                <wp:simplePos x="0" y="0"/>
                <wp:positionH relativeFrom="page">
                  <wp:posOffset>-6095</wp:posOffset>
                </wp:positionH>
                <wp:positionV relativeFrom="paragraph">
                  <wp:posOffset>-802609</wp:posOffset>
                </wp:positionV>
                <wp:extent cx="7776845" cy="45593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7776845" cy="455930"/>
                          <a:chExt cx="7776845" cy="455930"/>
                        </a:xfrm>
                      </wpg:grpSpPr>
                      <wps:wsp>
                        <wps:cNvPr id="11" name="Graphic 11"/>
                        <wps:cNvSpPr/>
                        <wps:spPr>
                          <a:xfrm>
                            <a:off x="6095" y="6095"/>
                            <a:ext cx="7764780" cy="443865"/>
                          </a:xfrm>
                          <a:custGeom>
                            <a:avLst/>
                            <a:gdLst/>
                            <a:ahLst/>
                            <a:cxnLst/>
                            <a:rect l="l" t="t" r="r" b="b"/>
                            <a:pathLst>
                              <a:path w="7764780" h="443865">
                                <a:moveTo>
                                  <a:pt x="7764653" y="0"/>
                                </a:moveTo>
                                <a:lnTo>
                                  <a:pt x="0" y="0"/>
                                </a:lnTo>
                                <a:lnTo>
                                  <a:pt x="0" y="443483"/>
                                </a:lnTo>
                                <a:lnTo>
                                  <a:pt x="7764653" y="443483"/>
                                </a:lnTo>
                                <a:lnTo>
                                  <a:pt x="7764653" y="0"/>
                                </a:lnTo>
                                <a:close/>
                              </a:path>
                            </a:pathLst>
                          </a:custGeom>
                          <a:solidFill>
                            <a:srgbClr val="145F82"/>
                          </a:solidFill>
                        </wps:spPr>
                        <wps:bodyPr wrap="square" lIns="0" tIns="0" rIns="0" bIns="0" rtlCol="0">
                          <a:prstTxWarp prst="textNoShape">
                            <a:avLst/>
                          </a:prstTxWarp>
                          <a:noAutofit/>
                        </wps:bodyPr>
                      </wps:wsp>
                      <wps:wsp>
                        <wps:cNvPr id="12" name="Graphic 12"/>
                        <wps:cNvSpPr/>
                        <wps:spPr>
                          <a:xfrm>
                            <a:off x="6095" y="6095"/>
                            <a:ext cx="7764780" cy="443865"/>
                          </a:xfrm>
                          <a:custGeom>
                            <a:avLst/>
                            <a:gdLst/>
                            <a:ahLst/>
                            <a:cxnLst/>
                            <a:rect l="l" t="t" r="r" b="b"/>
                            <a:pathLst>
                              <a:path w="7764780" h="443865">
                                <a:moveTo>
                                  <a:pt x="7764653" y="443483"/>
                                </a:moveTo>
                                <a:lnTo>
                                  <a:pt x="0" y="443483"/>
                                </a:lnTo>
                                <a:lnTo>
                                  <a:pt x="0" y="0"/>
                                </a:lnTo>
                                <a:lnTo>
                                  <a:pt x="7764653" y="0"/>
                                </a:lnTo>
                              </a:path>
                            </a:pathLst>
                          </a:custGeom>
                          <a:ln w="12192">
                            <a:solidFill>
                              <a:srgbClr val="04233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63.197559pt;width:612.35pt;height:35.9pt;mso-position-horizontal-relative:page;mso-position-vertical-relative:paragraph;z-index:-16785408" id="docshapegroup6" coordorigin="-10,-1264" coordsize="12247,718">
                <v:rect style="position:absolute;left:0;top:-1255;width:12228;height:699" id="docshape7" filled="true" fillcolor="#145f82" stroked="false">
                  <v:fill type="solid"/>
                </v:rect>
                <v:shape style="position:absolute;left:0;top:-1255;width:12228;height:699" id="docshape8" coordorigin="0,-1254" coordsize="12228,699" path="m12228,-556l0,-556,0,-1254,12228,-1254e" filled="false" stroked="true" strokeweight=".96pt" strokecolor="#042333">
                  <v:path arrowok="t"/>
                  <v:stroke dashstyle="solid"/>
                </v:shape>
                <w10:wrap type="none"/>
              </v:group>
            </w:pict>
          </mc:Fallback>
        </mc:AlternateContent>
      </w:r>
      <w:r>
        <w:rPr>
          <w:b/>
          <w:sz w:val="22"/>
        </w:rPr>
        <w:t>Yates</w:t>
      </w:r>
      <w:r>
        <w:rPr>
          <w:b/>
          <w:spacing w:val="-13"/>
          <w:sz w:val="22"/>
        </w:rPr>
        <w:t> </w:t>
      </w:r>
      <w:r>
        <w:rPr>
          <w:b/>
          <w:sz w:val="22"/>
        </w:rPr>
        <w:t>County</w:t>
      </w:r>
      <w:r>
        <w:rPr>
          <w:b/>
          <w:spacing w:val="-12"/>
          <w:sz w:val="22"/>
        </w:rPr>
        <w:t> </w:t>
      </w:r>
      <w:r>
        <w:rPr>
          <w:b/>
          <w:sz w:val="22"/>
        </w:rPr>
        <w:t>Public</w:t>
      </w:r>
      <w:r>
        <w:rPr>
          <w:b/>
          <w:spacing w:val="-13"/>
          <w:sz w:val="22"/>
        </w:rPr>
        <w:t> </w:t>
      </w:r>
      <w:r>
        <w:rPr>
          <w:b/>
          <w:sz w:val="22"/>
        </w:rPr>
        <w:t>Health </w:t>
      </w:r>
      <w:r>
        <w:rPr>
          <w:sz w:val="22"/>
        </w:rPr>
        <w:t>Alyssa</w:t>
      </w:r>
      <w:r>
        <w:rPr>
          <w:spacing w:val="-13"/>
          <w:sz w:val="22"/>
        </w:rPr>
        <w:t> </w:t>
      </w:r>
      <w:r>
        <w:rPr>
          <w:sz w:val="22"/>
        </w:rPr>
        <w:t>Broome-Quissimisse Director of Public Health</w:t>
      </w:r>
    </w:p>
    <w:p>
      <w:pPr>
        <w:pStyle w:val="BodyText"/>
        <w:spacing w:before="1"/>
        <w:ind w:right="7302"/>
      </w:pPr>
      <w:hyperlink r:id="rId8">
        <w:r>
          <w:rPr>
            <w:color w:val="467885"/>
            <w:spacing w:val="-2"/>
            <w:u w:val="single" w:color="467885"/>
          </w:rPr>
          <w:t>Alyssa.Quissimisse@yatescountyny.gov</w:t>
        </w:r>
      </w:hyperlink>
      <w:r>
        <w:rPr>
          <w:color w:val="467885"/>
          <w:spacing w:val="-2"/>
          <w:u w:val="none"/>
        </w:rPr>
        <w:t> </w:t>
      </w:r>
      <w:r>
        <w:rPr>
          <w:spacing w:val="-2"/>
          <w:u w:val="none"/>
        </w:rPr>
        <w:t>315-536-5160</w:t>
      </w:r>
    </w:p>
    <w:p>
      <w:pPr>
        <w:pStyle w:val="Heading4"/>
        <w:spacing w:before="267"/>
        <w:ind w:right="5157"/>
      </w:pPr>
      <w:r>
        <w:rPr/>
        <w:t>UR</w:t>
      </w:r>
      <w:r>
        <w:rPr>
          <w:spacing w:val="-7"/>
        </w:rPr>
        <w:t> </w:t>
      </w:r>
      <w:r>
        <w:rPr/>
        <w:t>Medicine</w:t>
      </w:r>
      <w:r>
        <w:rPr>
          <w:spacing w:val="-8"/>
        </w:rPr>
        <w:t> </w:t>
      </w:r>
      <w:r>
        <w:rPr/>
        <w:t>Finger</w:t>
      </w:r>
      <w:r>
        <w:rPr>
          <w:spacing w:val="-7"/>
        </w:rPr>
        <w:t> </w:t>
      </w:r>
      <w:r>
        <w:rPr/>
        <w:t>Lakes</w:t>
      </w:r>
      <w:r>
        <w:rPr>
          <w:spacing w:val="-8"/>
        </w:rPr>
        <w:t> </w:t>
      </w:r>
      <w:r>
        <w:rPr/>
        <w:t>Health</w:t>
      </w:r>
      <w:r>
        <w:rPr>
          <w:spacing w:val="-7"/>
        </w:rPr>
        <w:t> </w:t>
      </w:r>
      <w:r>
        <w:rPr/>
        <w:t>Soldiers</w:t>
      </w:r>
      <w:r>
        <w:rPr>
          <w:spacing w:val="-7"/>
        </w:rPr>
        <w:t> </w:t>
      </w:r>
      <w:r>
        <w:rPr/>
        <w:t>and</w:t>
      </w:r>
      <w:r>
        <w:rPr>
          <w:spacing w:val="-8"/>
        </w:rPr>
        <w:t> </w:t>
      </w:r>
      <w:r>
        <w:rPr/>
        <w:t>Sailors Memorial Hospital</w:t>
      </w:r>
    </w:p>
    <w:p>
      <w:pPr>
        <w:pStyle w:val="BodyText"/>
        <w:ind w:left="1439"/>
      </w:pPr>
      <w:r>
        <w:rPr/>
        <w:t>Kimberly</w:t>
      </w:r>
      <w:r>
        <w:rPr>
          <w:spacing w:val="-4"/>
        </w:rPr>
        <w:t> </w:t>
      </w:r>
      <w:r>
        <w:rPr>
          <w:spacing w:val="-2"/>
        </w:rPr>
        <w:t>Ilacqua</w:t>
      </w:r>
    </w:p>
    <w:p>
      <w:pPr>
        <w:pStyle w:val="BodyText"/>
        <w:ind w:left="1439"/>
      </w:pPr>
      <w:r>
        <w:rPr/>
        <w:t>Vice</w:t>
      </w:r>
      <w:r>
        <w:rPr>
          <w:spacing w:val="-7"/>
        </w:rPr>
        <w:t> </w:t>
      </w:r>
      <w:r>
        <w:rPr/>
        <w:t>President,</w:t>
      </w:r>
      <w:r>
        <w:rPr>
          <w:spacing w:val="-6"/>
        </w:rPr>
        <w:t> </w:t>
      </w:r>
      <w:r>
        <w:rPr/>
        <w:t>Community</w:t>
      </w:r>
      <w:r>
        <w:rPr>
          <w:spacing w:val="-8"/>
        </w:rPr>
        <w:t> </w:t>
      </w:r>
      <w:r>
        <w:rPr>
          <w:spacing w:val="-2"/>
        </w:rPr>
        <w:t>Services</w:t>
      </w:r>
    </w:p>
    <w:p>
      <w:pPr>
        <w:pStyle w:val="BodyText"/>
        <w:spacing w:before="1"/>
        <w:ind w:left="1439"/>
      </w:pPr>
      <w:r>
        <w:rPr/>
        <w:t>Execufive</w:t>
      </w:r>
      <w:r>
        <w:rPr>
          <w:spacing w:val="-13"/>
        </w:rPr>
        <w:t> </w:t>
      </w:r>
      <w:r>
        <w:rPr/>
        <w:t>Director,</w:t>
      </w:r>
      <w:r>
        <w:rPr>
          <w:spacing w:val="-12"/>
        </w:rPr>
        <w:t> </w:t>
      </w:r>
      <w:r>
        <w:rPr/>
        <w:t>Finger</w:t>
      </w:r>
      <w:r>
        <w:rPr>
          <w:spacing w:val="-13"/>
        </w:rPr>
        <w:t> </w:t>
      </w:r>
      <w:r>
        <w:rPr/>
        <w:t>Lakes</w:t>
      </w:r>
      <w:r>
        <w:rPr>
          <w:spacing w:val="-11"/>
        </w:rPr>
        <w:t> </w:t>
      </w:r>
      <w:r>
        <w:rPr/>
        <w:t>Health</w:t>
      </w:r>
      <w:r>
        <w:rPr>
          <w:spacing w:val="-12"/>
        </w:rPr>
        <w:t> </w:t>
      </w:r>
      <w:r>
        <w:rPr>
          <w:spacing w:val="-2"/>
        </w:rPr>
        <w:t>Foundafion</w:t>
      </w:r>
    </w:p>
    <w:p>
      <w:pPr>
        <w:pStyle w:val="BodyText"/>
      </w:pPr>
      <w:hyperlink r:id="rId9">
        <w:r>
          <w:rPr>
            <w:color w:val="467885"/>
            <w:spacing w:val="-2"/>
            <w:u w:val="single" w:color="467885"/>
          </w:rPr>
          <w:t>Kimberly.Ilacqua@ﬂhealth.org</w:t>
        </w:r>
      </w:hyperlink>
    </w:p>
    <w:p>
      <w:pPr>
        <w:pStyle w:val="BodyText"/>
      </w:pPr>
      <w:r>
        <w:rPr>
          <w:spacing w:val="-2"/>
        </w:rPr>
        <w:t>315-787-</w:t>
      </w:r>
      <w:r>
        <w:rPr>
          <w:spacing w:val="-4"/>
        </w:rPr>
        <w:t>4053</w:t>
      </w:r>
    </w:p>
    <w:p>
      <w:pPr>
        <w:pStyle w:val="BodyText"/>
        <w:ind w:left="0"/>
      </w:pPr>
    </w:p>
    <w:p>
      <w:pPr>
        <w:pStyle w:val="Heading4"/>
        <w:spacing w:line="267" w:lineRule="exact"/>
      </w:pPr>
      <w:r>
        <w:rPr/>
        <w:t>Pivital</w:t>
      </w:r>
      <w:r>
        <w:rPr>
          <w:spacing w:val="-6"/>
        </w:rPr>
        <w:t> </w:t>
      </w:r>
      <w:r>
        <w:rPr/>
        <w:t>Public</w:t>
      </w:r>
      <w:r>
        <w:rPr>
          <w:spacing w:val="-4"/>
        </w:rPr>
        <w:t> </w:t>
      </w:r>
      <w:r>
        <w:rPr/>
        <w:t>Health</w:t>
      </w:r>
      <w:r>
        <w:rPr>
          <w:spacing w:val="-4"/>
        </w:rPr>
        <w:t> </w:t>
      </w:r>
      <w:r>
        <w:rPr>
          <w:spacing w:val="-2"/>
        </w:rPr>
        <w:t>Partnership</w:t>
      </w:r>
    </w:p>
    <w:p>
      <w:pPr>
        <w:pStyle w:val="BodyText"/>
        <w:ind w:right="8616"/>
      </w:pPr>
      <w:r>
        <w:rPr/>
        <mc:AlternateContent>
          <mc:Choice Requires="wps">
            <w:drawing>
              <wp:anchor distT="0" distB="0" distL="0" distR="0" allowOverlap="1" layoutInCell="1" locked="0" behindDoc="0" simplePos="0" relativeHeight="15731200">
                <wp:simplePos x="0" y="0"/>
                <wp:positionH relativeFrom="page">
                  <wp:posOffset>2267686</wp:posOffset>
                </wp:positionH>
                <wp:positionV relativeFrom="paragraph">
                  <wp:posOffset>481814</wp:posOffset>
                </wp:positionV>
                <wp:extent cx="2149475" cy="100584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2149475" cy="1005840"/>
                          <a:chExt cx="2149475" cy="1005840"/>
                        </a:xfrm>
                      </wpg:grpSpPr>
                      <pic:pic>
                        <pic:nvPicPr>
                          <pic:cNvPr id="14" name="Image 14"/>
                          <pic:cNvPicPr/>
                        </pic:nvPicPr>
                        <pic:blipFill>
                          <a:blip r:embed="rId10" cstate="print"/>
                          <a:stretch>
                            <a:fillRect/>
                          </a:stretch>
                        </pic:blipFill>
                        <pic:spPr>
                          <a:xfrm>
                            <a:off x="0" y="51789"/>
                            <a:ext cx="1129295" cy="949464"/>
                          </a:xfrm>
                          <a:prstGeom prst="rect">
                            <a:avLst/>
                          </a:prstGeom>
                        </pic:spPr>
                      </pic:pic>
                      <pic:pic>
                        <pic:nvPicPr>
                          <pic:cNvPr id="15" name="Image 15"/>
                          <pic:cNvPicPr/>
                        </pic:nvPicPr>
                        <pic:blipFill>
                          <a:blip r:embed="rId11" cstate="print"/>
                          <a:stretch>
                            <a:fillRect/>
                          </a:stretch>
                        </pic:blipFill>
                        <pic:spPr>
                          <a:xfrm>
                            <a:off x="1124750" y="0"/>
                            <a:ext cx="1024126" cy="1005828"/>
                          </a:xfrm>
                          <a:prstGeom prst="rect">
                            <a:avLst/>
                          </a:prstGeom>
                        </pic:spPr>
                      </pic:pic>
                    </wpg:wgp>
                  </a:graphicData>
                </a:graphic>
              </wp:anchor>
            </w:drawing>
          </mc:Choice>
          <mc:Fallback>
            <w:pict>
              <v:group style="position:absolute;margin-left:178.557999pt;margin-top:37.938122pt;width:169.25pt;height:79.2pt;mso-position-horizontal-relative:page;mso-position-vertical-relative:paragraph;z-index:15731200" id="docshapegroup9" coordorigin="3571,759" coordsize="3385,1584">
                <v:shape style="position:absolute;left:3571;top:840;width:1779;height:1496" type="#_x0000_t75" id="docshape10" stroked="false">
                  <v:imagedata r:id="rId10" o:title=""/>
                </v:shape>
                <v:shape style="position:absolute;left:5342;top:758;width:1613;height:1584" type="#_x0000_t75" id="docshape11" stroked="false">
                  <v:imagedata r:id="rId11" o:title=""/>
                </v:shape>
                <w10:wrap type="none"/>
              </v:group>
            </w:pict>
          </mc:Fallback>
        </mc:AlternateContent>
      </w:r>
      <w:r>
        <w:rPr/>
        <w:t>Michele Foster Execufive Director </w:t>
      </w:r>
      <w:hyperlink r:id="rId12">
        <w:r>
          <w:rPr>
            <w:color w:val="467885"/>
            <w:spacing w:val="-2"/>
            <w:u w:val="single" w:color="467885"/>
          </w:rPr>
          <w:t>MFoster@pivitalphp.org</w:t>
        </w:r>
      </w:hyperlink>
    </w:p>
    <w:p>
      <w:pPr>
        <w:pStyle w:val="BodyText"/>
        <w:spacing w:before="9"/>
        <w:ind w:left="0"/>
        <w:rPr>
          <w:sz w:val="4"/>
        </w:rPr>
      </w:pPr>
      <w:r>
        <w:rPr>
          <w:sz w:val="4"/>
        </w:rPr>
        <w:drawing>
          <wp:anchor distT="0" distB="0" distL="0" distR="0" allowOverlap="1" layoutInCell="1" locked="0" behindDoc="1" simplePos="0" relativeHeight="487588352">
            <wp:simplePos x="0" y="0"/>
            <wp:positionH relativeFrom="page">
              <wp:posOffset>4507991</wp:posOffset>
            </wp:positionH>
            <wp:positionV relativeFrom="paragraph">
              <wp:posOffset>52512</wp:posOffset>
            </wp:positionV>
            <wp:extent cx="984137" cy="80010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984137" cy="800100"/>
                    </a:xfrm>
                    <a:prstGeom prst="rect">
                      <a:avLst/>
                    </a:prstGeom>
                  </pic:spPr>
                </pic:pic>
              </a:graphicData>
            </a:graphic>
          </wp:anchor>
        </w:drawing>
      </w:r>
      <w:r>
        <w:rPr>
          <w:sz w:val="4"/>
        </w:rPr>
        <w:drawing>
          <wp:anchor distT="0" distB="0" distL="0" distR="0" allowOverlap="1" layoutInCell="1" locked="0" behindDoc="1" simplePos="0" relativeHeight="487588864">
            <wp:simplePos x="0" y="0"/>
            <wp:positionH relativeFrom="page">
              <wp:posOffset>0</wp:posOffset>
            </wp:positionH>
            <wp:positionV relativeFrom="paragraph">
              <wp:posOffset>1140700</wp:posOffset>
            </wp:positionV>
            <wp:extent cx="7742547" cy="2889504"/>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7742547" cy="2889504"/>
                    </a:xfrm>
                    <a:prstGeom prst="rect">
                      <a:avLst/>
                    </a:prstGeom>
                  </pic:spPr>
                </pic:pic>
              </a:graphicData>
            </a:graphic>
          </wp:anchor>
        </w:drawing>
      </w:r>
    </w:p>
    <w:p>
      <w:pPr>
        <w:pStyle w:val="BodyText"/>
        <w:spacing w:before="185"/>
        <w:ind w:left="0"/>
        <w:rPr>
          <w:sz w:val="20"/>
        </w:rPr>
      </w:pPr>
    </w:p>
    <w:p>
      <w:pPr>
        <w:spacing w:before="6"/>
        <w:ind w:left="235" w:right="0" w:firstLine="0"/>
        <w:jc w:val="left"/>
        <w:rPr>
          <w:i/>
          <w:sz w:val="18"/>
        </w:rPr>
      </w:pPr>
      <w:r>
        <w:rPr>
          <w:i/>
          <w:sz w:val="18"/>
        </w:rPr>
        <w:t>Courtesy</w:t>
      </w:r>
      <w:r>
        <w:rPr>
          <w:i/>
          <w:spacing w:val="-6"/>
          <w:sz w:val="18"/>
        </w:rPr>
        <w:t> </w:t>
      </w:r>
      <w:r>
        <w:rPr>
          <w:i/>
          <w:sz w:val="18"/>
        </w:rPr>
        <w:t>of</w:t>
      </w:r>
      <w:r>
        <w:rPr>
          <w:i/>
          <w:spacing w:val="-6"/>
          <w:sz w:val="18"/>
        </w:rPr>
        <w:t> </w:t>
      </w:r>
      <w:r>
        <w:rPr>
          <w:i/>
          <w:sz w:val="18"/>
        </w:rPr>
        <w:t>Yates</w:t>
      </w:r>
      <w:r>
        <w:rPr>
          <w:i/>
          <w:spacing w:val="-6"/>
          <w:sz w:val="18"/>
        </w:rPr>
        <w:t> </w:t>
      </w:r>
      <w:r>
        <w:rPr>
          <w:i/>
          <w:sz w:val="18"/>
        </w:rPr>
        <w:t>County</w:t>
      </w:r>
      <w:r>
        <w:rPr>
          <w:i/>
          <w:spacing w:val="-6"/>
          <w:sz w:val="18"/>
        </w:rPr>
        <w:t> </w:t>
      </w:r>
      <w:r>
        <w:rPr>
          <w:i/>
          <w:sz w:val="18"/>
        </w:rPr>
        <w:t>Chamber</w:t>
      </w:r>
      <w:r>
        <w:rPr>
          <w:i/>
          <w:spacing w:val="-6"/>
          <w:sz w:val="18"/>
        </w:rPr>
        <w:t> </w:t>
      </w:r>
      <w:r>
        <w:rPr>
          <w:i/>
          <w:sz w:val="18"/>
        </w:rPr>
        <w:t>of</w:t>
      </w:r>
      <w:r>
        <w:rPr>
          <w:i/>
          <w:spacing w:val="-5"/>
          <w:sz w:val="18"/>
        </w:rPr>
        <w:t> </w:t>
      </w:r>
      <w:r>
        <w:rPr>
          <w:i/>
          <w:spacing w:val="-2"/>
          <w:sz w:val="18"/>
        </w:rPr>
        <w:t>Commerce</w:t>
      </w:r>
    </w:p>
    <w:p>
      <w:pPr>
        <w:spacing w:after="0"/>
        <w:jc w:val="left"/>
        <w:rPr>
          <w:i/>
          <w:sz w:val="18"/>
        </w:rPr>
        <w:sectPr>
          <w:headerReference w:type="default" r:id="rId5"/>
          <w:footerReference w:type="default" r:id="rId6"/>
          <w:type w:val="continuous"/>
          <w:pgSz w:w="12240" w:h="15840"/>
          <w:pgMar w:header="161" w:footer="1223" w:top="1360" w:bottom="1420" w:left="0" w:right="0"/>
          <w:pgNumType w:start="67"/>
        </w:sectPr>
      </w:pPr>
    </w:p>
    <w:p>
      <w:pPr>
        <w:pStyle w:val="BodyText"/>
        <w:spacing w:before="46"/>
        <w:ind w:left="0"/>
        <w:rPr>
          <w:i/>
          <w:sz w:val="28"/>
        </w:rPr>
      </w:pPr>
    </w:p>
    <w:p>
      <w:pPr>
        <w:pStyle w:val="Heading1"/>
        <w:ind w:left="292" w:right="15"/>
        <w:jc w:val="center"/>
      </w:pPr>
      <w:r>
        <w:rPr/>
        <mc:AlternateContent>
          <mc:Choice Requires="wps">
            <w:drawing>
              <wp:anchor distT="0" distB="0" distL="0" distR="0" allowOverlap="1" layoutInCell="1" locked="0" behindDoc="1" simplePos="0" relativeHeight="486532096">
                <wp:simplePos x="0" y="0"/>
                <wp:positionH relativeFrom="page">
                  <wp:posOffset>-6095</wp:posOffset>
                </wp:positionH>
                <wp:positionV relativeFrom="paragraph">
                  <wp:posOffset>-58926</wp:posOffset>
                </wp:positionV>
                <wp:extent cx="7776845" cy="44069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776845" cy="440690"/>
                          <a:chExt cx="7776845" cy="440690"/>
                        </a:xfrm>
                      </wpg:grpSpPr>
                      <wps:wsp>
                        <wps:cNvPr id="19" name="Graphic 19"/>
                        <wps:cNvSpPr/>
                        <wps:spPr>
                          <a:xfrm>
                            <a:off x="6095" y="6223"/>
                            <a:ext cx="7764780" cy="428625"/>
                          </a:xfrm>
                          <a:custGeom>
                            <a:avLst/>
                            <a:gdLst/>
                            <a:ahLst/>
                            <a:cxnLst/>
                            <a:rect l="l" t="t" r="r" b="b"/>
                            <a:pathLst>
                              <a:path w="7764780" h="428625">
                                <a:moveTo>
                                  <a:pt x="3308477" y="380872"/>
                                </a:moveTo>
                                <a:lnTo>
                                  <a:pt x="1324355" y="380872"/>
                                </a:lnTo>
                                <a:lnTo>
                                  <a:pt x="2316352" y="428116"/>
                                </a:lnTo>
                                <a:lnTo>
                                  <a:pt x="3308477" y="380872"/>
                                </a:lnTo>
                                <a:close/>
                              </a:path>
                              <a:path w="7764780" h="428625">
                                <a:moveTo>
                                  <a:pt x="7764653" y="0"/>
                                </a:moveTo>
                                <a:lnTo>
                                  <a:pt x="0" y="0"/>
                                </a:lnTo>
                                <a:lnTo>
                                  <a:pt x="0" y="380872"/>
                                </a:lnTo>
                                <a:lnTo>
                                  <a:pt x="7764653" y="380872"/>
                                </a:lnTo>
                                <a:lnTo>
                                  <a:pt x="7764653" y="0"/>
                                </a:lnTo>
                                <a:close/>
                              </a:path>
                            </a:pathLst>
                          </a:custGeom>
                          <a:solidFill>
                            <a:srgbClr val="145F82"/>
                          </a:solidFill>
                        </wps:spPr>
                        <wps:bodyPr wrap="square" lIns="0" tIns="0" rIns="0" bIns="0" rtlCol="0">
                          <a:prstTxWarp prst="textNoShape">
                            <a:avLst/>
                          </a:prstTxWarp>
                          <a:noAutofit/>
                        </wps:bodyPr>
                      </wps:wsp>
                      <wps:wsp>
                        <wps:cNvPr id="20" name="Graphic 20"/>
                        <wps:cNvSpPr/>
                        <wps:spPr>
                          <a:xfrm>
                            <a:off x="6095" y="6095"/>
                            <a:ext cx="7764780" cy="428625"/>
                          </a:xfrm>
                          <a:custGeom>
                            <a:avLst/>
                            <a:gdLst/>
                            <a:ahLst/>
                            <a:cxnLst/>
                            <a:rect l="l" t="t" r="r" b="b"/>
                            <a:pathLst>
                              <a:path w="7764780" h="428625">
                                <a:moveTo>
                                  <a:pt x="7764653" y="381000"/>
                                </a:moveTo>
                                <a:lnTo>
                                  <a:pt x="3308477" y="381000"/>
                                </a:lnTo>
                                <a:lnTo>
                                  <a:pt x="2316352" y="428117"/>
                                </a:lnTo>
                                <a:lnTo>
                                  <a:pt x="1324355" y="381000"/>
                                </a:lnTo>
                                <a:lnTo>
                                  <a:pt x="0" y="381000"/>
                                </a:lnTo>
                                <a:lnTo>
                                  <a:pt x="0" y="316992"/>
                                </a:lnTo>
                                <a:lnTo>
                                  <a:pt x="0" y="222376"/>
                                </a:lnTo>
                                <a:lnTo>
                                  <a:pt x="0" y="0"/>
                                </a:lnTo>
                                <a:lnTo>
                                  <a:pt x="1324355" y="0"/>
                                </a:lnTo>
                                <a:lnTo>
                                  <a:pt x="3308477" y="0"/>
                                </a:lnTo>
                                <a:lnTo>
                                  <a:pt x="7764653" y="0"/>
                                </a:lnTo>
                              </a:path>
                            </a:pathLst>
                          </a:custGeom>
                          <a:ln w="12192">
                            <a:solidFill>
                              <a:srgbClr val="04233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4.639844pt;width:612.35pt;height:34.7pt;mso-position-horizontal-relative:page;mso-position-vertical-relative:paragraph;z-index:-16784384" id="docshapegroup12" coordorigin="-10,-93" coordsize="12247,694">
                <v:shape style="position:absolute;left:0;top:-83;width:12228;height:675" id="docshape13" coordorigin="0,-83" coordsize="12228,675" path="m5210,517l2086,517,3648,591,5210,517xm12228,-83l0,-83,0,517,12228,517,12228,-83xe" filled="true" fillcolor="#145f82" stroked="false">
                  <v:path arrowok="t"/>
                  <v:fill type="solid"/>
                </v:shape>
                <v:shape style="position:absolute;left:0;top:-84;width:12228;height:675" id="docshape14" coordorigin="0,-83" coordsize="12228,675" path="m12228,517l5210,517,3648,591,2086,517,0,517,0,416,0,267,0,-83,2086,-83,5210,-83,12228,-83e" filled="false" stroked="true" strokeweight=".96pt" strokecolor="#042332">
                  <v:path arrowok="t"/>
                  <v:stroke dashstyle="solid"/>
                </v:shape>
                <w10:wrap type="none"/>
              </v:group>
            </w:pict>
          </mc:Fallback>
        </mc:AlternateContent>
      </w:r>
      <w:r>
        <w:rPr>
          <w:color w:val="FFFFFF"/>
        </w:rPr>
        <w:t>Table</w:t>
      </w:r>
      <w:r>
        <w:rPr>
          <w:color w:val="FFFFFF"/>
          <w:spacing w:val="-13"/>
        </w:rPr>
        <w:t> </w:t>
      </w:r>
      <w:r>
        <w:rPr>
          <w:color w:val="FFFFFF"/>
        </w:rPr>
        <w:t>of</w:t>
      </w:r>
      <w:r>
        <w:rPr>
          <w:color w:val="FFFFFF"/>
          <w:spacing w:val="-12"/>
        </w:rPr>
        <w:t> </w:t>
      </w:r>
      <w:r>
        <w:rPr>
          <w:color w:val="FFFFFF"/>
          <w:spacing w:val="-2"/>
        </w:rPr>
        <w:t>Contents</w:t>
      </w:r>
    </w:p>
    <w:p>
      <w:pPr>
        <w:pStyle w:val="BodyText"/>
        <w:ind w:left="0"/>
        <w:rPr>
          <w:b/>
          <w:sz w:val="20"/>
        </w:rPr>
      </w:pPr>
    </w:p>
    <w:p>
      <w:pPr>
        <w:pStyle w:val="BodyText"/>
        <w:ind w:left="0"/>
        <w:rPr>
          <w:b/>
          <w:sz w:val="20"/>
        </w:rPr>
      </w:pPr>
    </w:p>
    <w:p>
      <w:pPr>
        <w:pStyle w:val="BodyText"/>
        <w:spacing w:before="121"/>
        <w:ind w:left="0"/>
        <w:rPr>
          <w:b/>
          <w:sz w:val="20"/>
        </w:rPr>
      </w:pPr>
    </w:p>
    <w:tbl>
      <w:tblPr>
        <w:tblW w:w="0" w:type="auto"/>
        <w:jc w:val="left"/>
        <w:tblInd w:w="1452" w:type="dxa"/>
        <w:tblBorders>
          <w:top w:val="single" w:sz="4" w:space="0" w:color="45AFE0"/>
          <w:left w:val="single" w:sz="4" w:space="0" w:color="45AFE0"/>
          <w:bottom w:val="single" w:sz="4" w:space="0" w:color="45AFE0"/>
          <w:right w:val="single" w:sz="4" w:space="0" w:color="45AFE0"/>
          <w:insideH w:val="single" w:sz="4" w:space="0" w:color="45AFE0"/>
          <w:insideV w:val="single" w:sz="4" w:space="0" w:color="45AFE0"/>
        </w:tblBorders>
        <w:tblLayout w:type="fixed"/>
        <w:tblCellMar>
          <w:top w:w="0" w:type="dxa"/>
          <w:left w:w="0" w:type="dxa"/>
          <w:bottom w:w="0" w:type="dxa"/>
          <w:right w:w="0" w:type="dxa"/>
        </w:tblCellMar>
        <w:tblLook w:val="01E0"/>
      </w:tblPr>
      <w:tblGrid>
        <w:gridCol w:w="8546"/>
        <w:gridCol w:w="988"/>
      </w:tblGrid>
      <w:tr>
        <w:trPr>
          <w:trHeight w:val="319" w:hRule="atLeast"/>
        </w:trPr>
        <w:tc>
          <w:tcPr>
            <w:tcW w:w="9534" w:type="dxa"/>
            <w:gridSpan w:val="2"/>
            <w:tcBorders>
              <w:top w:val="nil"/>
              <w:left w:val="nil"/>
              <w:bottom w:val="nil"/>
              <w:right w:val="nil"/>
            </w:tcBorders>
            <w:shd w:val="clear" w:color="auto" w:fill="145F82"/>
          </w:tcPr>
          <w:p>
            <w:pPr>
              <w:pStyle w:val="TableParagraph"/>
              <w:tabs>
                <w:tab w:pos="8881" w:val="right" w:leader="none"/>
              </w:tabs>
              <w:spacing w:line="240" w:lineRule="auto" w:before="9"/>
              <w:ind w:left="112"/>
              <w:rPr>
                <w:b/>
                <w:sz w:val="22"/>
              </w:rPr>
            </w:pPr>
            <w:r>
              <w:rPr>
                <w:b/>
                <w:color w:val="FFFFFF"/>
                <w:sz w:val="22"/>
              </w:rPr>
              <w:t>Execufive</w:t>
            </w:r>
            <w:r>
              <w:rPr>
                <w:b/>
                <w:color w:val="FFFFFF"/>
                <w:spacing w:val="-8"/>
                <w:sz w:val="22"/>
              </w:rPr>
              <w:t> </w:t>
            </w:r>
            <w:r>
              <w:rPr>
                <w:b/>
                <w:color w:val="FFFFFF"/>
                <w:spacing w:val="-2"/>
                <w:sz w:val="22"/>
              </w:rPr>
              <w:t>Summary</w:t>
            </w:r>
            <w:r>
              <w:rPr>
                <w:rFonts w:ascii="Times New Roman"/>
                <w:color w:val="FFFFFF"/>
                <w:sz w:val="22"/>
              </w:rPr>
              <w:tab/>
            </w:r>
            <w:r>
              <w:rPr>
                <w:b/>
                <w:color w:val="FFFFFF"/>
                <w:spacing w:val="-5"/>
                <w:sz w:val="22"/>
              </w:rPr>
              <w:t>69</w:t>
            </w:r>
          </w:p>
        </w:tc>
      </w:tr>
      <w:tr>
        <w:trPr>
          <w:trHeight w:val="299" w:hRule="atLeast"/>
        </w:trPr>
        <w:tc>
          <w:tcPr>
            <w:tcW w:w="8546" w:type="dxa"/>
            <w:tcBorders>
              <w:top w:val="nil"/>
            </w:tcBorders>
            <w:shd w:val="clear" w:color="auto" w:fill="C1E3F5"/>
          </w:tcPr>
          <w:p>
            <w:pPr>
              <w:pStyle w:val="TableParagraph"/>
              <w:rPr>
                <w:b/>
                <w:sz w:val="22"/>
              </w:rPr>
            </w:pPr>
            <w:r>
              <w:rPr>
                <w:b/>
                <w:sz w:val="22"/>
              </w:rPr>
              <w:t>Community</w:t>
            </w:r>
            <w:r>
              <w:rPr>
                <w:b/>
                <w:spacing w:val="-4"/>
                <w:sz w:val="22"/>
              </w:rPr>
              <w:t> </w:t>
            </w:r>
            <w:r>
              <w:rPr>
                <w:b/>
                <w:spacing w:val="-2"/>
                <w:sz w:val="22"/>
              </w:rPr>
              <w:t>Descripfion</w:t>
            </w:r>
          </w:p>
        </w:tc>
        <w:tc>
          <w:tcPr>
            <w:tcW w:w="988" w:type="dxa"/>
            <w:tcBorders>
              <w:top w:val="nil"/>
            </w:tcBorders>
            <w:shd w:val="clear" w:color="auto" w:fill="C1E3F5"/>
          </w:tcPr>
          <w:p>
            <w:pPr>
              <w:pStyle w:val="TableParagraph"/>
              <w:ind w:left="105"/>
              <w:rPr>
                <w:sz w:val="22"/>
              </w:rPr>
            </w:pPr>
            <w:r>
              <w:rPr>
                <w:spacing w:val="-5"/>
                <w:sz w:val="22"/>
              </w:rPr>
              <w:t>71</w:t>
            </w:r>
          </w:p>
        </w:tc>
      </w:tr>
      <w:tr>
        <w:trPr>
          <w:trHeight w:val="301" w:hRule="atLeast"/>
        </w:trPr>
        <w:tc>
          <w:tcPr>
            <w:tcW w:w="8546" w:type="dxa"/>
          </w:tcPr>
          <w:p>
            <w:pPr>
              <w:pStyle w:val="TableParagraph"/>
              <w:spacing w:line="267" w:lineRule="exact"/>
              <w:ind w:left="827"/>
              <w:rPr>
                <w:b/>
                <w:sz w:val="22"/>
              </w:rPr>
            </w:pPr>
            <w:r>
              <w:rPr>
                <w:b/>
                <w:sz w:val="22"/>
              </w:rPr>
              <w:t>Service</w:t>
            </w:r>
            <w:r>
              <w:rPr>
                <w:b/>
                <w:spacing w:val="-2"/>
                <w:sz w:val="22"/>
              </w:rPr>
              <w:t> </w:t>
            </w:r>
            <w:r>
              <w:rPr>
                <w:b/>
                <w:spacing w:val="-4"/>
                <w:sz w:val="22"/>
              </w:rPr>
              <w:t>Area</w:t>
            </w:r>
          </w:p>
        </w:tc>
        <w:tc>
          <w:tcPr>
            <w:tcW w:w="988" w:type="dxa"/>
          </w:tcPr>
          <w:p>
            <w:pPr>
              <w:pStyle w:val="TableParagraph"/>
              <w:spacing w:line="267" w:lineRule="exact"/>
              <w:ind w:left="105"/>
              <w:rPr>
                <w:sz w:val="22"/>
              </w:rPr>
            </w:pPr>
            <w:r>
              <w:rPr>
                <w:spacing w:val="-5"/>
                <w:sz w:val="22"/>
              </w:rPr>
              <w:t>71</w:t>
            </w:r>
          </w:p>
        </w:tc>
      </w:tr>
      <w:tr>
        <w:trPr>
          <w:trHeight w:val="299" w:hRule="atLeast"/>
        </w:trPr>
        <w:tc>
          <w:tcPr>
            <w:tcW w:w="8546" w:type="dxa"/>
            <w:shd w:val="clear" w:color="auto" w:fill="C1E3F5"/>
          </w:tcPr>
          <w:p>
            <w:pPr>
              <w:pStyle w:val="TableParagraph"/>
              <w:ind w:left="827"/>
              <w:rPr>
                <w:b/>
                <w:sz w:val="22"/>
              </w:rPr>
            </w:pPr>
            <w:r>
              <w:rPr>
                <w:b/>
                <w:sz w:val="22"/>
              </w:rPr>
              <w:t>Demographic</w:t>
            </w:r>
            <w:r>
              <w:rPr>
                <w:b/>
                <w:spacing w:val="-12"/>
                <w:sz w:val="22"/>
              </w:rPr>
              <w:t> </w:t>
            </w:r>
            <w:r>
              <w:rPr>
                <w:b/>
                <w:spacing w:val="-2"/>
                <w:sz w:val="22"/>
              </w:rPr>
              <w:t>Summary</w:t>
            </w:r>
          </w:p>
        </w:tc>
        <w:tc>
          <w:tcPr>
            <w:tcW w:w="988" w:type="dxa"/>
            <w:shd w:val="clear" w:color="auto" w:fill="C1E3F5"/>
          </w:tcPr>
          <w:p>
            <w:pPr>
              <w:pStyle w:val="TableParagraph"/>
              <w:ind w:left="105"/>
              <w:rPr>
                <w:sz w:val="22"/>
              </w:rPr>
            </w:pPr>
            <w:r>
              <w:rPr>
                <w:spacing w:val="-5"/>
                <w:sz w:val="22"/>
              </w:rPr>
              <w:t>71</w:t>
            </w:r>
          </w:p>
        </w:tc>
      </w:tr>
      <w:tr>
        <w:trPr>
          <w:trHeight w:val="299" w:hRule="atLeast"/>
        </w:trPr>
        <w:tc>
          <w:tcPr>
            <w:tcW w:w="8546" w:type="dxa"/>
          </w:tcPr>
          <w:p>
            <w:pPr>
              <w:pStyle w:val="TableParagraph"/>
              <w:rPr>
                <w:b/>
                <w:sz w:val="22"/>
              </w:rPr>
            </w:pPr>
            <w:r>
              <w:rPr>
                <w:b/>
                <w:sz w:val="22"/>
              </w:rPr>
              <w:t>Health</w:t>
            </w:r>
            <w:r>
              <w:rPr>
                <w:b/>
                <w:spacing w:val="-8"/>
                <w:sz w:val="22"/>
              </w:rPr>
              <w:t> </w:t>
            </w:r>
            <w:r>
              <w:rPr>
                <w:b/>
                <w:sz w:val="22"/>
              </w:rPr>
              <w:t>Status</w:t>
            </w:r>
            <w:r>
              <w:rPr>
                <w:b/>
                <w:spacing w:val="-5"/>
                <w:sz w:val="22"/>
              </w:rPr>
              <w:t> </w:t>
            </w:r>
            <w:r>
              <w:rPr>
                <w:b/>
                <w:spacing w:val="-2"/>
                <w:sz w:val="22"/>
              </w:rPr>
              <w:t>Descripfion</w:t>
            </w:r>
          </w:p>
        </w:tc>
        <w:tc>
          <w:tcPr>
            <w:tcW w:w="988" w:type="dxa"/>
          </w:tcPr>
          <w:p>
            <w:pPr>
              <w:pStyle w:val="TableParagraph"/>
              <w:ind w:left="105"/>
              <w:rPr>
                <w:sz w:val="22"/>
              </w:rPr>
            </w:pPr>
            <w:r>
              <w:rPr>
                <w:spacing w:val="-5"/>
                <w:sz w:val="22"/>
              </w:rPr>
              <w:t>76</w:t>
            </w:r>
          </w:p>
        </w:tc>
      </w:tr>
      <w:tr>
        <w:trPr>
          <w:trHeight w:val="299" w:hRule="atLeast"/>
        </w:trPr>
        <w:tc>
          <w:tcPr>
            <w:tcW w:w="8546" w:type="dxa"/>
            <w:shd w:val="clear" w:color="auto" w:fill="C1E3F5"/>
          </w:tcPr>
          <w:p>
            <w:pPr>
              <w:pStyle w:val="TableParagraph"/>
              <w:ind w:left="827"/>
              <w:rPr>
                <w:b/>
                <w:sz w:val="22"/>
              </w:rPr>
            </w:pPr>
            <w:r>
              <w:rPr>
                <w:b/>
                <w:sz w:val="22"/>
              </w:rPr>
              <w:t>Speciﬁc</w:t>
            </w:r>
            <w:r>
              <w:rPr>
                <w:b/>
                <w:spacing w:val="-3"/>
                <w:sz w:val="22"/>
              </w:rPr>
              <w:t> </w:t>
            </w:r>
            <w:r>
              <w:rPr>
                <w:b/>
                <w:spacing w:val="-2"/>
                <w:sz w:val="22"/>
              </w:rPr>
              <w:t>Methodology</w:t>
            </w:r>
          </w:p>
        </w:tc>
        <w:tc>
          <w:tcPr>
            <w:tcW w:w="988" w:type="dxa"/>
            <w:shd w:val="clear" w:color="auto" w:fill="C1E3F5"/>
          </w:tcPr>
          <w:p>
            <w:pPr>
              <w:pStyle w:val="TableParagraph"/>
              <w:ind w:left="105"/>
              <w:rPr>
                <w:sz w:val="22"/>
              </w:rPr>
            </w:pPr>
            <w:r>
              <w:rPr>
                <w:spacing w:val="-5"/>
                <w:sz w:val="22"/>
              </w:rPr>
              <w:t>76</w:t>
            </w:r>
          </w:p>
        </w:tc>
      </w:tr>
      <w:tr>
        <w:trPr>
          <w:trHeight w:val="299" w:hRule="atLeast"/>
        </w:trPr>
        <w:tc>
          <w:tcPr>
            <w:tcW w:w="8546" w:type="dxa"/>
          </w:tcPr>
          <w:p>
            <w:pPr>
              <w:pStyle w:val="TableParagraph"/>
              <w:ind w:left="827"/>
              <w:rPr>
                <w:b/>
                <w:sz w:val="22"/>
              </w:rPr>
            </w:pPr>
            <w:r>
              <w:rPr>
                <w:b/>
                <w:sz w:val="22"/>
              </w:rPr>
              <w:t>County</w:t>
            </w:r>
            <w:r>
              <w:rPr>
                <w:b/>
                <w:spacing w:val="-3"/>
                <w:sz w:val="22"/>
              </w:rPr>
              <w:t> </w:t>
            </w:r>
            <w:r>
              <w:rPr>
                <w:b/>
                <w:sz w:val="22"/>
              </w:rPr>
              <w:t>Health</w:t>
            </w:r>
            <w:r>
              <w:rPr>
                <w:b/>
                <w:spacing w:val="-6"/>
                <w:sz w:val="22"/>
              </w:rPr>
              <w:t> </w:t>
            </w:r>
            <w:r>
              <w:rPr>
                <w:b/>
                <w:spacing w:val="-2"/>
                <w:sz w:val="22"/>
              </w:rPr>
              <w:t>Rankings</w:t>
            </w:r>
          </w:p>
        </w:tc>
        <w:tc>
          <w:tcPr>
            <w:tcW w:w="988" w:type="dxa"/>
          </w:tcPr>
          <w:p>
            <w:pPr>
              <w:pStyle w:val="TableParagraph"/>
              <w:ind w:left="105"/>
              <w:rPr>
                <w:sz w:val="22"/>
              </w:rPr>
            </w:pPr>
            <w:r>
              <w:rPr>
                <w:spacing w:val="-5"/>
                <w:sz w:val="22"/>
              </w:rPr>
              <w:t>78</w:t>
            </w:r>
          </w:p>
        </w:tc>
      </w:tr>
      <w:tr>
        <w:trPr>
          <w:trHeight w:val="299" w:hRule="atLeast"/>
        </w:trPr>
        <w:tc>
          <w:tcPr>
            <w:tcW w:w="8546" w:type="dxa"/>
            <w:shd w:val="clear" w:color="auto" w:fill="C1E3F5"/>
          </w:tcPr>
          <w:p>
            <w:pPr>
              <w:pStyle w:val="TableParagraph"/>
              <w:ind w:left="827"/>
              <w:rPr>
                <w:b/>
                <w:sz w:val="22"/>
              </w:rPr>
            </w:pPr>
            <w:r>
              <w:rPr>
                <w:b/>
                <w:sz w:val="22"/>
              </w:rPr>
              <w:t>NYS</w:t>
            </w:r>
            <w:r>
              <w:rPr>
                <w:b/>
                <w:spacing w:val="-7"/>
                <w:sz w:val="22"/>
              </w:rPr>
              <w:t> </w:t>
            </w:r>
            <w:r>
              <w:rPr>
                <w:b/>
                <w:sz w:val="22"/>
              </w:rPr>
              <w:t>Prevenfion</w:t>
            </w:r>
            <w:r>
              <w:rPr>
                <w:b/>
                <w:spacing w:val="-7"/>
                <w:sz w:val="22"/>
              </w:rPr>
              <w:t> </w:t>
            </w:r>
            <w:r>
              <w:rPr>
                <w:b/>
                <w:spacing w:val="-2"/>
                <w:sz w:val="22"/>
              </w:rPr>
              <w:t>Agenda</w:t>
            </w:r>
          </w:p>
        </w:tc>
        <w:tc>
          <w:tcPr>
            <w:tcW w:w="988" w:type="dxa"/>
            <w:shd w:val="clear" w:color="auto" w:fill="C1E3F5"/>
          </w:tcPr>
          <w:p>
            <w:pPr>
              <w:pStyle w:val="TableParagraph"/>
              <w:ind w:left="105"/>
              <w:rPr>
                <w:sz w:val="22"/>
              </w:rPr>
            </w:pPr>
            <w:r>
              <w:rPr>
                <w:spacing w:val="-5"/>
                <w:sz w:val="22"/>
              </w:rPr>
              <w:t>79</w:t>
            </w:r>
          </w:p>
        </w:tc>
      </w:tr>
      <w:tr>
        <w:trPr>
          <w:trHeight w:val="301" w:hRule="atLeast"/>
        </w:trPr>
        <w:tc>
          <w:tcPr>
            <w:tcW w:w="8546" w:type="dxa"/>
          </w:tcPr>
          <w:p>
            <w:pPr>
              <w:pStyle w:val="TableParagraph"/>
              <w:spacing w:line="267" w:lineRule="exact"/>
              <w:rPr>
                <w:b/>
                <w:sz w:val="22"/>
              </w:rPr>
            </w:pPr>
            <w:r>
              <w:rPr>
                <w:b/>
                <w:sz w:val="22"/>
              </w:rPr>
              <w:t>Priority</w:t>
            </w:r>
            <w:r>
              <w:rPr>
                <w:b/>
                <w:spacing w:val="-6"/>
                <w:sz w:val="22"/>
              </w:rPr>
              <w:t> </w:t>
            </w:r>
            <w:r>
              <w:rPr>
                <w:b/>
                <w:spacing w:val="-2"/>
                <w:sz w:val="22"/>
              </w:rPr>
              <w:t>Areas</w:t>
            </w:r>
          </w:p>
        </w:tc>
        <w:tc>
          <w:tcPr>
            <w:tcW w:w="988" w:type="dxa"/>
          </w:tcPr>
          <w:p>
            <w:pPr>
              <w:pStyle w:val="TableParagraph"/>
              <w:spacing w:line="267" w:lineRule="exact"/>
              <w:ind w:left="105"/>
              <w:rPr>
                <w:sz w:val="22"/>
              </w:rPr>
            </w:pPr>
            <w:r>
              <w:rPr>
                <w:spacing w:val="-5"/>
                <w:sz w:val="22"/>
              </w:rPr>
              <w:t>103</w:t>
            </w:r>
          </w:p>
        </w:tc>
      </w:tr>
      <w:tr>
        <w:trPr>
          <w:trHeight w:val="299" w:hRule="atLeast"/>
        </w:trPr>
        <w:tc>
          <w:tcPr>
            <w:tcW w:w="8546" w:type="dxa"/>
            <w:shd w:val="clear" w:color="auto" w:fill="C1E3F5"/>
          </w:tcPr>
          <w:p>
            <w:pPr>
              <w:pStyle w:val="TableParagraph"/>
              <w:rPr>
                <w:b/>
                <w:sz w:val="22"/>
              </w:rPr>
            </w:pPr>
            <w:r>
              <w:rPr>
                <w:b/>
                <w:sz w:val="22"/>
              </w:rPr>
              <w:t>Community</w:t>
            </w:r>
            <w:r>
              <w:rPr>
                <w:b/>
                <w:spacing w:val="-6"/>
                <w:sz w:val="22"/>
              </w:rPr>
              <w:t> </w:t>
            </w:r>
            <w:r>
              <w:rPr>
                <w:b/>
                <w:sz w:val="22"/>
              </w:rPr>
              <w:t>Assets</w:t>
            </w:r>
            <w:r>
              <w:rPr>
                <w:b/>
                <w:spacing w:val="-4"/>
                <w:sz w:val="22"/>
              </w:rPr>
              <w:t> </w:t>
            </w:r>
            <w:r>
              <w:rPr>
                <w:b/>
                <w:sz w:val="22"/>
              </w:rPr>
              <w:t>and</w:t>
            </w:r>
            <w:r>
              <w:rPr>
                <w:b/>
                <w:spacing w:val="-5"/>
                <w:sz w:val="22"/>
              </w:rPr>
              <w:t> </w:t>
            </w:r>
            <w:r>
              <w:rPr>
                <w:b/>
                <w:spacing w:val="-2"/>
                <w:sz w:val="22"/>
              </w:rPr>
              <w:t>Resources</w:t>
            </w:r>
          </w:p>
        </w:tc>
        <w:tc>
          <w:tcPr>
            <w:tcW w:w="988" w:type="dxa"/>
            <w:shd w:val="clear" w:color="auto" w:fill="C1E3F5"/>
          </w:tcPr>
          <w:p>
            <w:pPr>
              <w:pStyle w:val="TableParagraph"/>
              <w:ind w:left="105"/>
              <w:rPr>
                <w:sz w:val="22"/>
              </w:rPr>
            </w:pPr>
            <w:r>
              <w:rPr>
                <w:spacing w:val="-5"/>
                <w:sz w:val="22"/>
              </w:rPr>
              <w:t>104</w:t>
            </w:r>
          </w:p>
        </w:tc>
      </w:tr>
      <w:tr>
        <w:trPr>
          <w:trHeight w:val="299" w:hRule="atLeast"/>
        </w:trPr>
        <w:tc>
          <w:tcPr>
            <w:tcW w:w="8546" w:type="dxa"/>
          </w:tcPr>
          <w:p>
            <w:pPr>
              <w:pStyle w:val="TableParagraph"/>
              <w:rPr>
                <w:b/>
                <w:sz w:val="22"/>
              </w:rPr>
            </w:pPr>
            <w:r>
              <w:rPr>
                <w:b/>
                <w:sz w:val="22"/>
              </w:rPr>
              <w:t>Appendix</w:t>
            </w:r>
            <w:r>
              <w:rPr>
                <w:b/>
                <w:spacing w:val="-6"/>
                <w:sz w:val="22"/>
              </w:rPr>
              <w:t> </w:t>
            </w:r>
            <w:r>
              <w:rPr>
                <w:b/>
                <w:sz w:val="22"/>
              </w:rPr>
              <w:t>1:</w:t>
            </w:r>
            <w:r>
              <w:rPr>
                <w:b/>
                <w:spacing w:val="-6"/>
                <w:sz w:val="22"/>
              </w:rPr>
              <w:t> </w:t>
            </w:r>
            <w:r>
              <w:rPr>
                <w:b/>
                <w:sz w:val="22"/>
              </w:rPr>
              <w:t>Parficipafing</w:t>
            </w:r>
            <w:r>
              <w:rPr>
                <w:b/>
                <w:spacing w:val="-6"/>
                <w:sz w:val="22"/>
              </w:rPr>
              <w:t> </w:t>
            </w:r>
            <w:r>
              <w:rPr>
                <w:b/>
                <w:sz w:val="22"/>
              </w:rPr>
              <w:t>Partners</w:t>
            </w:r>
            <w:r>
              <w:rPr>
                <w:b/>
                <w:spacing w:val="-4"/>
                <w:sz w:val="22"/>
              </w:rPr>
              <w:t> </w:t>
            </w:r>
            <w:r>
              <w:rPr>
                <w:b/>
                <w:sz w:val="22"/>
              </w:rPr>
              <w:t>and</w:t>
            </w:r>
            <w:r>
              <w:rPr>
                <w:b/>
                <w:spacing w:val="-5"/>
                <w:sz w:val="22"/>
              </w:rPr>
              <w:t> </w:t>
            </w:r>
            <w:r>
              <w:rPr>
                <w:b/>
                <w:sz w:val="22"/>
              </w:rPr>
              <w:t>Community</w:t>
            </w:r>
            <w:r>
              <w:rPr>
                <w:b/>
                <w:spacing w:val="-6"/>
                <w:sz w:val="22"/>
              </w:rPr>
              <w:t> </w:t>
            </w:r>
            <w:r>
              <w:rPr>
                <w:b/>
                <w:spacing w:val="-2"/>
                <w:sz w:val="22"/>
              </w:rPr>
              <w:t>Representafion</w:t>
            </w:r>
          </w:p>
        </w:tc>
        <w:tc>
          <w:tcPr>
            <w:tcW w:w="988" w:type="dxa"/>
          </w:tcPr>
          <w:p>
            <w:pPr>
              <w:pStyle w:val="TableParagraph"/>
              <w:ind w:left="105"/>
              <w:rPr>
                <w:sz w:val="22"/>
              </w:rPr>
            </w:pPr>
            <w:r>
              <w:rPr>
                <w:spacing w:val="-5"/>
                <w:sz w:val="22"/>
              </w:rPr>
              <w:t>107</w:t>
            </w:r>
          </w:p>
        </w:tc>
      </w:tr>
      <w:tr>
        <w:trPr>
          <w:trHeight w:val="299" w:hRule="atLeast"/>
        </w:trPr>
        <w:tc>
          <w:tcPr>
            <w:tcW w:w="8546" w:type="dxa"/>
            <w:shd w:val="clear" w:color="auto" w:fill="145F82"/>
          </w:tcPr>
          <w:p>
            <w:pPr>
              <w:pStyle w:val="TableParagraph"/>
              <w:rPr>
                <w:b/>
                <w:sz w:val="22"/>
              </w:rPr>
            </w:pPr>
            <w:r>
              <w:rPr>
                <w:b/>
                <w:color w:val="FFFFFF"/>
                <w:sz w:val="22"/>
              </w:rPr>
              <w:t>List</w:t>
            </w:r>
            <w:r>
              <w:rPr>
                <w:b/>
                <w:color w:val="FFFFFF"/>
                <w:spacing w:val="-4"/>
                <w:sz w:val="22"/>
              </w:rPr>
              <w:t> </w:t>
            </w:r>
            <w:r>
              <w:rPr>
                <w:b/>
                <w:color w:val="FFFFFF"/>
                <w:sz w:val="22"/>
              </w:rPr>
              <w:t>of</w:t>
            </w:r>
            <w:r>
              <w:rPr>
                <w:b/>
                <w:color w:val="FFFFFF"/>
                <w:spacing w:val="-2"/>
                <w:sz w:val="22"/>
              </w:rPr>
              <w:t> Tables:</w:t>
            </w:r>
          </w:p>
        </w:tc>
        <w:tc>
          <w:tcPr>
            <w:tcW w:w="988" w:type="dxa"/>
            <w:shd w:val="clear" w:color="auto" w:fill="145F82"/>
          </w:tcPr>
          <w:p>
            <w:pPr>
              <w:pStyle w:val="TableParagraph"/>
              <w:spacing w:line="240" w:lineRule="auto"/>
              <w:ind w:left="0"/>
              <w:rPr>
                <w:rFonts w:ascii="Times New Roman"/>
                <w:sz w:val="22"/>
              </w:rPr>
            </w:pPr>
          </w:p>
        </w:tc>
      </w:tr>
      <w:tr>
        <w:trPr>
          <w:trHeight w:val="299" w:hRule="atLeast"/>
        </w:trPr>
        <w:tc>
          <w:tcPr>
            <w:tcW w:w="8546" w:type="dxa"/>
          </w:tcPr>
          <w:p>
            <w:pPr>
              <w:pStyle w:val="TableParagraph"/>
              <w:ind w:left="827"/>
              <w:rPr>
                <w:b/>
                <w:sz w:val="22"/>
              </w:rPr>
            </w:pPr>
            <w:r>
              <w:rPr>
                <w:b/>
                <w:sz w:val="22"/>
              </w:rPr>
              <w:t>Table</w:t>
            </w:r>
            <w:r>
              <w:rPr>
                <w:b/>
                <w:spacing w:val="-7"/>
                <w:sz w:val="22"/>
              </w:rPr>
              <w:t> </w:t>
            </w:r>
            <w:r>
              <w:rPr>
                <w:b/>
                <w:sz w:val="22"/>
              </w:rPr>
              <w:t>Y1:</w:t>
            </w:r>
            <w:r>
              <w:rPr>
                <w:b/>
                <w:spacing w:val="-7"/>
                <w:sz w:val="22"/>
              </w:rPr>
              <w:t> </w:t>
            </w:r>
            <w:r>
              <w:rPr>
                <w:b/>
                <w:sz w:val="22"/>
              </w:rPr>
              <w:t>Causes</w:t>
            </w:r>
            <w:r>
              <w:rPr>
                <w:b/>
                <w:spacing w:val="-8"/>
                <w:sz w:val="22"/>
              </w:rPr>
              <w:t> </w:t>
            </w:r>
            <w:r>
              <w:rPr>
                <w:b/>
                <w:sz w:val="22"/>
              </w:rPr>
              <w:t>of</w:t>
            </w:r>
            <w:r>
              <w:rPr>
                <w:b/>
                <w:spacing w:val="-6"/>
                <w:sz w:val="22"/>
              </w:rPr>
              <w:t> </w:t>
            </w:r>
            <w:r>
              <w:rPr>
                <w:b/>
                <w:spacing w:val="-4"/>
                <w:sz w:val="22"/>
              </w:rPr>
              <w:t>Death</w:t>
            </w:r>
          </w:p>
        </w:tc>
        <w:tc>
          <w:tcPr>
            <w:tcW w:w="988" w:type="dxa"/>
          </w:tcPr>
          <w:p>
            <w:pPr>
              <w:pStyle w:val="TableParagraph"/>
              <w:ind w:left="105"/>
              <w:rPr>
                <w:sz w:val="22"/>
              </w:rPr>
            </w:pPr>
            <w:r>
              <w:rPr>
                <w:spacing w:val="-5"/>
                <w:sz w:val="22"/>
              </w:rPr>
              <w:t>75</w:t>
            </w:r>
          </w:p>
        </w:tc>
      </w:tr>
      <w:tr>
        <w:trPr>
          <w:trHeight w:val="299" w:hRule="atLeast"/>
        </w:trPr>
        <w:tc>
          <w:tcPr>
            <w:tcW w:w="8546" w:type="dxa"/>
            <w:shd w:val="clear" w:color="auto" w:fill="C1E3F5"/>
          </w:tcPr>
          <w:p>
            <w:pPr>
              <w:pStyle w:val="TableParagraph"/>
              <w:ind w:left="827"/>
              <w:rPr>
                <w:b/>
                <w:sz w:val="22"/>
              </w:rPr>
            </w:pPr>
            <w:r>
              <w:rPr>
                <w:b/>
                <w:sz w:val="22"/>
              </w:rPr>
              <w:t>Table</w:t>
            </w:r>
            <w:r>
              <w:rPr>
                <w:b/>
                <w:spacing w:val="-7"/>
                <w:sz w:val="22"/>
              </w:rPr>
              <w:t> </w:t>
            </w:r>
            <w:r>
              <w:rPr>
                <w:b/>
                <w:sz w:val="22"/>
              </w:rPr>
              <w:t>Y2:</w:t>
            </w:r>
            <w:r>
              <w:rPr>
                <w:b/>
                <w:spacing w:val="-8"/>
                <w:sz w:val="22"/>
              </w:rPr>
              <w:t> </w:t>
            </w:r>
            <w:r>
              <w:rPr>
                <w:b/>
                <w:sz w:val="22"/>
              </w:rPr>
              <w:t>NYS</w:t>
            </w:r>
            <w:r>
              <w:rPr>
                <w:b/>
                <w:spacing w:val="-7"/>
                <w:sz w:val="22"/>
              </w:rPr>
              <w:t> </w:t>
            </w:r>
            <w:r>
              <w:rPr>
                <w:b/>
                <w:sz w:val="22"/>
              </w:rPr>
              <w:t>Prevenfion</w:t>
            </w:r>
            <w:r>
              <w:rPr>
                <w:b/>
                <w:spacing w:val="-10"/>
                <w:sz w:val="22"/>
              </w:rPr>
              <w:t> </w:t>
            </w:r>
            <w:r>
              <w:rPr>
                <w:b/>
                <w:sz w:val="22"/>
              </w:rPr>
              <w:t>Agenda</w:t>
            </w:r>
            <w:r>
              <w:rPr>
                <w:b/>
                <w:spacing w:val="-7"/>
                <w:sz w:val="22"/>
              </w:rPr>
              <w:t> </w:t>
            </w:r>
            <w:r>
              <w:rPr>
                <w:b/>
                <w:sz w:val="22"/>
              </w:rPr>
              <w:t>2025-2030</w:t>
            </w:r>
            <w:r>
              <w:rPr>
                <w:b/>
                <w:spacing w:val="-6"/>
                <w:sz w:val="22"/>
              </w:rPr>
              <w:t> </w:t>
            </w:r>
            <w:r>
              <w:rPr>
                <w:b/>
                <w:sz w:val="22"/>
              </w:rPr>
              <w:t>Domains</w:t>
            </w:r>
            <w:r>
              <w:rPr>
                <w:b/>
                <w:spacing w:val="-6"/>
                <w:sz w:val="22"/>
              </w:rPr>
              <w:t> </w:t>
            </w:r>
            <w:r>
              <w:rPr>
                <w:b/>
                <w:sz w:val="22"/>
              </w:rPr>
              <w:t>and</w:t>
            </w:r>
            <w:r>
              <w:rPr>
                <w:b/>
                <w:spacing w:val="-7"/>
                <w:sz w:val="22"/>
              </w:rPr>
              <w:t> </w:t>
            </w:r>
            <w:r>
              <w:rPr>
                <w:b/>
                <w:spacing w:val="-2"/>
                <w:sz w:val="22"/>
              </w:rPr>
              <w:t>Priorifies</w:t>
            </w:r>
          </w:p>
        </w:tc>
        <w:tc>
          <w:tcPr>
            <w:tcW w:w="988" w:type="dxa"/>
            <w:shd w:val="clear" w:color="auto" w:fill="C1E3F5"/>
          </w:tcPr>
          <w:p>
            <w:pPr>
              <w:pStyle w:val="TableParagraph"/>
              <w:ind w:left="105"/>
              <w:rPr>
                <w:sz w:val="22"/>
              </w:rPr>
            </w:pPr>
            <w:r>
              <w:rPr>
                <w:spacing w:val="-5"/>
                <w:sz w:val="22"/>
              </w:rPr>
              <w:t>79</w:t>
            </w:r>
          </w:p>
        </w:tc>
      </w:tr>
      <w:tr>
        <w:trPr>
          <w:trHeight w:val="301" w:hRule="atLeast"/>
        </w:trPr>
        <w:tc>
          <w:tcPr>
            <w:tcW w:w="8546" w:type="dxa"/>
          </w:tcPr>
          <w:p>
            <w:pPr>
              <w:pStyle w:val="TableParagraph"/>
              <w:spacing w:line="267" w:lineRule="exact"/>
              <w:ind w:left="827"/>
              <w:rPr>
                <w:b/>
                <w:sz w:val="22"/>
              </w:rPr>
            </w:pPr>
            <w:r>
              <w:rPr>
                <w:b/>
                <w:sz w:val="22"/>
              </w:rPr>
              <w:t>Table</w:t>
            </w:r>
            <w:r>
              <w:rPr>
                <w:b/>
                <w:spacing w:val="-8"/>
                <w:sz w:val="22"/>
              </w:rPr>
              <w:t> </w:t>
            </w:r>
            <w:r>
              <w:rPr>
                <w:b/>
                <w:sz w:val="22"/>
              </w:rPr>
              <w:t>Y3:</w:t>
            </w:r>
            <w:r>
              <w:rPr>
                <w:b/>
                <w:spacing w:val="-8"/>
                <w:sz w:val="22"/>
              </w:rPr>
              <w:t> </w:t>
            </w:r>
            <w:r>
              <w:rPr>
                <w:b/>
                <w:sz w:val="22"/>
              </w:rPr>
              <w:t>Rates</w:t>
            </w:r>
            <w:r>
              <w:rPr>
                <w:b/>
                <w:spacing w:val="-6"/>
                <w:sz w:val="22"/>
              </w:rPr>
              <w:t> </w:t>
            </w:r>
            <w:r>
              <w:rPr>
                <w:b/>
                <w:sz w:val="22"/>
              </w:rPr>
              <w:t>of</w:t>
            </w:r>
            <w:r>
              <w:rPr>
                <w:b/>
                <w:spacing w:val="-9"/>
                <w:sz w:val="22"/>
              </w:rPr>
              <w:t> </w:t>
            </w:r>
            <w:r>
              <w:rPr>
                <w:b/>
                <w:sz w:val="22"/>
              </w:rPr>
              <w:t>Age-Adjusted</w:t>
            </w:r>
            <w:r>
              <w:rPr>
                <w:b/>
                <w:spacing w:val="-8"/>
                <w:sz w:val="22"/>
              </w:rPr>
              <w:t> </w:t>
            </w:r>
            <w:r>
              <w:rPr>
                <w:b/>
                <w:sz w:val="22"/>
              </w:rPr>
              <w:t>Causes</w:t>
            </w:r>
            <w:r>
              <w:rPr>
                <w:b/>
                <w:spacing w:val="-8"/>
                <w:sz w:val="22"/>
              </w:rPr>
              <w:t> </w:t>
            </w:r>
            <w:r>
              <w:rPr>
                <w:b/>
                <w:sz w:val="22"/>
              </w:rPr>
              <w:t>of</w:t>
            </w:r>
            <w:r>
              <w:rPr>
                <w:b/>
                <w:spacing w:val="-7"/>
                <w:sz w:val="22"/>
              </w:rPr>
              <w:t> </w:t>
            </w:r>
            <w:r>
              <w:rPr>
                <w:b/>
                <w:spacing w:val="-4"/>
                <w:sz w:val="22"/>
              </w:rPr>
              <w:t>Death</w:t>
            </w:r>
          </w:p>
        </w:tc>
        <w:tc>
          <w:tcPr>
            <w:tcW w:w="988" w:type="dxa"/>
          </w:tcPr>
          <w:p>
            <w:pPr>
              <w:pStyle w:val="TableParagraph"/>
              <w:spacing w:line="267" w:lineRule="exact"/>
              <w:ind w:left="105"/>
              <w:rPr>
                <w:sz w:val="22"/>
              </w:rPr>
            </w:pPr>
            <w:r>
              <w:rPr>
                <w:spacing w:val="-5"/>
                <w:sz w:val="22"/>
              </w:rPr>
              <w:t>93</w:t>
            </w:r>
          </w:p>
        </w:tc>
      </w:tr>
      <w:tr>
        <w:trPr>
          <w:trHeight w:val="299" w:hRule="atLeast"/>
        </w:trPr>
        <w:tc>
          <w:tcPr>
            <w:tcW w:w="8546" w:type="dxa"/>
            <w:shd w:val="clear" w:color="auto" w:fill="C1E3F5"/>
          </w:tcPr>
          <w:p>
            <w:pPr>
              <w:pStyle w:val="TableParagraph"/>
              <w:ind w:left="827"/>
              <w:rPr>
                <w:b/>
                <w:sz w:val="22"/>
              </w:rPr>
            </w:pPr>
            <w:r>
              <w:rPr>
                <w:b/>
                <w:sz w:val="22"/>
              </w:rPr>
              <w:t>Table</w:t>
            </w:r>
            <w:r>
              <w:rPr>
                <w:b/>
                <w:spacing w:val="-10"/>
                <w:sz w:val="22"/>
              </w:rPr>
              <w:t> </w:t>
            </w:r>
            <w:r>
              <w:rPr>
                <w:b/>
                <w:sz w:val="22"/>
              </w:rPr>
              <w:t>Y4:</w:t>
            </w:r>
            <w:r>
              <w:rPr>
                <w:b/>
                <w:spacing w:val="-11"/>
                <w:sz w:val="22"/>
              </w:rPr>
              <w:t> </w:t>
            </w:r>
            <w:r>
              <w:rPr>
                <w:b/>
                <w:sz w:val="22"/>
              </w:rPr>
              <w:t>Emergency</w:t>
            </w:r>
            <w:r>
              <w:rPr>
                <w:b/>
                <w:spacing w:val="-11"/>
                <w:sz w:val="22"/>
              </w:rPr>
              <w:t> </w:t>
            </w:r>
            <w:r>
              <w:rPr>
                <w:b/>
                <w:sz w:val="22"/>
              </w:rPr>
              <w:t>Department</w:t>
            </w:r>
            <w:r>
              <w:rPr>
                <w:b/>
                <w:spacing w:val="-9"/>
                <w:sz w:val="22"/>
              </w:rPr>
              <w:t> </w:t>
            </w:r>
            <w:r>
              <w:rPr>
                <w:b/>
                <w:spacing w:val="-2"/>
                <w:sz w:val="22"/>
              </w:rPr>
              <w:t>Visits</w:t>
            </w:r>
          </w:p>
        </w:tc>
        <w:tc>
          <w:tcPr>
            <w:tcW w:w="988" w:type="dxa"/>
            <w:shd w:val="clear" w:color="auto" w:fill="C1E3F5"/>
          </w:tcPr>
          <w:p>
            <w:pPr>
              <w:pStyle w:val="TableParagraph"/>
              <w:ind w:left="105"/>
              <w:rPr>
                <w:sz w:val="22"/>
              </w:rPr>
            </w:pPr>
            <w:r>
              <w:rPr>
                <w:spacing w:val="-5"/>
                <w:sz w:val="22"/>
              </w:rPr>
              <w:t>95</w:t>
            </w:r>
          </w:p>
        </w:tc>
      </w:tr>
      <w:tr>
        <w:trPr>
          <w:trHeight w:val="299" w:hRule="atLeast"/>
        </w:trPr>
        <w:tc>
          <w:tcPr>
            <w:tcW w:w="8546" w:type="dxa"/>
          </w:tcPr>
          <w:p>
            <w:pPr>
              <w:pStyle w:val="TableParagraph"/>
              <w:ind w:left="827"/>
              <w:rPr>
                <w:b/>
                <w:sz w:val="22"/>
              </w:rPr>
            </w:pPr>
            <w:r>
              <w:rPr>
                <w:b/>
                <w:sz w:val="22"/>
              </w:rPr>
              <w:t>Table</w:t>
            </w:r>
            <w:r>
              <w:rPr>
                <w:b/>
                <w:spacing w:val="-11"/>
                <w:sz w:val="22"/>
              </w:rPr>
              <w:t> </w:t>
            </w:r>
            <w:r>
              <w:rPr>
                <w:b/>
                <w:sz w:val="22"/>
              </w:rPr>
              <w:t>Y5:</w:t>
            </w:r>
            <w:r>
              <w:rPr>
                <w:b/>
                <w:spacing w:val="-11"/>
                <w:sz w:val="22"/>
              </w:rPr>
              <w:t> </w:t>
            </w:r>
            <w:r>
              <w:rPr>
                <w:b/>
                <w:sz w:val="22"/>
              </w:rPr>
              <w:t>4:3:1:3:3:1:4</w:t>
            </w:r>
            <w:r>
              <w:rPr>
                <w:b/>
                <w:spacing w:val="-9"/>
                <w:sz w:val="22"/>
              </w:rPr>
              <w:t> </w:t>
            </w:r>
            <w:r>
              <w:rPr>
                <w:b/>
                <w:spacing w:val="-2"/>
                <w:sz w:val="22"/>
              </w:rPr>
              <w:t>Schedule</w:t>
            </w:r>
          </w:p>
        </w:tc>
        <w:tc>
          <w:tcPr>
            <w:tcW w:w="988" w:type="dxa"/>
          </w:tcPr>
          <w:p>
            <w:pPr>
              <w:pStyle w:val="TableParagraph"/>
              <w:ind w:left="105"/>
              <w:rPr>
                <w:sz w:val="22"/>
              </w:rPr>
            </w:pPr>
            <w:r>
              <w:rPr>
                <w:spacing w:val="-5"/>
                <w:sz w:val="22"/>
              </w:rPr>
              <w:t>99</w:t>
            </w:r>
          </w:p>
        </w:tc>
      </w:tr>
      <w:tr>
        <w:trPr>
          <w:trHeight w:val="299" w:hRule="atLeast"/>
        </w:trPr>
        <w:tc>
          <w:tcPr>
            <w:tcW w:w="8546" w:type="dxa"/>
            <w:shd w:val="clear" w:color="auto" w:fill="C1E3F5"/>
          </w:tcPr>
          <w:p>
            <w:pPr>
              <w:pStyle w:val="TableParagraph"/>
              <w:ind w:left="827"/>
              <w:rPr>
                <w:b/>
                <w:sz w:val="22"/>
              </w:rPr>
            </w:pPr>
            <w:r>
              <w:rPr>
                <w:b/>
                <w:sz w:val="22"/>
              </w:rPr>
              <w:t>Table</w:t>
            </w:r>
            <w:r>
              <w:rPr>
                <w:b/>
                <w:spacing w:val="-10"/>
                <w:sz w:val="22"/>
              </w:rPr>
              <w:t> </w:t>
            </w:r>
            <w:r>
              <w:rPr>
                <w:b/>
                <w:sz w:val="22"/>
              </w:rPr>
              <w:t>Y6:</w:t>
            </w:r>
            <w:r>
              <w:rPr>
                <w:b/>
                <w:spacing w:val="-10"/>
                <w:sz w:val="22"/>
              </w:rPr>
              <w:t> </w:t>
            </w:r>
            <w:r>
              <w:rPr>
                <w:b/>
                <w:sz w:val="22"/>
              </w:rPr>
              <w:t>Enrolled</w:t>
            </w:r>
            <w:r>
              <w:rPr>
                <w:b/>
                <w:spacing w:val="-10"/>
                <w:sz w:val="22"/>
              </w:rPr>
              <w:t> </w:t>
            </w:r>
            <w:r>
              <w:rPr>
                <w:b/>
                <w:sz w:val="22"/>
              </w:rPr>
              <w:t>School-Age</w:t>
            </w:r>
            <w:r>
              <w:rPr>
                <w:b/>
                <w:spacing w:val="-11"/>
                <w:sz w:val="22"/>
              </w:rPr>
              <w:t> </w:t>
            </w:r>
            <w:r>
              <w:rPr>
                <w:b/>
                <w:spacing w:val="-2"/>
                <w:sz w:val="22"/>
              </w:rPr>
              <w:t>Populafion</w:t>
            </w:r>
          </w:p>
        </w:tc>
        <w:tc>
          <w:tcPr>
            <w:tcW w:w="988" w:type="dxa"/>
            <w:shd w:val="clear" w:color="auto" w:fill="C1E3F5"/>
          </w:tcPr>
          <w:p>
            <w:pPr>
              <w:pStyle w:val="TableParagraph"/>
              <w:ind w:left="105"/>
              <w:rPr>
                <w:sz w:val="22"/>
              </w:rPr>
            </w:pPr>
            <w:r>
              <w:rPr>
                <w:spacing w:val="-5"/>
                <w:sz w:val="22"/>
              </w:rPr>
              <w:t>101</w:t>
            </w:r>
          </w:p>
        </w:tc>
      </w:tr>
      <w:tr>
        <w:trPr>
          <w:trHeight w:val="299" w:hRule="atLeast"/>
        </w:trPr>
        <w:tc>
          <w:tcPr>
            <w:tcW w:w="8546" w:type="dxa"/>
          </w:tcPr>
          <w:p>
            <w:pPr>
              <w:pStyle w:val="TableParagraph"/>
              <w:ind w:left="827"/>
              <w:rPr>
                <w:b/>
                <w:sz w:val="22"/>
              </w:rPr>
            </w:pPr>
            <w:r>
              <w:rPr>
                <w:b/>
                <w:sz w:val="22"/>
              </w:rPr>
              <w:t>Table</w:t>
            </w:r>
            <w:r>
              <w:rPr>
                <w:b/>
                <w:spacing w:val="-10"/>
                <w:sz w:val="22"/>
              </w:rPr>
              <w:t> </w:t>
            </w:r>
            <w:r>
              <w:rPr>
                <w:b/>
                <w:sz w:val="22"/>
              </w:rPr>
              <w:t>Y7:</w:t>
            </w:r>
            <w:r>
              <w:rPr>
                <w:b/>
                <w:spacing w:val="-8"/>
                <w:sz w:val="22"/>
              </w:rPr>
              <w:t> </w:t>
            </w:r>
            <w:r>
              <w:rPr>
                <w:b/>
                <w:sz w:val="22"/>
              </w:rPr>
              <w:t>County</w:t>
            </w:r>
            <w:r>
              <w:rPr>
                <w:b/>
                <w:spacing w:val="-8"/>
                <w:sz w:val="22"/>
              </w:rPr>
              <w:t> </w:t>
            </w:r>
            <w:r>
              <w:rPr>
                <w:b/>
                <w:sz w:val="22"/>
              </w:rPr>
              <w:t>Resources</w:t>
            </w:r>
            <w:r>
              <w:rPr>
                <w:b/>
                <w:spacing w:val="-7"/>
                <w:sz w:val="22"/>
              </w:rPr>
              <w:t> </w:t>
            </w:r>
            <w:r>
              <w:rPr>
                <w:b/>
                <w:sz w:val="22"/>
              </w:rPr>
              <w:t>to</w:t>
            </w:r>
            <w:r>
              <w:rPr>
                <w:b/>
                <w:spacing w:val="-8"/>
                <w:sz w:val="22"/>
              </w:rPr>
              <w:t> </w:t>
            </w:r>
            <w:r>
              <w:rPr>
                <w:b/>
                <w:sz w:val="22"/>
              </w:rPr>
              <w:t>Accomplish</w:t>
            </w:r>
            <w:r>
              <w:rPr>
                <w:b/>
                <w:spacing w:val="-10"/>
                <w:sz w:val="22"/>
              </w:rPr>
              <w:t> </w:t>
            </w:r>
            <w:r>
              <w:rPr>
                <w:b/>
                <w:sz w:val="22"/>
              </w:rPr>
              <w:t>CHA/CHIP</w:t>
            </w:r>
            <w:r>
              <w:rPr>
                <w:b/>
                <w:spacing w:val="-9"/>
                <w:sz w:val="22"/>
              </w:rPr>
              <w:t> </w:t>
            </w:r>
            <w:r>
              <w:rPr>
                <w:b/>
                <w:spacing w:val="-2"/>
                <w:sz w:val="22"/>
              </w:rPr>
              <w:t>Goals</w:t>
            </w:r>
          </w:p>
        </w:tc>
        <w:tc>
          <w:tcPr>
            <w:tcW w:w="988" w:type="dxa"/>
          </w:tcPr>
          <w:p>
            <w:pPr>
              <w:pStyle w:val="TableParagraph"/>
              <w:ind w:left="105"/>
              <w:rPr>
                <w:sz w:val="22"/>
              </w:rPr>
            </w:pPr>
            <w:r>
              <w:rPr>
                <w:spacing w:val="-5"/>
                <w:sz w:val="22"/>
              </w:rPr>
              <w:t>105</w:t>
            </w:r>
          </w:p>
        </w:tc>
      </w:tr>
      <w:tr>
        <w:trPr>
          <w:trHeight w:val="299" w:hRule="atLeast"/>
        </w:trPr>
        <w:tc>
          <w:tcPr>
            <w:tcW w:w="8546" w:type="dxa"/>
            <w:shd w:val="clear" w:color="auto" w:fill="145F82"/>
          </w:tcPr>
          <w:p>
            <w:pPr>
              <w:pStyle w:val="TableParagraph"/>
              <w:rPr>
                <w:b/>
                <w:sz w:val="22"/>
              </w:rPr>
            </w:pPr>
            <w:r>
              <w:rPr>
                <w:b/>
                <w:color w:val="FFFFFF"/>
                <w:sz w:val="22"/>
              </w:rPr>
              <w:t>List</w:t>
            </w:r>
            <w:r>
              <w:rPr>
                <w:b/>
                <w:color w:val="FFFFFF"/>
                <w:spacing w:val="-4"/>
                <w:sz w:val="22"/>
              </w:rPr>
              <w:t> </w:t>
            </w:r>
            <w:r>
              <w:rPr>
                <w:b/>
                <w:color w:val="FFFFFF"/>
                <w:sz w:val="22"/>
              </w:rPr>
              <w:t>of</w:t>
            </w:r>
            <w:r>
              <w:rPr>
                <w:b/>
                <w:color w:val="FFFFFF"/>
                <w:spacing w:val="-2"/>
                <w:sz w:val="22"/>
              </w:rPr>
              <w:t> Maps:</w:t>
            </w:r>
          </w:p>
        </w:tc>
        <w:tc>
          <w:tcPr>
            <w:tcW w:w="988" w:type="dxa"/>
            <w:shd w:val="clear" w:color="auto" w:fill="145F82"/>
          </w:tcPr>
          <w:p>
            <w:pPr>
              <w:pStyle w:val="TableParagraph"/>
              <w:spacing w:line="240" w:lineRule="auto"/>
              <w:ind w:left="0"/>
              <w:rPr>
                <w:rFonts w:ascii="Times New Roman"/>
                <w:sz w:val="22"/>
              </w:rPr>
            </w:pPr>
          </w:p>
        </w:tc>
      </w:tr>
      <w:tr>
        <w:trPr>
          <w:trHeight w:val="301" w:hRule="atLeast"/>
        </w:trPr>
        <w:tc>
          <w:tcPr>
            <w:tcW w:w="8546" w:type="dxa"/>
          </w:tcPr>
          <w:p>
            <w:pPr>
              <w:pStyle w:val="TableParagraph"/>
              <w:spacing w:line="267" w:lineRule="exact"/>
              <w:ind w:left="827"/>
              <w:rPr>
                <w:b/>
                <w:sz w:val="22"/>
              </w:rPr>
            </w:pPr>
            <w:r>
              <w:rPr>
                <w:b/>
                <w:sz w:val="22"/>
              </w:rPr>
              <w:t>Map</w:t>
            </w:r>
            <w:r>
              <w:rPr>
                <w:b/>
                <w:spacing w:val="-7"/>
                <w:sz w:val="22"/>
              </w:rPr>
              <w:t> </w:t>
            </w:r>
            <w:r>
              <w:rPr>
                <w:b/>
                <w:sz w:val="22"/>
              </w:rPr>
              <w:t>Y1:</w:t>
            </w:r>
            <w:r>
              <w:rPr>
                <w:b/>
                <w:spacing w:val="-7"/>
                <w:sz w:val="22"/>
              </w:rPr>
              <w:t> </w:t>
            </w:r>
            <w:r>
              <w:rPr>
                <w:b/>
                <w:sz w:val="22"/>
              </w:rPr>
              <w:t>Populafion</w:t>
            </w:r>
            <w:r>
              <w:rPr>
                <w:b/>
                <w:spacing w:val="-7"/>
                <w:sz w:val="22"/>
              </w:rPr>
              <w:t> </w:t>
            </w:r>
            <w:r>
              <w:rPr>
                <w:b/>
                <w:sz w:val="22"/>
              </w:rPr>
              <w:t>Density</w:t>
            </w:r>
            <w:r>
              <w:rPr>
                <w:b/>
                <w:spacing w:val="-4"/>
                <w:sz w:val="22"/>
              </w:rPr>
              <w:t> </w:t>
            </w:r>
            <w:r>
              <w:rPr>
                <w:b/>
                <w:sz w:val="22"/>
              </w:rPr>
              <w:t>in</w:t>
            </w:r>
            <w:r>
              <w:rPr>
                <w:b/>
                <w:spacing w:val="-9"/>
                <w:sz w:val="22"/>
              </w:rPr>
              <w:t> </w:t>
            </w:r>
            <w:r>
              <w:rPr>
                <w:b/>
                <w:sz w:val="22"/>
              </w:rPr>
              <w:t>Yates</w:t>
            </w:r>
            <w:r>
              <w:rPr>
                <w:b/>
                <w:spacing w:val="-7"/>
                <w:sz w:val="22"/>
              </w:rPr>
              <w:t> </w:t>
            </w:r>
            <w:r>
              <w:rPr>
                <w:b/>
                <w:spacing w:val="-2"/>
                <w:sz w:val="22"/>
              </w:rPr>
              <w:t>County</w:t>
            </w:r>
          </w:p>
        </w:tc>
        <w:tc>
          <w:tcPr>
            <w:tcW w:w="988" w:type="dxa"/>
          </w:tcPr>
          <w:p>
            <w:pPr>
              <w:pStyle w:val="TableParagraph"/>
              <w:spacing w:line="267" w:lineRule="exact"/>
              <w:ind w:left="105"/>
              <w:rPr>
                <w:sz w:val="22"/>
              </w:rPr>
            </w:pPr>
            <w:r>
              <w:rPr>
                <w:spacing w:val="-5"/>
                <w:sz w:val="22"/>
              </w:rPr>
              <w:t>72</w:t>
            </w:r>
          </w:p>
        </w:tc>
      </w:tr>
      <w:tr>
        <w:trPr>
          <w:trHeight w:val="299" w:hRule="atLeast"/>
        </w:trPr>
        <w:tc>
          <w:tcPr>
            <w:tcW w:w="8546" w:type="dxa"/>
            <w:shd w:val="clear" w:color="auto" w:fill="C1E3F5"/>
          </w:tcPr>
          <w:p>
            <w:pPr>
              <w:pStyle w:val="TableParagraph"/>
              <w:ind w:left="827"/>
              <w:rPr>
                <w:b/>
                <w:sz w:val="22"/>
              </w:rPr>
            </w:pPr>
            <w:r>
              <w:rPr>
                <w:b/>
                <w:sz w:val="22"/>
              </w:rPr>
              <w:t>Map</w:t>
            </w:r>
            <w:r>
              <w:rPr>
                <w:b/>
                <w:spacing w:val="-9"/>
                <w:sz w:val="22"/>
              </w:rPr>
              <w:t> </w:t>
            </w:r>
            <w:r>
              <w:rPr>
                <w:b/>
                <w:sz w:val="22"/>
              </w:rPr>
              <w:t>Y2:</w:t>
            </w:r>
            <w:r>
              <w:rPr>
                <w:b/>
                <w:spacing w:val="-9"/>
                <w:sz w:val="22"/>
              </w:rPr>
              <w:t> </w:t>
            </w:r>
            <w:r>
              <w:rPr>
                <w:b/>
                <w:sz w:val="22"/>
              </w:rPr>
              <w:t>Overall</w:t>
            </w:r>
            <w:r>
              <w:rPr>
                <w:b/>
                <w:spacing w:val="-8"/>
                <w:sz w:val="22"/>
              </w:rPr>
              <w:t> </w:t>
            </w:r>
            <w:r>
              <w:rPr>
                <w:b/>
                <w:sz w:val="22"/>
              </w:rPr>
              <w:t>Poverty</w:t>
            </w:r>
            <w:r>
              <w:rPr>
                <w:b/>
                <w:spacing w:val="-7"/>
                <w:sz w:val="22"/>
              </w:rPr>
              <w:t> </w:t>
            </w:r>
            <w:r>
              <w:rPr>
                <w:b/>
                <w:sz w:val="22"/>
              </w:rPr>
              <w:t>Rate</w:t>
            </w:r>
            <w:r>
              <w:rPr>
                <w:b/>
                <w:spacing w:val="-9"/>
                <w:sz w:val="22"/>
              </w:rPr>
              <w:t> </w:t>
            </w:r>
            <w:r>
              <w:rPr>
                <w:b/>
                <w:sz w:val="22"/>
              </w:rPr>
              <w:t>in</w:t>
            </w:r>
            <w:r>
              <w:rPr>
                <w:b/>
                <w:spacing w:val="-9"/>
                <w:sz w:val="22"/>
              </w:rPr>
              <w:t> </w:t>
            </w:r>
            <w:r>
              <w:rPr>
                <w:b/>
                <w:sz w:val="22"/>
              </w:rPr>
              <w:t>Yates</w:t>
            </w:r>
            <w:r>
              <w:rPr>
                <w:b/>
                <w:spacing w:val="-8"/>
                <w:sz w:val="22"/>
              </w:rPr>
              <w:t> </w:t>
            </w:r>
            <w:r>
              <w:rPr>
                <w:b/>
                <w:spacing w:val="-2"/>
                <w:sz w:val="22"/>
              </w:rPr>
              <w:t>County</w:t>
            </w:r>
          </w:p>
        </w:tc>
        <w:tc>
          <w:tcPr>
            <w:tcW w:w="988" w:type="dxa"/>
            <w:shd w:val="clear" w:color="auto" w:fill="C1E3F5"/>
          </w:tcPr>
          <w:p>
            <w:pPr>
              <w:pStyle w:val="TableParagraph"/>
              <w:ind w:left="105"/>
              <w:rPr>
                <w:sz w:val="22"/>
              </w:rPr>
            </w:pPr>
            <w:r>
              <w:rPr>
                <w:spacing w:val="-5"/>
                <w:sz w:val="22"/>
              </w:rPr>
              <w:t>81</w:t>
            </w:r>
          </w:p>
        </w:tc>
      </w:tr>
      <w:tr>
        <w:trPr>
          <w:trHeight w:val="299" w:hRule="atLeast"/>
        </w:trPr>
        <w:tc>
          <w:tcPr>
            <w:tcW w:w="8546" w:type="dxa"/>
          </w:tcPr>
          <w:p>
            <w:pPr>
              <w:pStyle w:val="TableParagraph"/>
              <w:ind w:left="827"/>
              <w:rPr>
                <w:b/>
                <w:sz w:val="22"/>
              </w:rPr>
            </w:pPr>
            <w:r>
              <w:rPr>
                <w:b/>
                <w:sz w:val="22"/>
              </w:rPr>
              <w:t>Map</w:t>
            </w:r>
            <w:r>
              <w:rPr>
                <w:b/>
                <w:spacing w:val="-4"/>
                <w:sz w:val="22"/>
              </w:rPr>
              <w:t> </w:t>
            </w:r>
            <w:r>
              <w:rPr>
                <w:b/>
                <w:sz w:val="22"/>
              </w:rPr>
              <w:t>Y3:</w:t>
            </w:r>
            <w:r>
              <w:rPr>
                <w:b/>
                <w:spacing w:val="-4"/>
                <w:sz w:val="22"/>
              </w:rPr>
              <w:t> </w:t>
            </w:r>
            <w:r>
              <w:rPr>
                <w:b/>
                <w:sz w:val="22"/>
              </w:rPr>
              <w:t>Food</w:t>
            </w:r>
            <w:r>
              <w:rPr>
                <w:b/>
                <w:spacing w:val="-4"/>
                <w:sz w:val="22"/>
              </w:rPr>
              <w:t> </w:t>
            </w:r>
            <w:r>
              <w:rPr>
                <w:b/>
                <w:sz w:val="22"/>
              </w:rPr>
              <w:t>Insecurity</w:t>
            </w:r>
            <w:r>
              <w:rPr>
                <w:b/>
                <w:spacing w:val="-4"/>
                <w:sz w:val="22"/>
              </w:rPr>
              <w:t> Rate</w:t>
            </w:r>
          </w:p>
        </w:tc>
        <w:tc>
          <w:tcPr>
            <w:tcW w:w="988" w:type="dxa"/>
          </w:tcPr>
          <w:p>
            <w:pPr>
              <w:pStyle w:val="TableParagraph"/>
              <w:ind w:left="105"/>
              <w:rPr>
                <w:sz w:val="22"/>
              </w:rPr>
            </w:pPr>
            <w:r>
              <w:rPr>
                <w:spacing w:val="-5"/>
                <w:sz w:val="22"/>
              </w:rPr>
              <w:t>82</w:t>
            </w:r>
          </w:p>
        </w:tc>
      </w:tr>
      <w:tr>
        <w:trPr>
          <w:trHeight w:val="299" w:hRule="atLeast"/>
        </w:trPr>
        <w:tc>
          <w:tcPr>
            <w:tcW w:w="8546" w:type="dxa"/>
            <w:shd w:val="clear" w:color="auto" w:fill="C1E3F5"/>
          </w:tcPr>
          <w:p>
            <w:pPr>
              <w:pStyle w:val="TableParagraph"/>
              <w:ind w:left="827"/>
              <w:rPr>
                <w:b/>
                <w:sz w:val="22"/>
              </w:rPr>
            </w:pPr>
            <w:r>
              <w:rPr>
                <w:b/>
                <w:sz w:val="22"/>
              </w:rPr>
              <w:t>Map</w:t>
            </w:r>
            <w:r>
              <w:rPr>
                <w:b/>
                <w:spacing w:val="-6"/>
                <w:sz w:val="22"/>
              </w:rPr>
              <w:t> </w:t>
            </w:r>
            <w:r>
              <w:rPr>
                <w:b/>
                <w:sz w:val="22"/>
              </w:rPr>
              <w:t>Y4:</w:t>
            </w:r>
            <w:r>
              <w:rPr>
                <w:b/>
                <w:spacing w:val="-5"/>
                <w:sz w:val="22"/>
              </w:rPr>
              <w:t> </w:t>
            </w:r>
            <w:r>
              <w:rPr>
                <w:b/>
                <w:sz w:val="22"/>
              </w:rPr>
              <w:t>Poor</w:t>
            </w:r>
            <w:r>
              <w:rPr>
                <w:b/>
                <w:spacing w:val="-3"/>
                <w:sz w:val="22"/>
              </w:rPr>
              <w:t> </w:t>
            </w:r>
            <w:r>
              <w:rPr>
                <w:b/>
                <w:sz w:val="22"/>
              </w:rPr>
              <w:t>Mental</w:t>
            </w:r>
            <w:r>
              <w:rPr>
                <w:b/>
                <w:spacing w:val="-5"/>
                <w:sz w:val="22"/>
              </w:rPr>
              <w:t> </w:t>
            </w:r>
            <w:r>
              <w:rPr>
                <w:b/>
                <w:sz w:val="22"/>
              </w:rPr>
              <w:t>Health</w:t>
            </w:r>
            <w:r>
              <w:rPr>
                <w:b/>
                <w:spacing w:val="-4"/>
                <w:sz w:val="22"/>
              </w:rPr>
              <w:t> Days</w:t>
            </w:r>
          </w:p>
        </w:tc>
        <w:tc>
          <w:tcPr>
            <w:tcW w:w="988" w:type="dxa"/>
            <w:shd w:val="clear" w:color="auto" w:fill="C1E3F5"/>
          </w:tcPr>
          <w:p>
            <w:pPr>
              <w:pStyle w:val="TableParagraph"/>
              <w:ind w:left="105"/>
              <w:rPr>
                <w:sz w:val="22"/>
              </w:rPr>
            </w:pPr>
            <w:r>
              <w:rPr>
                <w:spacing w:val="-5"/>
                <w:sz w:val="22"/>
              </w:rPr>
              <w:t>86</w:t>
            </w:r>
          </w:p>
        </w:tc>
      </w:tr>
      <w:tr>
        <w:trPr>
          <w:trHeight w:val="299" w:hRule="atLeast"/>
        </w:trPr>
        <w:tc>
          <w:tcPr>
            <w:tcW w:w="8546" w:type="dxa"/>
          </w:tcPr>
          <w:p>
            <w:pPr>
              <w:pStyle w:val="TableParagraph"/>
              <w:ind w:left="827"/>
              <w:rPr>
                <w:b/>
                <w:sz w:val="22"/>
              </w:rPr>
            </w:pPr>
            <w:r>
              <w:rPr>
                <w:b/>
                <w:sz w:val="22"/>
              </w:rPr>
              <w:t>Map</w:t>
            </w:r>
            <w:r>
              <w:rPr>
                <w:b/>
                <w:spacing w:val="-4"/>
                <w:sz w:val="22"/>
              </w:rPr>
              <w:t> </w:t>
            </w:r>
            <w:r>
              <w:rPr>
                <w:b/>
                <w:sz w:val="22"/>
              </w:rPr>
              <w:t>Y5:</w:t>
            </w:r>
            <w:r>
              <w:rPr>
                <w:b/>
                <w:spacing w:val="-3"/>
                <w:sz w:val="22"/>
              </w:rPr>
              <w:t> </w:t>
            </w:r>
            <w:r>
              <w:rPr>
                <w:b/>
                <w:sz w:val="22"/>
              </w:rPr>
              <w:t>ED</w:t>
            </w:r>
            <w:r>
              <w:rPr>
                <w:b/>
                <w:spacing w:val="-2"/>
                <w:sz w:val="22"/>
              </w:rPr>
              <w:t> </w:t>
            </w:r>
            <w:r>
              <w:rPr>
                <w:b/>
                <w:sz w:val="22"/>
              </w:rPr>
              <w:t>Visit</w:t>
            </w:r>
            <w:r>
              <w:rPr>
                <w:b/>
                <w:spacing w:val="-2"/>
                <w:sz w:val="22"/>
              </w:rPr>
              <w:t> </w:t>
            </w:r>
            <w:r>
              <w:rPr>
                <w:b/>
                <w:sz w:val="22"/>
              </w:rPr>
              <w:t>Rate</w:t>
            </w:r>
            <w:r>
              <w:rPr>
                <w:b/>
                <w:spacing w:val="-6"/>
                <w:sz w:val="22"/>
              </w:rPr>
              <w:t> </w:t>
            </w:r>
            <w:r>
              <w:rPr>
                <w:b/>
                <w:sz w:val="22"/>
              </w:rPr>
              <w:t>by</w:t>
            </w:r>
            <w:r>
              <w:rPr>
                <w:b/>
                <w:spacing w:val="-3"/>
                <w:sz w:val="22"/>
              </w:rPr>
              <w:t> </w:t>
            </w:r>
            <w:r>
              <w:rPr>
                <w:b/>
                <w:sz w:val="22"/>
              </w:rPr>
              <w:t>Zip</w:t>
            </w:r>
            <w:r>
              <w:rPr>
                <w:b/>
                <w:spacing w:val="-2"/>
                <w:sz w:val="22"/>
              </w:rPr>
              <w:t> </w:t>
            </w:r>
            <w:r>
              <w:rPr>
                <w:b/>
                <w:spacing w:val="-4"/>
                <w:sz w:val="22"/>
              </w:rPr>
              <w:t>Code</w:t>
            </w:r>
          </w:p>
        </w:tc>
        <w:tc>
          <w:tcPr>
            <w:tcW w:w="988" w:type="dxa"/>
          </w:tcPr>
          <w:p>
            <w:pPr>
              <w:pStyle w:val="TableParagraph"/>
              <w:ind w:left="105"/>
              <w:rPr>
                <w:sz w:val="22"/>
              </w:rPr>
            </w:pPr>
            <w:r>
              <w:rPr>
                <w:spacing w:val="-5"/>
                <w:sz w:val="22"/>
              </w:rPr>
              <w:t>94</w:t>
            </w:r>
          </w:p>
        </w:tc>
      </w:tr>
      <w:tr>
        <w:trPr>
          <w:trHeight w:val="299" w:hRule="atLeast"/>
        </w:trPr>
        <w:tc>
          <w:tcPr>
            <w:tcW w:w="8546" w:type="dxa"/>
            <w:shd w:val="clear" w:color="auto" w:fill="C1E3F5"/>
          </w:tcPr>
          <w:p>
            <w:pPr>
              <w:pStyle w:val="TableParagraph"/>
              <w:ind w:left="827"/>
              <w:rPr>
                <w:b/>
                <w:sz w:val="22"/>
              </w:rPr>
            </w:pPr>
            <w:r>
              <w:rPr>
                <w:b/>
                <w:sz w:val="22"/>
              </w:rPr>
              <w:t>Map</w:t>
            </w:r>
            <w:r>
              <w:rPr>
                <w:b/>
                <w:spacing w:val="-7"/>
                <w:sz w:val="22"/>
              </w:rPr>
              <w:t> </w:t>
            </w:r>
            <w:r>
              <w:rPr>
                <w:b/>
                <w:sz w:val="22"/>
              </w:rPr>
              <w:t>Y6:</w:t>
            </w:r>
            <w:r>
              <w:rPr>
                <w:b/>
                <w:spacing w:val="-6"/>
                <w:sz w:val="22"/>
              </w:rPr>
              <w:t> </w:t>
            </w:r>
            <w:r>
              <w:rPr>
                <w:b/>
                <w:sz w:val="22"/>
              </w:rPr>
              <w:t>Preventable</w:t>
            </w:r>
            <w:r>
              <w:rPr>
                <w:b/>
                <w:spacing w:val="-6"/>
                <w:sz w:val="22"/>
              </w:rPr>
              <w:t> </w:t>
            </w:r>
            <w:r>
              <w:rPr>
                <w:b/>
                <w:sz w:val="22"/>
              </w:rPr>
              <w:t>Hospitalizafions</w:t>
            </w:r>
            <w:r>
              <w:rPr>
                <w:b/>
                <w:spacing w:val="-4"/>
                <w:sz w:val="22"/>
              </w:rPr>
              <w:t> </w:t>
            </w:r>
            <w:r>
              <w:rPr>
                <w:b/>
                <w:sz w:val="22"/>
              </w:rPr>
              <w:t>by</w:t>
            </w:r>
            <w:r>
              <w:rPr>
                <w:b/>
                <w:spacing w:val="-6"/>
                <w:sz w:val="22"/>
              </w:rPr>
              <w:t> </w:t>
            </w:r>
            <w:r>
              <w:rPr>
                <w:b/>
                <w:sz w:val="22"/>
              </w:rPr>
              <w:t>Zip</w:t>
            </w:r>
            <w:r>
              <w:rPr>
                <w:b/>
                <w:spacing w:val="-9"/>
                <w:sz w:val="22"/>
              </w:rPr>
              <w:t> </w:t>
            </w:r>
            <w:r>
              <w:rPr>
                <w:b/>
                <w:spacing w:val="-4"/>
                <w:sz w:val="22"/>
              </w:rPr>
              <w:t>Code</w:t>
            </w:r>
          </w:p>
        </w:tc>
        <w:tc>
          <w:tcPr>
            <w:tcW w:w="988" w:type="dxa"/>
            <w:shd w:val="clear" w:color="auto" w:fill="C1E3F5"/>
          </w:tcPr>
          <w:p>
            <w:pPr>
              <w:pStyle w:val="TableParagraph"/>
              <w:ind w:left="105"/>
              <w:rPr>
                <w:sz w:val="22"/>
              </w:rPr>
            </w:pPr>
            <w:r>
              <w:rPr>
                <w:spacing w:val="-5"/>
                <w:sz w:val="22"/>
              </w:rPr>
              <w:t>94</w:t>
            </w:r>
          </w:p>
        </w:tc>
      </w:tr>
      <w:tr>
        <w:trPr>
          <w:trHeight w:val="301" w:hRule="atLeast"/>
        </w:trPr>
        <w:tc>
          <w:tcPr>
            <w:tcW w:w="8546" w:type="dxa"/>
            <w:shd w:val="clear" w:color="auto" w:fill="145F82"/>
          </w:tcPr>
          <w:p>
            <w:pPr>
              <w:pStyle w:val="TableParagraph"/>
              <w:spacing w:line="267" w:lineRule="exact"/>
              <w:rPr>
                <w:b/>
                <w:sz w:val="22"/>
              </w:rPr>
            </w:pPr>
            <w:r>
              <w:rPr>
                <w:b/>
                <w:color w:val="FFFFFF"/>
                <w:sz w:val="22"/>
              </w:rPr>
              <w:t>List</w:t>
            </w:r>
            <w:r>
              <w:rPr>
                <w:b/>
                <w:color w:val="FFFFFF"/>
                <w:spacing w:val="-6"/>
                <w:sz w:val="22"/>
              </w:rPr>
              <w:t> </w:t>
            </w:r>
            <w:r>
              <w:rPr>
                <w:b/>
                <w:color w:val="FFFFFF"/>
                <w:sz w:val="22"/>
              </w:rPr>
              <w:t>of</w:t>
            </w:r>
            <w:r>
              <w:rPr>
                <w:b/>
                <w:color w:val="FFFFFF"/>
                <w:spacing w:val="-2"/>
                <w:sz w:val="22"/>
              </w:rPr>
              <w:t> Figures:</w:t>
            </w:r>
          </w:p>
        </w:tc>
        <w:tc>
          <w:tcPr>
            <w:tcW w:w="988" w:type="dxa"/>
            <w:shd w:val="clear" w:color="auto" w:fill="145F82"/>
          </w:tcPr>
          <w:p>
            <w:pPr>
              <w:pStyle w:val="TableParagraph"/>
              <w:spacing w:line="240" w:lineRule="auto"/>
              <w:ind w:left="0"/>
              <w:rPr>
                <w:rFonts w:ascii="Times New Roman"/>
                <w:sz w:val="22"/>
              </w:rPr>
            </w:pPr>
          </w:p>
        </w:tc>
      </w:tr>
      <w:tr>
        <w:trPr>
          <w:trHeight w:val="299" w:hRule="atLeast"/>
        </w:trPr>
        <w:tc>
          <w:tcPr>
            <w:tcW w:w="8546" w:type="dxa"/>
            <w:shd w:val="clear" w:color="auto" w:fill="C1E3F5"/>
          </w:tcPr>
          <w:p>
            <w:pPr>
              <w:pStyle w:val="TableParagraph"/>
              <w:ind w:left="827"/>
              <w:rPr>
                <w:b/>
                <w:sz w:val="22"/>
              </w:rPr>
            </w:pPr>
            <w:r>
              <w:rPr>
                <w:b/>
                <w:sz w:val="22"/>
              </w:rPr>
              <w:t>Figure</w:t>
            </w:r>
            <w:r>
              <w:rPr>
                <w:b/>
                <w:spacing w:val="-8"/>
                <w:sz w:val="22"/>
              </w:rPr>
              <w:t> </w:t>
            </w:r>
            <w:r>
              <w:rPr>
                <w:b/>
                <w:sz w:val="22"/>
              </w:rPr>
              <w:t>Y1:</w:t>
            </w:r>
            <w:r>
              <w:rPr>
                <w:b/>
                <w:spacing w:val="-8"/>
                <w:sz w:val="22"/>
              </w:rPr>
              <w:t> </w:t>
            </w:r>
            <w:r>
              <w:rPr>
                <w:b/>
                <w:sz w:val="22"/>
              </w:rPr>
              <w:t>Populafion</w:t>
            </w:r>
            <w:r>
              <w:rPr>
                <w:b/>
                <w:spacing w:val="-6"/>
                <w:sz w:val="22"/>
              </w:rPr>
              <w:t> </w:t>
            </w:r>
            <w:r>
              <w:rPr>
                <w:b/>
                <w:sz w:val="22"/>
              </w:rPr>
              <w:t>Projecfions</w:t>
            </w:r>
            <w:r>
              <w:rPr>
                <w:b/>
                <w:spacing w:val="-6"/>
                <w:sz w:val="22"/>
              </w:rPr>
              <w:t> </w:t>
            </w:r>
            <w:r>
              <w:rPr>
                <w:b/>
                <w:sz w:val="22"/>
              </w:rPr>
              <w:t>in</w:t>
            </w:r>
            <w:r>
              <w:rPr>
                <w:b/>
                <w:spacing w:val="-7"/>
                <w:sz w:val="22"/>
              </w:rPr>
              <w:t> </w:t>
            </w:r>
            <w:r>
              <w:rPr>
                <w:b/>
                <w:sz w:val="22"/>
              </w:rPr>
              <w:t>Yates</w:t>
            </w:r>
            <w:r>
              <w:rPr>
                <w:b/>
                <w:spacing w:val="-6"/>
                <w:sz w:val="22"/>
              </w:rPr>
              <w:t> </w:t>
            </w:r>
            <w:r>
              <w:rPr>
                <w:b/>
                <w:spacing w:val="-2"/>
                <w:sz w:val="22"/>
              </w:rPr>
              <w:t>County</w:t>
            </w:r>
          </w:p>
        </w:tc>
        <w:tc>
          <w:tcPr>
            <w:tcW w:w="988" w:type="dxa"/>
            <w:shd w:val="clear" w:color="auto" w:fill="C1E3F5"/>
          </w:tcPr>
          <w:p>
            <w:pPr>
              <w:pStyle w:val="TableParagraph"/>
              <w:ind w:left="105"/>
              <w:rPr>
                <w:sz w:val="22"/>
              </w:rPr>
            </w:pPr>
            <w:r>
              <w:rPr>
                <w:spacing w:val="-5"/>
                <w:sz w:val="22"/>
              </w:rPr>
              <w:t>72</w:t>
            </w:r>
          </w:p>
        </w:tc>
      </w:tr>
      <w:tr>
        <w:trPr>
          <w:trHeight w:val="299" w:hRule="atLeast"/>
        </w:trPr>
        <w:tc>
          <w:tcPr>
            <w:tcW w:w="8546" w:type="dxa"/>
          </w:tcPr>
          <w:p>
            <w:pPr>
              <w:pStyle w:val="TableParagraph"/>
              <w:ind w:left="827"/>
              <w:rPr>
                <w:b/>
                <w:sz w:val="22"/>
              </w:rPr>
            </w:pPr>
            <w:r>
              <w:rPr>
                <w:b/>
                <w:sz w:val="22"/>
              </w:rPr>
              <w:t>Figure</w:t>
            </w:r>
            <w:r>
              <w:rPr>
                <w:b/>
                <w:spacing w:val="-6"/>
                <w:sz w:val="22"/>
              </w:rPr>
              <w:t> </w:t>
            </w:r>
            <w:r>
              <w:rPr>
                <w:b/>
                <w:sz w:val="22"/>
              </w:rPr>
              <w:t>Y2:</w:t>
            </w:r>
            <w:r>
              <w:rPr>
                <w:b/>
                <w:spacing w:val="-5"/>
                <w:sz w:val="22"/>
              </w:rPr>
              <w:t> </w:t>
            </w:r>
            <w:r>
              <w:rPr>
                <w:b/>
                <w:sz w:val="22"/>
              </w:rPr>
              <w:t>Populafion</w:t>
            </w:r>
            <w:r>
              <w:rPr>
                <w:b/>
                <w:spacing w:val="-3"/>
                <w:sz w:val="22"/>
              </w:rPr>
              <w:t> </w:t>
            </w:r>
            <w:r>
              <w:rPr>
                <w:b/>
                <w:sz w:val="22"/>
              </w:rPr>
              <w:t>by</w:t>
            </w:r>
            <w:r>
              <w:rPr>
                <w:b/>
                <w:spacing w:val="-4"/>
                <w:sz w:val="22"/>
              </w:rPr>
              <w:t> </w:t>
            </w:r>
            <w:r>
              <w:rPr>
                <w:b/>
                <w:sz w:val="22"/>
              </w:rPr>
              <w:t>Age</w:t>
            </w:r>
            <w:r>
              <w:rPr>
                <w:b/>
                <w:spacing w:val="-2"/>
                <w:sz w:val="22"/>
              </w:rPr>
              <w:t> </w:t>
            </w:r>
            <w:r>
              <w:rPr>
                <w:b/>
                <w:sz w:val="22"/>
              </w:rPr>
              <w:t>and</w:t>
            </w:r>
            <w:r>
              <w:rPr>
                <w:b/>
                <w:spacing w:val="-4"/>
                <w:sz w:val="22"/>
              </w:rPr>
              <w:t> </w:t>
            </w:r>
            <w:r>
              <w:rPr>
                <w:b/>
                <w:spacing w:val="-5"/>
                <w:sz w:val="22"/>
              </w:rPr>
              <w:t>Sex</w:t>
            </w:r>
          </w:p>
        </w:tc>
        <w:tc>
          <w:tcPr>
            <w:tcW w:w="988" w:type="dxa"/>
          </w:tcPr>
          <w:p>
            <w:pPr>
              <w:pStyle w:val="TableParagraph"/>
              <w:ind w:left="105"/>
              <w:rPr>
                <w:sz w:val="22"/>
              </w:rPr>
            </w:pPr>
            <w:r>
              <w:rPr>
                <w:spacing w:val="-5"/>
                <w:sz w:val="22"/>
              </w:rPr>
              <w:t>73</w:t>
            </w:r>
          </w:p>
        </w:tc>
      </w:tr>
      <w:tr>
        <w:trPr>
          <w:trHeight w:val="299" w:hRule="atLeast"/>
        </w:trPr>
        <w:tc>
          <w:tcPr>
            <w:tcW w:w="8546" w:type="dxa"/>
            <w:shd w:val="clear" w:color="auto" w:fill="C1E3F5"/>
          </w:tcPr>
          <w:p>
            <w:pPr>
              <w:pStyle w:val="TableParagraph"/>
              <w:ind w:left="827"/>
              <w:rPr>
                <w:b/>
                <w:sz w:val="22"/>
              </w:rPr>
            </w:pPr>
            <w:r>
              <w:rPr>
                <w:b/>
                <w:sz w:val="22"/>
              </w:rPr>
              <w:t>Figure</w:t>
            </w:r>
            <w:r>
              <w:rPr>
                <w:b/>
                <w:spacing w:val="-8"/>
                <w:sz w:val="22"/>
              </w:rPr>
              <w:t> </w:t>
            </w:r>
            <w:r>
              <w:rPr>
                <w:b/>
                <w:sz w:val="22"/>
              </w:rPr>
              <w:t>Y3:</w:t>
            </w:r>
            <w:r>
              <w:rPr>
                <w:b/>
                <w:spacing w:val="-8"/>
                <w:sz w:val="22"/>
              </w:rPr>
              <w:t> </w:t>
            </w:r>
            <w:r>
              <w:rPr>
                <w:b/>
                <w:sz w:val="22"/>
              </w:rPr>
              <w:t>County</w:t>
            </w:r>
            <w:r>
              <w:rPr>
                <w:b/>
                <w:spacing w:val="-3"/>
                <w:sz w:val="22"/>
              </w:rPr>
              <w:t> </w:t>
            </w:r>
            <w:r>
              <w:rPr>
                <w:b/>
                <w:sz w:val="22"/>
              </w:rPr>
              <w:t>Health</w:t>
            </w:r>
            <w:r>
              <w:rPr>
                <w:b/>
                <w:spacing w:val="-8"/>
                <w:sz w:val="22"/>
              </w:rPr>
              <w:t> </w:t>
            </w:r>
            <w:r>
              <w:rPr>
                <w:b/>
                <w:sz w:val="22"/>
              </w:rPr>
              <w:t>Rankings</w:t>
            </w:r>
            <w:r>
              <w:rPr>
                <w:b/>
                <w:spacing w:val="-4"/>
                <w:sz w:val="22"/>
              </w:rPr>
              <w:t> </w:t>
            </w:r>
            <w:r>
              <w:rPr>
                <w:b/>
                <w:sz w:val="22"/>
              </w:rPr>
              <w:t>Health</w:t>
            </w:r>
            <w:r>
              <w:rPr>
                <w:b/>
                <w:spacing w:val="-5"/>
                <w:sz w:val="22"/>
              </w:rPr>
              <w:t> </w:t>
            </w:r>
            <w:r>
              <w:rPr>
                <w:b/>
                <w:sz w:val="22"/>
              </w:rPr>
              <w:t>and</w:t>
            </w:r>
            <w:r>
              <w:rPr>
                <w:b/>
                <w:spacing w:val="-5"/>
                <w:sz w:val="22"/>
              </w:rPr>
              <w:t> </w:t>
            </w:r>
            <w:r>
              <w:rPr>
                <w:b/>
                <w:sz w:val="22"/>
              </w:rPr>
              <w:t>Well-</w:t>
            </w:r>
            <w:r>
              <w:rPr>
                <w:b/>
                <w:spacing w:val="-4"/>
                <w:sz w:val="22"/>
              </w:rPr>
              <w:t>Being</w:t>
            </w:r>
          </w:p>
        </w:tc>
        <w:tc>
          <w:tcPr>
            <w:tcW w:w="988" w:type="dxa"/>
            <w:shd w:val="clear" w:color="auto" w:fill="C1E3F5"/>
          </w:tcPr>
          <w:p>
            <w:pPr>
              <w:pStyle w:val="TableParagraph"/>
              <w:ind w:left="105"/>
              <w:rPr>
                <w:sz w:val="22"/>
              </w:rPr>
            </w:pPr>
            <w:r>
              <w:rPr>
                <w:spacing w:val="-5"/>
                <w:sz w:val="22"/>
              </w:rPr>
              <w:t>78</w:t>
            </w:r>
          </w:p>
        </w:tc>
      </w:tr>
      <w:tr>
        <w:trPr>
          <w:trHeight w:val="299" w:hRule="atLeast"/>
        </w:trPr>
        <w:tc>
          <w:tcPr>
            <w:tcW w:w="8546" w:type="dxa"/>
          </w:tcPr>
          <w:p>
            <w:pPr>
              <w:pStyle w:val="TableParagraph"/>
              <w:ind w:left="827"/>
              <w:rPr>
                <w:b/>
                <w:sz w:val="22"/>
              </w:rPr>
            </w:pPr>
            <w:r>
              <w:rPr>
                <w:b/>
                <w:sz w:val="22"/>
              </w:rPr>
              <w:t>Figure</w:t>
            </w:r>
            <w:r>
              <w:rPr>
                <w:b/>
                <w:spacing w:val="-9"/>
                <w:sz w:val="22"/>
              </w:rPr>
              <w:t> </w:t>
            </w:r>
            <w:r>
              <w:rPr>
                <w:b/>
                <w:sz w:val="22"/>
              </w:rPr>
              <w:t>Y4:</w:t>
            </w:r>
            <w:r>
              <w:rPr>
                <w:b/>
                <w:spacing w:val="-6"/>
                <w:sz w:val="22"/>
              </w:rPr>
              <w:t> </w:t>
            </w:r>
            <w:r>
              <w:rPr>
                <w:b/>
                <w:sz w:val="22"/>
              </w:rPr>
              <w:t>County</w:t>
            </w:r>
            <w:r>
              <w:rPr>
                <w:b/>
                <w:spacing w:val="-2"/>
                <w:sz w:val="22"/>
              </w:rPr>
              <w:t> </w:t>
            </w:r>
            <w:r>
              <w:rPr>
                <w:b/>
                <w:sz w:val="22"/>
              </w:rPr>
              <w:t>Health</w:t>
            </w:r>
            <w:r>
              <w:rPr>
                <w:b/>
                <w:spacing w:val="-7"/>
                <w:sz w:val="22"/>
              </w:rPr>
              <w:t> </w:t>
            </w:r>
            <w:r>
              <w:rPr>
                <w:b/>
                <w:sz w:val="22"/>
              </w:rPr>
              <w:t>Rankings</w:t>
            </w:r>
            <w:r>
              <w:rPr>
                <w:b/>
                <w:spacing w:val="-4"/>
                <w:sz w:val="22"/>
              </w:rPr>
              <w:t> </w:t>
            </w:r>
            <w:r>
              <w:rPr>
                <w:b/>
                <w:sz w:val="22"/>
              </w:rPr>
              <w:t>Community</w:t>
            </w:r>
            <w:r>
              <w:rPr>
                <w:b/>
                <w:spacing w:val="-4"/>
                <w:sz w:val="22"/>
              </w:rPr>
              <w:t> </w:t>
            </w:r>
            <w:r>
              <w:rPr>
                <w:b/>
                <w:spacing w:val="-2"/>
                <w:sz w:val="22"/>
              </w:rPr>
              <w:t>Condifions/SDOH</w:t>
            </w:r>
          </w:p>
        </w:tc>
        <w:tc>
          <w:tcPr>
            <w:tcW w:w="988" w:type="dxa"/>
          </w:tcPr>
          <w:p>
            <w:pPr>
              <w:pStyle w:val="TableParagraph"/>
              <w:ind w:left="105"/>
              <w:rPr>
                <w:sz w:val="22"/>
              </w:rPr>
            </w:pPr>
            <w:r>
              <w:rPr>
                <w:spacing w:val="-5"/>
                <w:sz w:val="22"/>
              </w:rPr>
              <w:t>78</w:t>
            </w:r>
          </w:p>
        </w:tc>
      </w:tr>
      <w:tr>
        <w:trPr>
          <w:trHeight w:val="299" w:hRule="atLeast"/>
        </w:trPr>
        <w:tc>
          <w:tcPr>
            <w:tcW w:w="8546" w:type="dxa"/>
            <w:shd w:val="clear" w:color="auto" w:fill="C1E3F5"/>
          </w:tcPr>
          <w:p>
            <w:pPr>
              <w:pStyle w:val="TableParagraph"/>
              <w:ind w:left="827"/>
              <w:rPr>
                <w:b/>
                <w:sz w:val="22"/>
              </w:rPr>
            </w:pPr>
            <w:r>
              <w:rPr>
                <w:b/>
                <w:sz w:val="22"/>
              </w:rPr>
              <w:t>Figure</w:t>
            </w:r>
            <w:r>
              <w:rPr>
                <w:b/>
                <w:spacing w:val="-9"/>
                <w:sz w:val="22"/>
              </w:rPr>
              <w:t> </w:t>
            </w:r>
            <w:r>
              <w:rPr>
                <w:b/>
                <w:sz w:val="22"/>
              </w:rPr>
              <w:t>Y5:</w:t>
            </w:r>
            <w:r>
              <w:rPr>
                <w:b/>
                <w:spacing w:val="-7"/>
                <w:sz w:val="22"/>
              </w:rPr>
              <w:t> </w:t>
            </w:r>
            <w:r>
              <w:rPr>
                <w:b/>
                <w:sz w:val="22"/>
              </w:rPr>
              <w:t>Unemployment</w:t>
            </w:r>
            <w:r>
              <w:rPr>
                <w:b/>
                <w:spacing w:val="-6"/>
                <w:sz w:val="22"/>
              </w:rPr>
              <w:t> </w:t>
            </w:r>
            <w:r>
              <w:rPr>
                <w:b/>
                <w:spacing w:val="-4"/>
                <w:sz w:val="22"/>
              </w:rPr>
              <w:t>Rate</w:t>
            </w:r>
          </w:p>
        </w:tc>
        <w:tc>
          <w:tcPr>
            <w:tcW w:w="988" w:type="dxa"/>
            <w:shd w:val="clear" w:color="auto" w:fill="C1E3F5"/>
          </w:tcPr>
          <w:p>
            <w:pPr>
              <w:pStyle w:val="TableParagraph"/>
              <w:ind w:left="105"/>
              <w:rPr>
                <w:sz w:val="22"/>
              </w:rPr>
            </w:pPr>
            <w:r>
              <w:rPr>
                <w:spacing w:val="-5"/>
                <w:sz w:val="22"/>
              </w:rPr>
              <w:t>81</w:t>
            </w:r>
          </w:p>
        </w:tc>
      </w:tr>
      <w:tr>
        <w:trPr>
          <w:trHeight w:val="301" w:hRule="atLeast"/>
        </w:trPr>
        <w:tc>
          <w:tcPr>
            <w:tcW w:w="8546" w:type="dxa"/>
          </w:tcPr>
          <w:p>
            <w:pPr>
              <w:pStyle w:val="TableParagraph"/>
              <w:spacing w:line="267" w:lineRule="exact"/>
              <w:ind w:left="827"/>
              <w:rPr>
                <w:b/>
                <w:sz w:val="22"/>
              </w:rPr>
            </w:pPr>
            <w:r>
              <w:rPr>
                <w:b/>
                <w:sz w:val="22"/>
              </w:rPr>
              <w:t>Figure</w:t>
            </w:r>
            <w:r>
              <w:rPr>
                <w:b/>
                <w:spacing w:val="-9"/>
                <w:sz w:val="22"/>
              </w:rPr>
              <w:t> </w:t>
            </w:r>
            <w:r>
              <w:rPr>
                <w:b/>
                <w:sz w:val="22"/>
              </w:rPr>
              <w:t>Y6:</w:t>
            </w:r>
            <w:r>
              <w:rPr>
                <w:b/>
                <w:spacing w:val="-9"/>
                <w:sz w:val="22"/>
              </w:rPr>
              <w:t> </w:t>
            </w:r>
            <w:r>
              <w:rPr>
                <w:b/>
                <w:sz w:val="22"/>
              </w:rPr>
              <w:t>Residents</w:t>
            </w:r>
            <w:r>
              <w:rPr>
                <w:b/>
                <w:spacing w:val="-5"/>
                <w:sz w:val="22"/>
              </w:rPr>
              <w:t> </w:t>
            </w:r>
            <w:r>
              <w:rPr>
                <w:b/>
                <w:sz w:val="22"/>
              </w:rPr>
              <w:t>to</w:t>
            </w:r>
            <w:r>
              <w:rPr>
                <w:b/>
                <w:spacing w:val="-7"/>
                <w:sz w:val="22"/>
              </w:rPr>
              <w:t> </w:t>
            </w:r>
            <w:r>
              <w:rPr>
                <w:b/>
                <w:sz w:val="22"/>
              </w:rPr>
              <w:t>Healthcare</w:t>
            </w:r>
            <w:r>
              <w:rPr>
                <w:b/>
                <w:spacing w:val="-7"/>
                <w:sz w:val="22"/>
              </w:rPr>
              <w:t> </w:t>
            </w:r>
            <w:r>
              <w:rPr>
                <w:b/>
                <w:sz w:val="22"/>
              </w:rPr>
              <w:t>Provider</w:t>
            </w:r>
            <w:r>
              <w:rPr>
                <w:b/>
                <w:spacing w:val="-5"/>
                <w:sz w:val="22"/>
              </w:rPr>
              <w:t> </w:t>
            </w:r>
            <w:r>
              <w:rPr>
                <w:b/>
                <w:spacing w:val="-4"/>
                <w:sz w:val="22"/>
              </w:rPr>
              <w:t>Rafio</w:t>
            </w:r>
          </w:p>
        </w:tc>
        <w:tc>
          <w:tcPr>
            <w:tcW w:w="988" w:type="dxa"/>
          </w:tcPr>
          <w:p>
            <w:pPr>
              <w:pStyle w:val="TableParagraph"/>
              <w:spacing w:line="267" w:lineRule="exact"/>
              <w:ind w:left="105"/>
              <w:rPr>
                <w:sz w:val="22"/>
              </w:rPr>
            </w:pPr>
            <w:r>
              <w:rPr>
                <w:spacing w:val="-5"/>
                <w:sz w:val="22"/>
              </w:rPr>
              <w:t>96</w:t>
            </w:r>
          </w:p>
        </w:tc>
      </w:tr>
      <w:tr>
        <w:trPr>
          <w:trHeight w:val="299" w:hRule="atLeast"/>
        </w:trPr>
        <w:tc>
          <w:tcPr>
            <w:tcW w:w="8546" w:type="dxa"/>
            <w:shd w:val="clear" w:color="auto" w:fill="C1E3F5"/>
          </w:tcPr>
          <w:p>
            <w:pPr>
              <w:pStyle w:val="TableParagraph"/>
              <w:ind w:left="827"/>
              <w:rPr>
                <w:b/>
                <w:sz w:val="22"/>
              </w:rPr>
            </w:pPr>
            <w:r>
              <w:rPr>
                <w:b/>
                <w:sz w:val="22"/>
              </w:rPr>
              <w:t>Figure</w:t>
            </w:r>
            <w:r>
              <w:rPr>
                <w:b/>
                <w:spacing w:val="-8"/>
                <w:sz w:val="22"/>
              </w:rPr>
              <w:t> </w:t>
            </w:r>
            <w:r>
              <w:rPr>
                <w:b/>
                <w:sz w:val="22"/>
              </w:rPr>
              <w:t>Y7:</w:t>
            </w:r>
            <w:r>
              <w:rPr>
                <w:b/>
                <w:spacing w:val="-7"/>
                <w:sz w:val="22"/>
              </w:rPr>
              <w:t> </w:t>
            </w:r>
            <w:r>
              <w:rPr>
                <w:b/>
                <w:sz w:val="22"/>
              </w:rPr>
              <w:t>Immunizafion</w:t>
            </w:r>
            <w:r>
              <w:rPr>
                <w:b/>
                <w:spacing w:val="-8"/>
                <w:sz w:val="22"/>
              </w:rPr>
              <w:t> </w:t>
            </w:r>
            <w:r>
              <w:rPr>
                <w:b/>
                <w:sz w:val="22"/>
              </w:rPr>
              <w:t>Rates</w:t>
            </w:r>
            <w:r>
              <w:rPr>
                <w:b/>
                <w:spacing w:val="-4"/>
                <w:sz w:val="22"/>
              </w:rPr>
              <w:t> 2025</w:t>
            </w:r>
          </w:p>
        </w:tc>
        <w:tc>
          <w:tcPr>
            <w:tcW w:w="988" w:type="dxa"/>
            <w:shd w:val="clear" w:color="auto" w:fill="C1E3F5"/>
          </w:tcPr>
          <w:p>
            <w:pPr>
              <w:pStyle w:val="TableParagraph"/>
              <w:ind w:left="105"/>
              <w:rPr>
                <w:sz w:val="22"/>
              </w:rPr>
            </w:pPr>
            <w:r>
              <w:rPr>
                <w:spacing w:val="-5"/>
                <w:sz w:val="22"/>
              </w:rPr>
              <w:t>99</w:t>
            </w:r>
          </w:p>
        </w:tc>
      </w:tr>
      <w:tr>
        <w:trPr>
          <w:trHeight w:val="299" w:hRule="atLeast"/>
        </w:trPr>
        <w:tc>
          <w:tcPr>
            <w:tcW w:w="8546" w:type="dxa"/>
          </w:tcPr>
          <w:p>
            <w:pPr>
              <w:pStyle w:val="TableParagraph"/>
              <w:ind w:left="827"/>
              <w:rPr>
                <w:b/>
                <w:sz w:val="22"/>
              </w:rPr>
            </w:pPr>
            <w:r>
              <w:rPr>
                <w:b/>
                <w:sz w:val="22"/>
              </w:rPr>
              <w:t>Figure</w:t>
            </w:r>
            <w:r>
              <w:rPr>
                <w:b/>
                <w:spacing w:val="-7"/>
                <w:sz w:val="22"/>
              </w:rPr>
              <w:t> </w:t>
            </w:r>
            <w:r>
              <w:rPr>
                <w:b/>
                <w:sz w:val="22"/>
              </w:rPr>
              <w:t>Y8:</w:t>
            </w:r>
            <w:r>
              <w:rPr>
                <w:b/>
                <w:spacing w:val="-4"/>
                <w:sz w:val="22"/>
              </w:rPr>
              <w:t> </w:t>
            </w:r>
            <w:r>
              <w:rPr>
                <w:b/>
                <w:sz w:val="22"/>
              </w:rPr>
              <w:t>Prevenfive</w:t>
            </w:r>
            <w:r>
              <w:rPr>
                <w:b/>
                <w:spacing w:val="-3"/>
                <w:sz w:val="22"/>
              </w:rPr>
              <w:t> </w:t>
            </w:r>
            <w:r>
              <w:rPr>
                <w:b/>
                <w:sz w:val="22"/>
              </w:rPr>
              <w:t>Services</w:t>
            </w:r>
            <w:r>
              <w:rPr>
                <w:b/>
                <w:spacing w:val="-5"/>
                <w:sz w:val="22"/>
              </w:rPr>
              <w:t> </w:t>
            </w:r>
            <w:r>
              <w:rPr>
                <w:b/>
                <w:sz w:val="22"/>
              </w:rPr>
              <w:t>–</w:t>
            </w:r>
            <w:r>
              <w:rPr>
                <w:b/>
                <w:spacing w:val="-2"/>
                <w:sz w:val="22"/>
              </w:rPr>
              <w:t> </w:t>
            </w:r>
            <w:r>
              <w:rPr>
                <w:b/>
                <w:sz w:val="22"/>
              </w:rPr>
              <w:t>Lead</w:t>
            </w:r>
            <w:r>
              <w:rPr>
                <w:b/>
                <w:spacing w:val="-5"/>
                <w:sz w:val="22"/>
              </w:rPr>
              <w:t> </w:t>
            </w:r>
            <w:r>
              <w:rPr>
                <w:b/>
                <w:spacing w:val="-2"/>
                <w:sz w:val="22"/>
              </w:rPr>
              <w:t>Screening</w:t>
            </w:r>
          </w:p>
        </w:tc>
        <w:tc>
          <w:tcPr>
            <w:tcW w:w="988" w:type="dxa"/>
          </w:tcPr>
          <w:p>
            <w:pPr>
              <w:pStyle w:val="TableParagraph"/>
              <w:ind w:left="105"/>
              <w:rPr>
                <w:sz w:val="22"/>
              </w:rPr>
            </w:pPr>
            <w:r>
              <w:rPr>
                <w:spacing w:val="-5"/>
                <w:sz w:val="22"/>
              </w:rPr>
              <w:t>100</w:t>
            </w:r>
          </w:p>
        </w:tc>
      </w:tr>
    </w:tbl>
    <w:p>
      <w:pPr>
        <w:pStyle w:val="TableParagraph"/>
        <w:spacing w:after="0"/>
        <w:rPr>
          <w:sz w:val="22"/>
        </w:rPr>
        <w:sectPr>
          <w:pgSz w:w="12240" w:h="15840"/>
          <w:pgMar w:header="161" w:footer="1223" w:top="1360" w:bottom="1420" w:left="0" w:right="0"/>
        </w:sectPr>
      </w:pPr>
    </w:p>
    <w:p>
      <w:pPr>
        <w:spacing w:before="237"/>
        <w:ind w:left="277" w:right="87" w:firstLine="0"/>
        <w:jc w:val="center"/>
        <w:rPr>
          <w:b/>
          <w:sz w:val="28"/>
        </w:rPr>
      </w:pPr>
      <w:r>
        <w:rPr>
          <w:b/>
          <w:sz w:val="28"/>
        </w:rPr>
        <mc:AlternateContent>
          <mc:Choice Requires="wps">
            <w:drawing>
              <wp:anchor distT="0" distB="0" distL="0" distR="0" allowOverlap="1" layoutInCell="1" locked="0" behindDoc="1" simplePos="0" relativeHeight="486532608">
                <wp:simplePos x="0" y="0"/>
                <wp:positionH relativeFrom="page">
                  <wp:posOffset>-6095</wp:posOffset>
                </wp:positionH>
                <wp:positionV relativeFrom="paragraph">
                  <wp:posOffset>91441</wp:posOffset>
                </wp:positionV>
                <wp:extent cx="7776845" cy="44069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776845" cy="440690"/>
                          <a:chExt cx="7776845" cy="440690"/>
                        </a:xfrm>
                      </wpg:grpSpPr>
                      <wps:wsp>
                        <wps:cNvPr id="22" name="Graphic 22"/>
                        <wps:cNvSpPr/>
                        <wps:spPr>
                          <a:xfrm>
                            <a:off x="6095" y="6094"/>
                            <a:ext cx="7764780" cy="428625"/>
                          </a:xfrm>
                          <a:custGeom>
                            <a:avLst/>
                            <a:gdLst/>
                            <a:ahLst/>
                            <a:cxnLst/>
                            <a:rect l="l" t="t" r="r" b="b"/>
                            <a:pathLst>
                              <a:path w="7764780" h="428625">
                                <a:moveTo>
                                  <a:pt x="7764653" y="1"/>
                                </a:moveTo>
                                <a:lnTo>
                                  <a:pt x="0" y="0"/>
                                </a:lnTo>
                                <a:lnTo>
                                  <a:pt x="0" y="381000"/>
                                </a:lnTo>
                                <a:lnTo>
                                  <a:pt x="1313688" y="381000"/>
                                </a:lnTo>
                                <a:lnTo>
                                  <a:pt x="2299589" y="428243"/>
                                </a:lnTo>
                                <a:lnTo>
                                  <a:pt x="3285616" y="381000"/>
                                </a:lnTo>
                                <a:lnTo>
                                  <a:pt x="7764653" y="381000"/>
                                </a:lnTo>
                                <a:lnTo>
                                  <a:pt x="7764653" y="1"/>
                                </a:lnTo>
                                <a:close/>
                              </a:path>
                            </a:pathLst>
                          </a:custGeom>
                          <a:solidFill>
                            <a:srgbClr val="145F82"/>
                          </a:solidFill>
                        </wps:spPr>
                        <wps:bodyPr wrap="square" lIns="0" tIns="0" rIns="0" bIns="0" rtlCol="0">
                          <a:prstTxWarp prst="textNoShape">
                            <a:avLst/>
                          </a:prstTxWarp>
                          <a:noAutofit/>
                        </wps:bodyPr>
                      </wps:wsp>
                      <wps:wsp>
                        <wps:cNvPr id="23" name="Graphic 23"/>
                        <wps:cNvSpPr/>
                        <wps:spPr>
                          <a:xfrm>
                            <a:off x="6095" y="6095"/>
                            <a:ext cx="7764780" cy="428625"/>
                          </a:xfrm>
                          <a:custGeom>
                            <a:avLst/>
                            <a:gdLst/>
                            <a:ahLst/>
                            <a:cxnLst/>
                            <a:rect l="l" t="t" r="r" b="b"/>
                            <a:pathLst>
                              <a:path w="7764780" h="428625">
                                <a:moveTo>
                                  <a:pt x="7764653" y="381000"/>
                                </a:moveTo>
                                <a:lnTo>
                                  <a:pt x="3285616" y="381000"/>
                                </a:lnTo>
                                <a:lnTo>
                                  <a:pt x="2299589" y="428117"/>
                                </a:lnTo>
                                <a:lnTo>
                                  <a:pt x="1313688" y="381000"/>
                                </a:lnTo>
                                <a:lnTo>
                                  <a:pt x="0" y="381000"/>
                                </a:lnTo>
                                <a:lnTo>
                                  <a:pt x="0" y="316864"/>
                                </a:lnTo>
                                <a:lnTo>
                                  <a:pt x="0" y="222376"/>
                                </a:lnTo>
                                <a:lnTo>
                                  <a:pt x="0" y="0"/>
                                </a:lnTo>
                                <a:lnTo>
                                  <a:pt x="1313688" y="0"/>
                                </a:lnTo>
                                <a:lnTo>
                                  <a:pt x="3285616" y="0"/>
                                </a:lnTo>
                                <a:lnTo>
                                  <a:pt x="7764653" y="0"/>
                                </a:lnTo>
                              </a:path>
                            </a:pathLst>
                          </a:custGeom>
                          <a:ln w="12192">
                            <a:solidFill>
                              <a:srgbClr val="04233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7.200127pt;width:612.35pt;height:34.7pt;mso-position-horizontal-relative:page;mso-position-vertical-relative:paragraph;z-index:-16783872" id="docshapegroup15" coordorigin="-10,144" coordsize="12247,694">
                <v:shape style="position:absolute;left:0;top:153;width:12228;height:675" id="docshape16" coordorigin="0,154" coordsize="12228,675" path="m12228,154l0,154,0,754,2069,754,3621,828,5174,754,12228,754,12228,154xe" filled="true" fillcolor="#145f82" stroked="false">
                  <v:path arrowok="t"/>
                  <v:fill type="solid"/>
                </v:shape>
                <v:shape style="position:absolute;left:0;top:153;width:12228;height:675" id="docshape17" coordorigin="0,154" coordsize="12228,675" path="m12228,754l5174,754,3621,828,2069,754,0,754,0,653,0,504,0,154,2069,154,5174,154,12228,154e" filled="false" stroked="true" strokeweight=".96pt" strokecolor="#042332">
                  <v:path arrowok="t"/>
                  <v:stroke dashstyle="solid"/>
                </v:shape>
                <w10:wrap type="none"/>
              </v:group>
            </w:pict>
          </mc:Fallback>
        </mc:AlternateContent>
      </w:r>
      <w:r>
        <w:rPr>
          <w:b/>
          <w:color w:val="FFFFFF"/>
          <w:sz w:val="28"/>
        </w:rPr>
        <w:t>Execufive</w:t>
      </w:r>
      <w:r>
        <w:rPr>
          <w:b/>
          <w:color w:val="FFFFFF"/>
          <w:spacing w:val="-8"/>
          <w:sz w:val="28"/>
        </w:rPr>
        <w:t> </w:t>
      </w:r>
      <w:r>
        <w:rPr>
          <w:b/>
          <w:color w:val="FFFFFF"/>
          <w:spacing w:val="-2"/>
          <w:sz w:val="28"/>
        </w:rPr>
        <w:t>Summary</w:t>
      </w:r>
    </w:p>
    <w:p>
      <w:pPr>
        <w:pStyle w:val="BodyText"/>
        <w:spacing w:before="116"/>
        <w:ind w:left="0"/>
        <w:rPr>
          <w:b/>
        </w:rPr>
      </w:pPr>
    </w:p>
    <w:p>
      <w:pPr>
        <w:pStyle w:val="BodyText"/>
      </w:pPr>
      <w:r>
        <w:rPr/>
        <w:t>Yates</w:t>
      </w:r>
      <w:r>
        <w:rPr>
          <w:spacing w:val="-7"/>
        </w:rPr>
        <w:t> </w:t>
      </w:r>
      <w:r>
        <w:rPr/>
        <w:t>County</w:t>
      </w:r>
      <w:r>
        <w:rPr>
          <w:spacing w:val="-7"/>
        </w:rPr>
        <w:t> </w:t>
      </w:r>
      <w:r>
        <w:rPr/>
        <w:t>has</w:t>
      </w:r>
      <w:r>
        <w:rPr>
          <w:spacing w:val="-6"/>
        </w:rPr>
        <w:t> </w:t>
      </w:r>
      <w:r>
        <w:rPr/>
        <w:t>idenfiﬁed</w:t>
      </w:r>
      <w:r>
        <w:rPr>
          <w:spacing w:val="-9"/>
        </w:rPr>
        <w:t> </w:t>
      </w:r>
      <w:r>
        <w:rPr/>
        <w:t>three</w:t>
      </w:r>
      <w:r>
        <w:rPr>
          <w:spacing w:val="-8"/>
        </w:rPr>
        <w:t> </w:t>
      </w:r>
      <w:r>
        <w:rPr/>
        <w:t>priority</w:t>
      </w:r>
      <w:r>
        <w:rPr>
          <w:spacing w:val="-5"/>
        </w:rPr>
        <w:t> </w:t>
      </w:r>
      <w:r>
        <w:rPr/>
        <w:t>areas</w:t>
      </w:r>
      <w:r>
        <w:rPr>
          <w:spacing w:val="-7"/>
        </w:rPr>
        <w:t> </w:t>
      </w:r>
      <w:r>
        <w:rPr/>
        <w:t>for</w:t>
      </w:r>
      <w:r>
        <w:rPr>
          <w:spacing w:val="-9"/>
        </w:rPr>
        <w:t> </w:t>
      </w:r>
      <w:r>
        <w:rPr/>
        <w:t>this</w:t>
      </w:r>
      <w:r>
        <w:rPr>
          <w:spacing w:val="-8"/>
        </w:rPr>
        <w:t> </w:t>
      </w:r>
      <w:r>
        <w:rPr/>
        <w:t>Community</w:t>
      </w:r>
      <w:r>
        <w:rPr>
          <w:spacing w:val="-5"/>
        </w:rPr>
        <w:t> </w:t>
      </w:r>
      <w:r>
        <w:rPr/>
        <w:t>Health</w:t>
      </w:r>
      <w:r>
        <w:rPr>
          <w:spacing w:val="-7"/>
        </w:rPr>
        <w:t> </w:t>
      </w:r>
      <w:r>
        <w:rPr/>
        <w:t>Assessment</w:t>
      </w:r>
      <w:r>
        <w:rPr>
          <w:spacing w:val="-8"/>
        </w:rPr>
        <w:t> </w:t>
      </w:r>
      <w:r>
        <w:rPr/>
        <w:t>(CHA).</w:t>
      </w:r>
      <w:r>
        <w:rPr>
          <w:spacing w:val="-7"/>
        </w:rPr>
        <w:t> </w:t>
      </w:r>
      <w:r>
        <w:rPr/>
        <w:t>They</w:t>
      </w:r>
      <w:r>
        <w:rPr>
          <w:spacing w:val="-6"/>
        </w:rPr>
        <w:t> </w:t>
      </w:r>
      <w:r>
        <w:rPr>
          <w:spacing w:val="-4"/>
        </w:rPr>
        <w:t>are:</w:t>
      </w:r>
    </w:p>
    <w:p>
      <w:pPr>
        <w:pStyle w:val="ListParagraph"/>
        <w:numPr>
          <w:ilvl w:val="0"/>
          <w:numId w:val="1"/>
        </w:numPr>
        <w:tabs>
          <w:tab w:pos="2159" w:val="left" w:leader="none"/>
        </w:tabs>
        <w:spacing w:line="240" w:lineRule="auto" w:before="181" w:after="0"/>
        <w:ind w:left="2159" w:right="0" w:hanging="359"/>
        <w:jc w:val="left"/>
        <w:rPr>
          <w:sz w:val="22"/>
        </w:rPr>
      </w:pPr>
      <w:r>
        <w:rPr>
          <w:sz w:val="22"/>
        </w:rPr>
        <w:t>Housing</w:t>
      </w:r>
      <w:r>
        <w:rPr>
          <w:spacing w:val="-5"/>
          <w:sz w:val="22"/>
        </w:rPr>
        <w:t> </w:t>
      </w:r>
      <w:r>
        <w:rPr>
          <w:sz w:val="22"/>
        </w:rPr>
        <w:t>Stability</w:t>
      </w:r>
      <w:r>
        <w:rPr>
          <w:spacing w:val="-6"/>
          <w:sz w:val="22"/>
        </w:rPr>
        <w:t> </w:t>
      </w:r>
      <w:r>
        <w:rPr>
          <w:sz w:val="22"/>
        </w:rPr>
        <w:t>and</w:t>
      </w:r>
      <w:r>
        <w:rPr>
          <w:spacing w:val="-4"/>
          <w:sz w:val="22"/>
        </w:rPr>
        <w:t> </w:t>
      </w:r>
      <w:r>
        <w:rPr>
          <w:spacing w:val="-2"/>
          <w:sz w:val="22"/>
        </w:rPr>
        <w:t>Aﬀordability</w:t>
      </w:r>
    </w:p>
    <w:p>
      <w:pPr>
        <w:pStyle w:val="ListParagraph"/>
        <w:numPr>
          <w:ilvl w:val="0"/>
          <w:numId w:val="1"/>
        </w:numPr>
        <w:tabs>
          <w:tab w:pos="2159" w:val="left" w:leader="none"/>
        </w:tabs>
        <w:spacing w:line="240" w:lineRule="auto" w:before="22" w:after="0"/>
        <w:ind w:left="2159" w:right="0" w:hanging="359"/>
        <w:jc w:val="left"/>
        <w:rPr>
          <w:sz w:val="22"/>
        </w:rPr>
      </w:pPr>
      <w:r>
        <w:rPr>
          <w:sz w:val="22"/>
        </w:rPr>
        <w:t>Prevenfive</w:t>
      </w:r>
      <w:r>
        <w:rPr>
          <w:spacing w:val="-7"/>
          <w:sz w:val="22"/>
        </w:rPr>
        <w:t> </w:t>
      </w:r>
      <w:r>
        <w:rPr>
          <w:sz w:val="22"/>
        </w:rPr>
        <w:t>Services</w:t>
      </w:r>
      <w:r>
        <w:rPr>
          <w:spacing w:val="-7"/>
          <w:sz w:val="22"/>
        </w:rPr>
        <w:t> </w:t>
      </w:r>
      <w:r>
        <w:rPr>
          <w:sz w:val="22"/>
        </w:rPr>
        <w:t>for</w:t>
      </w:r>
      <w:r>
        <w:rPr>
          <w:spacing w:val="-8"/>
          <w:sz w:val="22"/>
        </w:rPr>
        <w:t> </w:t>
      </w:r>
      <w:r>
        <w:rPr>
          <w:sz w:val="22"/>
        </w:rPr>
        <w:t>Chronic</w:t>
      </w:r>
      <w:r>
        <w:rPr>
          <w:spacing w:val="-9"/>
          <w:sz w:val="22"/>
        </w:rPr>
        <w:t> </w:t>
      </w:r>
      <w:r>
        <w:rPr>
          <w:sz w:val="22"/>
        </w:rPr>
        <w:t>Disease</w:t>
      </w:r>
      <w:r>
        <w:rPr>
          <w:spacing w:val="-8"/>
          <w:sz w:val="22"/>
        </w:rPr>
        <w:t> </w:t>
      </w:r>
      <w:r>
        <w:rPr>
          <w:sz w:val="22"/>
        </w:rPr>
        <w:t>Prevenfion</w:t>
      </w:r>
      <w:r>
        <w:rPr>
          <w:spacing w:val="-8"/>
          <w:sz w:val="22"/>
        </w:rPr>
        <w:t> </w:t>
      </w:r>
      <w:r>
        <w:rPr>
          <w:sz w:val="22"/>
        </w:rPr>
        <w:t>and</w:t>
      </w:r>
      <w:r>
        <w:rPr>
          <w:spacing w:val="-7"/>
          <w:sz w:val="22"/>
        </w:rPr>
        <w:t> </w:t>
      </w:r>
      <w:r>
        <w:rPr>
          <w:spacing w:val="-2"/>
          <w:sz w:val="22"/>
        </w:rPr>
        <w:t>Control</w:t>
      </w:r>
    </w:p>
    <w:p>
      <w:pPr>
        <w:pStyle w:val="ListParagraph"/>
        <w:numPr>
          <w:ilvl w:val="0"/>
          <w:numId w:val="1"/>
        </w:numPr>
        <w:tabs>
          <w:tab w:pos="2159" w:val="left" w:leader="none"/>
        </w:tabs>
        <w:spacing w:line="240" w:lineRule="auto" w:before="22" w:after="0"/>
        <w:ind w:left="2159" w:right="0" w:hanging="359"/>
        <w:jc w:val="left"/>
        <w:rPr>
          <w:sz w:val="22"/>
        </w:rPr>
      </w:pPr>
      <w:r>
        <w:rPr>
          <w:sz w:val="22"/>
        </w:rPr>
        <w:t>Anxiety</w:t>
      </w:r>
      <w:r>
        <w:rPr>
          <w:spacing w:val="-4"/>
          <w:sz w:val="22"/>
        </w:rPr>
        <w:t> </w:t>
      </w:r>
      <w:r>
        <w:rPr>
          <w:sz w:val="22"/>
        </w:rPr>
        <w:t>and</w:t>
      </w:r>
      <w:r>
        <w:rPr>
          <w:spacing w:val="-3"/>
          <w:sz w:val="22"/>
        </w:rPr>
        <w:t> </w:t>
      </w:r>
      <w:r>
        <w:rPr>
          <w:spacing w:val="-2"/>
          <w:sz w:val="22"/>
        </w:rPr>
        <w:t>Stress</w:t>
      </w:r>
    </w:p>
    <w:p>
      <w:pPr>
        <w:pStyle w:val="Heading4"/>
        <w:spacing w:before="181"/>
      </w:pPr>
      <w:r>
        <w:rPr/>
        <w:t>Data</w:t>
      </w:r>
      <w:r>
        <w:rPr>
          <w:spacing w:val="-7"/>
        </w:rPr>
        <w:t> </w:t>
      </w:r>
      <w:r>
        <w:rPr>
          <w:spacing w:val="-2"/>
        </w:rPr>
        <w:t>Sources</w:t>
      </w:r>
    </w:p>
    <w:p>
      <w:pPr>
        <w:pStyle w:val="BodyText"/>
        <w:spacing w:line="259" w:lineRule="auto" w:before="180"/>
        <w:ind w:right="1467"/>
      </w:pPr>
      <w:r>
        <w:rPr/>
        <w:t>Yates County’s CHA incorporated a blend of quanfitafive and qualitafive data sources, including secondary data from the New York State Behavioral Risk Factor Surveillance System, County Health Rankings</w:t>
      </w:r>
      <w:r>
        <w:rPr>
          <w:spacing w:val="-5"/>
        </w:rPr>
        <w:t> </w:t>
      </w:r>
      <w:r>
        <w:rPr/>
        <w:t>and</w:t>
      </w:r>
      <w:r>
        <w:rPr>
          <w:spacing w:val="-6"/>
        </w:rPr>
        <w:t> </w:t>
      </w:r>
      <w:r>
        <w:rPr/>
        <w:t>Roadmaps,</w:t>
      </w:r>
      <w:r>
        <w:rPr>
          <w:spacing w:val="-4"/>
        </w:rPr>
        <w:t> </w:t>
      </w:r>
      <w:r>
        <w:rPr/>
        <w:t>the</w:t>
      </w:r>
      <w:r>
        <w:rPr>
          <w:spacing w:val="-4"/>
        </w:rPr>
        <w:t> </w:t>
      </w:r>
      <w:r>
        <w:rPr/>
        <w:t>Nafional</w:t>
      </w:r>
      <w:r>
        <w:rPr>
          <w:spacing w:val="-5"/>
        </w:rPr>
        <w:t> </w:t>
      </w:r>
      <w:r>
        <w:rPr/>
        <w:t>Center</w:t>
      </w:r>
      <w:r>
        <w:rPr>
          <w:spacing w:val="-5"/>
        </w:rPr>
        <w:t> </w:t>
      </w:r>
      <w:r>
        <w:rPr/>
        <w:t>for</w:t>
      </w:r>
      <w:r>
        <w:rPr>
          <w:spacing w:val="-5"/>
        </w:rPr>
        <w:t> </w:t>
      </w:r>
      <w:r>
        <w:rPr/>
        <w:t>Health</w:t>
      </w:r>
      <w:r>
        <w:rPr>
          <w:spacing w:val="-6"/>
        </w:rPr>
        <w:t> </w:t>
      </w:r>
      <w:r>
        <w:rPr/>
        <w:t>Stafisfics,</w:t>
      </w:r>
      <w:r>
        <w:rPr>
          <w:spacing w:val="-7"/>
        </w:rPr>
        <w:t> </w:t>
      </w:r>
      <w:r>
        <w:rPr/>
        <w:t>the</w:t>
      </w:r>
      <w:r>
        <w:rPr>
          <w:spacing w:val="-4"/>
        </w:rPr>
        <w:t> </w:t>
      </w:r>
      <w:r>
        <w:rPr/>
        <w:t>American</w:t>
      </w:r>
      <w:r>
        <w:rPr>
          <w:spacing w:val="-10"/>
        </w:rPr>
        <w:t> </w:t>
      </w:r>
      <w:r>
        <w:rPr/>
        <w:t>Community</w:t>
      </w:r>
      <w:r>
        <w:rPr>
          <w:spacing w:val="-4"/>
        </w:rPr>
        <w:t> </w:t>
      </w:r>
      <w:r>
        <w:rPr/>
        <w:t>Survey,</w:t>
      </w:r>
      <w:r>
        <w:rPr>
          <w:spacing w:val="-5"/>
        </w:rPr>
        <w:t> </w:t>
      </w:r>
      <w:r>
        <w:rPr/>
        <w:t>the</w:t>
      </w:r>
    </w:p>
    <w:p>
      <w:pPr>
        <w:pStyle w:val="BodyText"/>
        <w:spacing w:before="1"/>
      </w:pPr>
      <w:r>
        <w:rPr/>
        <w:t>U.S.</w:t>
      </w:r>
      <w:r>
        <w:rPr>
          <w:spacing w:val="-9"/>
        </w:rPr>
        <w:t> </w:t>
      </w:r>
      <w:r>
        <w:rPr/>
        <w:t>Census,</w:t>
      </w:r>
      <w:r>
        <w:rPr>
          <w:spacing w:val="-6"/>
        </w:rPr>
        <w:t> </w:t>
      </w:r>
      <w:r>
        <w:rPr/>
        <w:t>the</w:t>
      </w:r>
      <w:r>
        <w:rPr>
          <w:spacing w:val="-5"/>
        </w:rPr>
        <w:t> </w:t>
      </w:r>
      <w:r>
        <w:rPr/>
        <w:t>NYS</w:t>
      </w:r>
      <w:r>
        <w:rPr>
          <w:spacing w:val="-9"/>
        </w:rPr>
        <w:t> </w:t>
      </w:r>
      <w:r>
        <w:rPr/>
        <w:t>Medicaid</w:t>
      </w:r>
      <w:r>
        <w:rPr>
          <w:spacing w:val="-7"/>
        </w:rPr>
        <w:t> </w:t>
      </w:r>
      <w:r>
        <w:rPr/>
        <w:t>Program,</w:t>
      </w:r>
      <w:r>
        <w:rPr>
          <w:spacing w:val="-6"/>
        </w:rPr>
        <w:t> </w:t>
      </w:r>
      <w:r>
        <w:rPr/>
        <w:t>and</w:t>
      </w:r>
      <w:r>
        <w:rPr>
          <w:spacing w:val="-7"/>
        </w:rPr>
        <w:t> </w:t>
      </w:r>
      <w:r>
        <w:rPr/>
        <w:t>local</w:t>
      </w:r>
      <w:r>
        <w:rPr>
          <w:spacing w:val="-6"/>
        </w:rPr>
        <w:t> </w:t>
      </w:r>
      <w:r>
        <w:rPr/>
        <w:t>performance</w:t>
      </w:r>
      <w:r>
        <w:rPr>
          <w:spacing w:val="-7"/>
        </w:rPr>
        <w:t> </w:t>
      </w:r>
      <w:r>
        <w:rPr>
          <w:spacing w:val="-2"/>
        </w:rPr>
        <w:t>reports.</w:t>
      </w:r>
    </w:p>
    <w:p>
      <w:pPr>
        <w:pStyle w:val="Heading4"/>
        <w:spacing w:before="180"/>
      </w:pPr>
      <w:r>
        <w:rPr/>
        <w:t>Partners</w:t>
      </w:r>
      <w:r>
        <w:rPr>
          <w:spacing w:val="-8"/>
        </w:rPr>
        <w:t> </w:t>
      </w:r>
      <w:r>
        <w:rPr/>
        <w:t>and</w:t>
      </w:r>
      <w:r>
        <w:rPr>
          <w:spacing w:val="-7"/>
        </w:rPr>
        <w:t> </w:t>
      </w:r>
      <w:r>
        <w:rPr>
          <w:spacing w:val="-4"/>
        </w:rPr>
        <w:t>Roles</w:t>
      </w:r>
    </w:p>
    <w:p>
      <w:pPr>
        <w:pStyle w:val="BodyText"/>
        <w:spacing w:line="259" w:lineRule="auto" w:before="180"/>
        <w:ind w:right="1467"/>
      </w:pPr>
      <w:r>
        <w:rPr/>
        <w:t>The Choose Health Yates Commiftee was integral in the development of the CHA, along with the parficipafing partners and community representafion listed in Appendix 1. Yates County community members</w:t>
      </w:r>
      <w:r>
        <w:rPr>
          <w:spacing w:val="-6"/>
        </w:rPr>
        <w:t> </w:t>
      </w:r>
      <w:r>
        <w:rPr/>
        <w:t>were</w:t>
      </w:r>
      <w:r>
        <w:rPr>
          <w:spacing w:val="-8"/>
        </w:rPr>
        <w:t> </w:t>
      </w:r>
      <w:r>
        <w:rPr/>
        <w:t>invited</w:t>
      </w:r>
      <w:r>
        <w:rPr>
          <w:spacing w:val="-9"/>
        </w:rPr>
        <w:t> </w:t>
      </w:r>
      <w:r>
        <w:rPr/>
        <w:t>to</w:t>
      </w:r>
      <w:r>
        <w:rPr>
          <w:spacing w:val="-7"/>
        </w:rPr>
        <w:t> </w:t>
      </w:r>
      <w:r>
        <w:rPr/>
        <w:t>aftend</w:t>
      </w:r>
      <w:r>
        <w:rPr>
          <w:spacing w:val="-7"/>
        </w:rPr>
        <w:t> </w:t>
      </w:r>
      <w:r>
        <w:rPr/>
        <w:t>the</w:t>
      </w:r>
      <w:r>
        <w:rPr>
          <w:spacing w:val="-5"/>
        </w:rPr>
        <w:t> </w:t>
      </w:r>
      <w:r>
        <w:rPr/>
        <w:t>Choose</w:t>
      </w:r>
      <w:r>
        <w:rPr>
          <w:spacing w:val="-5"/>
        </w:rPr>
        <w:t> </w:t>
      </w:r>
      <w:r>
        <w:rPr/>
        <w:t>Health</w:t>
      </w:r>
      <w:r>
        <w:rPr>
          <w:spacing w:val="-6"/>
        </w:rPr>
        <w:t> </w:t>
      </w:r>
      <w:r>
        <w:rPr/>
        <w:t>Yates</w:t>
      </w:r>
      <w:r>
        <w:rPr>
          <w:spacing w:val="-8"/>
        </w:rPr>
        <w:t> </w:t>
      </w:r>
      <w:r>
        <w:rPr/>
        <w:t>meefings</w:t>
      </w:r>
      <w:r>
        <w:rPr>
          <w:spacing w:val="-6"/>
        </w:rPr>
        <w:t> </w:t>
      </w:r>
      <w:r>
        <w:rPr/>
        <w:t>through</w:t>
      </w:r>
      <w:r>
        <w:rPr>
          <w:spacing w:val="-7"/>
        </w:rPr>
        <w:t> </w:t>
      </w:r>
      <w:r>
        <w:rPr/>
        <w:t>local</w:t>
      </w:r>
      <w:r>
        <w:rPr>
          <w:spacing w:val="-9"/>
        </w:rPr>
        <w:t> </w:t>
      </w:r>
      <w:r>
        <w:rPr/>
        <w:t>radio</w:t>
      </w:r>
      <w:r>
        <w:rPr>
          <w:spacing w:val="-5"/>
        </w:rPr>
        <w:t> </w:t>
      </w:r>
      <w:r>
        <w:rPr/>
        <w:t>announcements and meefing dates published on the local health department’s website. During the CHA development, Choose Health Yates met regularly to develop and integrate informafion collected through use of the MAPP 2.0 framework.</w:t>
      </w:r>
    </w:p>
    <w:p>
      <w:pPr>
        <w:pStyle w:val="BodyText"/>
        <w:spacing w:line="259" w:lineRule="auto" w:before="161"/>
        <w:ind w:right="1467"/>
      </w:pPr>
      <w:r>
        <w:rPr/>
        <w:t>Valuable</w:t>
      </w:r>
      <w:r>
        <w:rPr>
          <w:spacing w:val="-7"/>
        </w:rPr>
        <w:t> </w:t>
      </w:r>
      <w:r>
        <w:rPr/>
        <w:t>organizafional</w:t>
      </w:r>
      <w:r>
        <w:rPr>
          <w:spacing w:val="-8"/>
        </w:rPr>
        <w:t> </w:t>
      </w:r>
      <w:r>
        <w:rPr/>
        <w:t>data</w:t>
      </w:r>
      <w:r>
        <w:rPr>
          <w:spacing w:val="-8"/>
        </w:rPr>
        <w:t> </w:t>
      </w:r>
      <w:r>
        <w:rPr/>
        <w:t>and</w:t>
      </w:r>
      <w:r>
        <w:rPr>
          <w:spacing w:val="-8"/>
        </w:rPr>
        <w:t> </w:t>
      </w:r>
      <w:r>
        <w:rPr/>
        <w:t>community</w:t>
      </w:r>
      <w:r>
        <w:rPr>
          <w:spacing w:val="-7"/>
        </w:rPr>
        <w:t> </w:t>
      </w:r>
      <w:r>
        <w:rPr/>
        <w:t>insights</w:t>
      </w:r>
      <w:r>
        <w:rPr>
          <w:spacing w:val="-9"/>
        </w:rPr>
        <w:t> </w:t>
      </w:r>
      <w:r>
        <w:rPr/>
        <w:t>were</w:t>
      </w:r>
      <w:r>
        <w:rPr>
          <w:spacing w:val="-8"/>
        </w:rPr>
        <w:t> </w:t>
      </w:r>
      <w:r>
        <w:rPr/>
        <w:t>compiled</w:t>
      </w:r>
      <w:r>
        <w:rPr>
          <w:spacing w:val="-8"/>
        </w:rPr>
        <w:t> </w:t>
      </w:r>
      <w:r>
        <w:rPr/>
        <w:t>to</w:t>
      </w:r>
      <w:r>
        <w:rPr>
          <w:spacing w:val="-8"/>
        </w:rPr>
        <w:t> </w:t>
      </w:r>
      <w:r>
        <w:rPr/>
        <w:t>create</w:t>
      </w:r>
      <w:r>
        <w:rPr>
          <w:spacing w:val="-7"/>
        </w:rPr>
        <w:t> </w:t>
      </w:r>
      <w:r>
        <w:rPr/>
        <w:t>a</w:t>
      </w:r>
      <w:r>
        <w:rPr>
          <w:spacing w:val="-9"/>
        </w:rPr>
        <w:t> </w:t>
      </w:r>
      <w:r>
        <w:rPr/>
        <w:t>comprehensive</w:t>
      </w:r>
      <w:r>
        <w:rPr>
          <w:spacing w:val="-7"/>
        </w:rPr>
        <w:t> </w:t>
      </w:r>
      <w:r>
        <w:rPr/>
        <w:t>county proﬁle. Gathering this informafion was completed using three assessments: the Community Partner Assessment (CPA), Community Context Assessment (CCA), and Community Status Assessment (CSA).</w:t>
      </w:r>
    </w:p>
    <w:p>
      <w:pPr>
        <w:pStyle w:val="BodyText"/>
        <w:spacing w:line="259" w:lineRule="auto"/>
        <w:ind w:right="1467"/>
      </w:pPr>
      <w:r>
        <w:rPr/>
        <w:t>Throughout</w:t>
      </w:r>
      <w:r>
        <w:rPr>
          <w:spacing w:val="-6"/>
        </w:rPr>
        <w:t> </w:t>
      </w:r>
      <w:r>
        <w:rPr/>
        <w:t>the</w:t>
      </w:r>
      <w:r>
        <w:rPr>
          <w:spacing w:val="-7"/>
        </w:rPr>
        <w:t> </w:t>
      </w:r>
      <w:r>
        <w:rPr/>
        <w:t>process,</w:t>
      </w:r>
      <w:r>
        <w:rPr>
          <w:spacing w:val="-6"/>
        </w:rPr>
        <w:t> </w:t>
      </w:r>
      <w:r>
        <w:rPr/>
        <w:t>partners</w:t>
      </w:r>
      <w:r>
        <w:rPr>
          <w:spacing w:val="-6"/>
        </w:rPr>
        <w:t> </w:t>
      </w:r>
      <w:r>
        <w:rPr/>
        <w:t>and</w:t>
      </w:r>
      <w:r>
        <w:rPr>
          <w:spacing w:val="-7"/>
        </w:rPr>
        <w:t> </w:t>
      </w:r>
      <w:r>
        <w:rPr/>
        <w:t>community</w:t>
      </w:r>
      <w:r>
        <w:rPr>
          <w:spacing w:val="-7"/>
        </w:rPr>
        <w:t> </w:t>
      </w:r>
      <w:r>
        <w:rPr/>
        <w:t>members</w:t>
      </w:r>
      <w:r>
        <w:rPr>
          <w:spacing w:val="-6"/>
        </w:rPr>
        <w:t> </w:t>
      </w:r>
      <w:r>
        <w:rPr/>
        <w:t>parficipated</w:t>
      </w:r>
      <w:r>
        <w:rPr>
          <w:spacing w:val="-7"/>
        </w:rPr>
        <w:t> </w:t>
      </w:r>
      <w:r>
        <w:rPr/>
        <w:t>in</w:t>
      </w:r>
      <w:r>
        <w:rPr>
          <w:spacing w:val="-6"/>
        </w:rPr>
        <w:t> </w:t>
      </w:r>
      <w:r>
        <w:rPr/>
        <w:t>regular</w:t>
      </w:r>
      <w:r>
        <w:rPr>
          <w:spacing w:val="-6"/>
        </w:rPr>
        <w:t> </w:t>
      </w:r>
      <w:r>
        <w:rPr/>
        <w:t>Choose</w:t>
      </w:r>
      <w:r>
        <w:rPr>
          <w:spacing w:val="-5"/>
        </w:rPr>
        <w:t> </w:t>
      </w:r>
      <w:r>
        <w:rPr/>
        <w:t>Health</w:t>
      </w:r>
      <w:r>
        <w:rPr>
          <w:spacing w:val="-9"/>
        </w:rPr>
        <w:t> </w:t>
      </w:r>
      <w:r>
        <w:rPr/>
        <w:t>Yates meefings where ﬁndings from the assessments menfioned above were presented. These sessions encouraged quesfions, feedback, and shared interpretafion of the data. The full commiftee collaborafively reviewed and discussed the triangulated results of all three assessments, allowing partners to validate ﬁndings and idenfify key health themes, leading to the selecfion of priorifies.</w:t>
      </w:r>
    </w:p>
    <w:p>
      <w:pPr>
        <w:pStyle w:val="Heading4"/>
        <w:spacing w:before="156"/>
      </w:pPr>
      <w:r>
        <w:rPr/>
        <w:t>Summary</w:t>
      </w:r>
      <w:r>
        <w:rPr>
          <w:spacing w:val="-2"/>
        </w:rPr>
        <w:t> </w:t>
      </w:r>
      <w:r>
        <w:rPr/>
        <w:t>of</w:t>
      </w:r>
      <w:r>
        <w:rPr>
          <w:spacing w:val="-2"/>
        </w:rPr>
        <w:t> Findings</w:t>
      </w:r>
    </w:p>
    <w:p>
      <w:pPr>
        <w:pStyle w:val="BodyText"/>
        <w:spacing w:before="183"/>
        <w:ind w:right="1467"/>
      </w:pPr>
      <w:r>
        <w:rPr/>
        <w:t>Yates County faces a complex mix of social, economic, and health challenges that inﬂuence the overall well-being of its residents. Poverty has increased to 14.1%, with the highest concentrafions in the southern part of the county, and older adults have experienced a parficularly sharp rise in ﬁnancial hardship. Median household income remains below the state average, and while unemployment is relafively low, wages are not keeping pace with the cost of living, creafing economic stress for many families. Even though homeownership rates are high compared to NYS, households have experienced 1 of</w:t>
      </w:r>
      <w:r>
        <w:rPr>
          <w:spacing w:val="-4"/>
        </w:rPr>
        <w:t> </w:t>
      </w:r>
      <w:r>
        <w:rPr/>
        <w:t>4</w:t>
      </w:r>
      <w:r>
        <w:rPr>
          <w:spacing w:val="-5"/>
        </w:rPr>
        <w:t> </w:t>
      </w:r>
      <w:r>
        <w:rPr/>
        <w:t>housing</w:t>
      </w:r>
      <w:r>
        <w:rPr>
          <w:spacing w:val="-4"/>
        </w:rPr>
        <w:t> </w:t>
      </w:r>
      <w:r>
        <w:rPr/>
        <w:t>problems</w:t>
      </w:r>
      <w:r>
        <w:rPr>
          <w:spacing w:val="-6"/>
        </w:rPr>
        <w:t> </w:t>
      </w:r>
      <w:r>
        <w:rPr/>
        <w:t>(overcrowding,</w:t>
      </w:r>
      <w:r>
        <w:rPr>
          <w:spacing w:val="-4"/>
        </w:rPr>
        <w:t> </w:t>
      </w:r>
      <w:r>
        <w:rPr/>
        <w:t>high</w:t>
      </w:r>
      <w:r>
        <w:rPr>
          <w:spacing w:val="-4"/>
        </w:rPr>
        <w:t> </w:t>
      </w:r>
      <w:r>
        <w:rPr/>
        <w:t>housing</w:t>
      </w:r>
      <w:r>
        <w:rPr>
          <w:spacing w:val="-4"/>
        </w:rPr>
        <w:t> </w:t>
      </w:r>
      <w:r>
        <w:rPr/>
        <w:t>costs,</w:t>
      </w:r>
      <w:r>
        <w:rPr>
          <w:spacing w:val="-4"/>
        </w:rPr>
        <w:t> </w:t>
      </w:r>
      <w:r>
        <w:rPr/>
        <w:t>and/or</w:t>
      </w:r>
      <w:r>
        <w:rPr>
          <w:spacing w:val="-4"/>
        </w:rPr>
        <w:t> </w:t>
      </w:r>
      <w:r>
        <w:rPr/>
        <w:t>lack</w:t>
      </w:r>
      <w:r>
        <w:rPr>
          <w:spacing w:val="-3"/>
        </w:rPr>
        <w:t> </w:t>
      </w:r>
      <w:r>
        <w:rPr/>
        <w:t>of</w:t>
      </w:r>
      <w:r>
        <w:rPr>
          <w:spacing w:val="-6"/>
        </w:rPr>
        <w:t> </w:t>
      </w:r>
      <w:r>
        <w:rPr/>
        <w:t>kitchen</w:t>
      </w:r>
      <w:r>
        <w:rPr>
          <w:spacing w:val="-7"/>
        </w:rPr>
        <w:t> </w:t>
      </w:r>
      <w:r>
        <w:rPr/>
        <w:t>or</w:t>
      </w:r>
      <w:r>
        <w:rPr>
          <w:spacing w:val="-4"/>
        </w:rPr>
        <w:t> </w:t>
      </w:r>
      <w:r>
        <w:rPr/>
        <w:t>plumbing</w:t>
      </w:r>
      <w:r>
        <w:rPr>
          <w:spacing w:val="-4"/>
        </w:rPr>
        <w:t> </w:t>
      </w:r>
      <w:r>
        <w:rPr/>
        <w:t>facilifies)</w:t>
      </w:r>
      <w:r>
        <w:rPr>
          <w:spacing w:val="-4"/>
        </w:rPr>
        <w:t> </w:t>
      </w:r>
      <w:r>
        <w:rPr/>
        <w:t>at higher rates since 2020. Nutrifion security appears stable, with most residents having access to healthy food, but gaps in physical acfivity opportunifies, walkable spaces, and community amenifies highlight barriers to healthy lifestyles.</w:t>
      </w:r>
    </w:p>
    <w:p>
      <w:pPr>
        <w:pStyle w:val="BodyText"/>
        <w:spacing w:after="0"/>
        <w:sectPr>
          <w:pgSz w:w="12240" w:h="15840"/>
          <w:pgMar w:header="161" w:footer="1223" w:top="1360" w:bottom="1420" w:left="0" w:right="0"/>
        </w:sectPr>
      </w:pPr>
    </w:p>
    <w:p>
      <w:pPr>
        <w:pStyle w:val="BodyText"/>
        <w:spacing w:line="259" w:lineRule="auto" w:before="64"/>
        <w:ind w:right="1467"/>
      </w:pPr>
      <w:r>
        <w:rPr/>
        <w:t>Mental</w:t>
      </w:r>
      <w:r>
        <w:rPr>
          <w:spacing w:val="-3"/>
        </w:rPr>
        <w:t> </w:t>
      </w:r>
      <w:r>
        <w:rPr/>
        <w:t>health</w:t>
      </w:r>
      <w:r>
        <w:rPr>
          <w:spacing w:val="-4"/>
        </w:rPr>
        <w:t> </w:t>
      </w:r>
      <w:r>
        <w:rPr/>
        <w:t>is</w:t>
      </w:r>
      <w:r>
        <w:rPr>
          <w:spacing w:val="-5"/>
        </w:rPr>
        <w:t> </w:t>
      </w:r>
      <w:r>
        <w:rPr/>
        <w:t>a</w:t>
      </w:r>
      <w:r>
        <w:rPr>
          <w:spacing w:val="-3"/>
        </w:rPr>
        <w:t> </w:t>
      </w:r>
      <w:r>
        <w:rPr/>
        <w:t>growing</w:t>
      </w:r>
      <w:r>
        <w:rPr>
          <w:spacing w:val="-6"/>
        </w:rPr>
        <w:t> </w:t>
      </w:r>
      <w:r>
        <w:rPr/>
        <w:t>concern.</w:t>
      </w:r>
      <w:r>
        <w:rPr>
          <w:spacing w:val="-3"/>
        </w:rPr>
        <w:t> </w:t>
      </w:r>
      <w:r>
        <w:rPr/>
        <w:t>Rates</w:t>
      </w:r>
      <w:r>
        <w:rPr>
          <w:spacing w:val="-5"/>
        </w:rPr>
        <w:t> </w:t>
      </w:r>
      <w:r>
        <w:rPr/>
        <w:t>of</w:t>
      </w:r>
      <w:r>
        <w:rPr>
          <w:spacing w:val="-3"/>
        </w:rPr>
        <w:t> </w:t>
      </w:r>
      <w:r>
        <w:rPr/>
        <w:t>adults</w:t>
      </w:r>
      <w:r>
        <w:rPr>
          <w:spacing w:val="-5"/>
        </w:rPr>
        <w:t> </w:t>
      </w:r>
      <w:r>
        <w:rPr/>
        <w:t>reporfing</w:t>
      </w:r>
      <w:r>
        <w:rPr>
          <w:spacing w:val="-4"/>
        </w:rPr>
        <w:t> </w:t>
      </w:r>
      <w:r>
        <w:rPr/>
        <w:t>poor</w:t>
      </w:r>
      <w:r>
        <w:rPr>
          <w:spacing w:val="-5"/>
        </w:rPr>
        <w:t> </w:t>
      </w:r>
      <w:r>
        <w:rPr/>
        <w:t>mental</w:t>
      </w:r>
      <w:r>
        <w:rPr>
          <w:spacing w:val="-3"/>
        </w:rPr>
        <w:t> </w:t>
      </w:r>
      <w:r>
        <w:rPr/>
        <w:t>health</w:t>
      </w:r>
      <w:r>
        <w:rPr>
          <w:spacing w:val="-6"/>
        </w:rPr>
        <w:t> </w:t>
      </w:r>
      <w:r>
        <w:rPr/>
        <w:t>and</w:t>
      </w:r>
      <w:r>
        <w:rPr>
          <w:spacing w:val="-4"/>
        </w:rPr>
        <w:t> </w:t>
      </w:r>
      <w:r>
        <w:rPr/>
        <w:t>depression,</w:t>
      </w:r>
      <w:r>
        <w:rPr>
          <w:spacing w:val="-3"/>
        </w:rPr>
        <w:t> </w:t>
      </w:r>
      <w:r>
        <w:rPr/>
        <w:t>along with</w:t>
      </w:r>
      <w:r>
        <w:rPr>
          <w:spacing w:val="-9"/>
        </w:rPr>
        <w:t> </w:t>
      </w:r>
      <w:r>
        <w:rPr/>
        <w:t>elevated</w:t>
      </w:r>
      <w:r>
        <w:rPr>
          <w:spacing w:val="-8"/>
        </w:rPr>
        <w:t> </w:t>
      </w:r>
      <w:r>
        <w:rPr/>
        <w:t>suicide</w:t>
      </w:r>
      <w:r>
        <w:rPr>
          <w:spacing w:val="-7"/>
        </w:rPr>
        <w:t> </w:t>
      </w:r>
      <w:r>
        <w:rPr/>
        <w:t>rates,</w:t>
      </w:r>
      <w:r>
        <w:rPr>
          <w:spacing w:val="-10"/>
        </w:rPr>
        <w:t> </w:t>
      </w:r>
      <w:r>
        <w:rPr/>
        <w:t>exceed</w:t>
      </w:r>
      <w:r>
        <w:rPr>
          <w:spacing w:val="-10"/>
        </w:rPr>
        <w:t> </w:t>
      </w:r>
      <w:r>
        <w:rPr/>
        <w:t>state</w:t>
      </w:r>
      <w:r>
        <w:rPr>
          <w:spacing w:val="-7"/>
        </w:rPr>
        <w:t> </w:t>
      </w:r>
      <w:r>
        <w:rPr/>
        <w:t>averages,</w:t>
      </w:r>
      <w:r>
        <w:rPr>
          <w:spacing w:val="-8"/>
        </w:rPr>
        <w:t> </w:t>
      </w:r>
      <w:r>
        <w:rPr/>
        <w:t>signaling</w:t>
      </w:r>
      <w:r>
        <w:rPr>
          <w:spacing w:val="-8"/>
        </w:rPr>
        <w:t> </w:t>
      </w:r>
      <w:r>
        <w:rPr/>
        <w:t>rising</w:t>
      </w:r>
      <w:r>
        <w:rPr>
          <w:spacing w:val="-8"/>
        </w:rPr>
        <w:t> </w:t>
      </w:r>
      <w:r>
        <w:rPr/>
        <w:t>stress,</w:t>
      </w:r>
      <w:r>
        <w:rPr>
          <w:spacing w:val="-8"/>
        </w:rPr>
        <w:t> </w:t>
      </w:r>
      <w:r>
        <w:rPr/>
        <w:t>anxiety,</w:t>
      </w:r>
      <w:r>
        <w:rPr>
          <w:spacing w:val="-10"/>
        </w:rPr>
        <w:t> </w:t>
      </w:r>
      <w:r>
        <w:rPr/>
        <w:t>and</w:t>
      </w:r>
      <w:r>
        <w:rPr>
          <w:spacing w:val="-9"/>
        </w:rPr>
        <w:t> </w:t>
      </w:r>
      <w:r>
        <w:rPr/>
        <w:t>unmet</w:t>
      </w:r>
      <w:r>
        <w:rPr>
          <w:spacing w:val="-7"/>
        </w:rPr>
        <w:t> </w:t>
      </w:r>
      <w:r>
        <w:rPr/>
        <w:t>behavioral health needs. Substance use and</w:t>
      </w:r>
      <w:r>
        <w:rPr>
          <w:spacing w:val="-1"/>
        </w:rPr>
        <w:t> </w:t>
      </w:r>
      <w:r>
        <w:rPr/>
        <w:t>overdose trends have decreased, along</w:t>
      </w:r>
      <w:r>
        <w:rPr>
          <w:spacing w:val="-1"/>
        </w:rPr>
        <w:t> </w:t>
      </w:r>
      <w:r>
        <w:rPr/>
        <w:t>with the percentage of adults who are current smokers.</w:t>
      </w:r>
    </w:p>
    <w:p>
      <w:pPr>
        <w:pStyle w:val="BodyText"/>
        <w:spacing w:line="259" w:lineRule="auto" w:before="160"/>
        <w:ind w:right="1467"/>
      </w:pPr>
      <w:r>
        <w:rPr/>
        <w:t>Access</w:t>
      </w:r>
      <w:r>
        <w:rPr>
          <w:spacing w:val="-8"/>
        </w:rPr>
        <w:t> </w:t>
      </w:r>
      <w:r>
        <w:rPr/>
        <w:t>to</w:t>
      </w:r>
      <w:r>
        <w:rPr>
          <w:spacing w:val="-5"/>
        </w:rPr>
        <w:t> </w:t>
      </w:r>
      <w:r>
        <w:rPr/>
        <w:t>healthcare</w:t>
      </w:r>
      <w:r>
        <w:rPr>
          <w:spacing w:val="-6"/>
        </w:rPr>
        <w:t> </w:t>
      </w:r>
      <w:r>
        <w:rPr/>
        <w:t>is</w:t>
      </w:r>
      <w:r>
        <w:rPr>
          <w:spacing w:val="-7"/>
        </w:rPr>
        <w:t> </w:t>
      </w:r>
      <w:r>
        <w:rPr/>
        <w:t>strained</w:t>
      </w:r>
      <w:r>
        <w:rPr>
          <w:spacing w:val="-8"/>
        </w:rPr>
        <w:t> </w:t>
      </w:r>
      <w:r>
        <w:rPr/>
        <w:t>by</w:t>
      </w:r>
      <w:r>
        <w:rPr>
          <w:spacing w:val="-6"/>
        </w:rPr>
        <w:t> </w:t>
      </w:r>
      <w:r>
        <w:rPr/>
        <w:t>provider</w:t>
      </w:r>
      <w:r>
        <w:rPr>
          <w:spacing w:val="-7"/>
        </w:rPr>
        <w:t> </w:t>
      </w:r>
      <w:r>
        <w:rPr/>
        <w:t>shortages,</w:t>
      </w:r>
      <w:r>
        <w:rPr>
          <w:spacing w:val="-11"/>
        </w:rPr>
        <w:t> </w:t>
      </w:r>
      <w:r>
        <w:rPr/>
        <w:t>geographic</w:t>
      </w:r>
      <w:r>
        <w:rPr>
          <w:spacing w:val="-6"/>
        </w:rPr>
        <w:t> </w:t>
      </w:r>
      <w:r>
        <w:rPr/>
        <w:t>barriers,</w:t>
      </w:r>
      <w:r>
        <w:rPr>
          <w:spacing w:val="-7"/>
        </w:rPr>
        <w:t> </w:t>
      </w:r>
      <w:r>
        <w:rPr/>
        <w:t>and</w:t>
      </w:r>
      <w:r>
        <w:rPr>
          <w:spacing w:val="-8"/>
        </w:rPr>
        <w:t> </w:t>
      </w:r>
      <w:r>
        <w:rPr/>
        <w:t>declining</w:t>
      </w:r>
      <w:r>
        <w:rPr>
          <w:spacing w:val="-7"/>
        </w:rPr>
        <w:t> </w:t>
      </w:r>
      <w:r>
        <w:rPr/>
        <w:t>insurance coverage for adults and children. Prevenfive care indicators, including screenings, dental care, immunizafions, and</w:t>
      </w:r>
      <w:r>
        <w:rPr>
          <w:spacing w:val="-1"/>
        </w:rPr>
        <w:t> </w:t>
      </w:r>
      <w:r>
        <w:rPr/>
        <w:t>lead</w:t>
      </w:r>
      <w:r>
        <w:rPr>
          <w:spacing w:val="-1"/>
        </w:rPr>
        <w:t> </w:t>
      </w:r>
      <w:r>
        <w:rPr/>
        <w:t>tesfing, show lower complefion</w:t>
      </w:r>
      <w:r>
        <w:rPr>
          <w:spacing w:val="-1"/>
        </w:rPr>
        <w:t> </w:t>
      </w:r>
      <w:r>
        <w:rPr/>
        <w:t>rates</w:t>
      </w:r>
      <w:r>
        <w:rPr>
          <w:spacing w:val="-2"/>
        </w:rPr>
        <w:t> </w:t>
      </w:r>
      <w:r>
        <w:rPr/>
        <w:t>among</w:t>
      </w:r>
      <w:r>
        <w:rPr>
          <w:spacing w:val="-3"/>
        </w:rPr>
        <w:t> </w:t>
      </w:r>
      <w:r>
        <w:rPr/>
        <w:t>Medicaid</w:t>
      </w:r>
      <w:r>
        <w:rPr>
          <w:spacing w:val="-3"/>
        </w:rPr>
        <w:t> </w:t>
      </w:r>
      <w:r>
        <w:rPr/>
        <w:t>enrollees and</w:t>
      </w:r>
      <w:r>
        <w:rPr>
          <w:spacing w:val="-1"/>
        </w:rPr>
        <w:t> </w:t>
      </w:r>
      <w:r>
        <w:rPr/>
        <w:t>low-income populafions.</w:t>
      </w:r>
    </w:p>
    <w:p>
      <w:pPr>
        <w:pStyle w:val="BodyText"/>
        <w:spacing w:line="259" w:lineRule="auto" w:before="157"/>
        <w:ind w:right="1467"/>
      </w:pPr>
      <w:r>
        <w:rPr/>
        <w:t>High</w:t>
      </w:r>
      <w:r>
        <w:rPr>
          <w:spacing w:val="-7"/>
        </w:rPr>
        <w:t> </w:t>
      </w:r>
      <w:r>
        <w:rPr/>
        <w:t>school</w:t>
      </w:r>
      <w:r>
        <w:rPr>
          <w:spacing w:val="-10"/>
        </w:rPr>
        <w:t> </w:t>
      </w:r>
      <w:r>
        <w:rPr/>
        <w:t>complefion</w:t>
      </w:r>
      <w:r>
        <w:rPr>
          <w:spacing w:val="-8"/>
        </w:rPr>
        <w:t> </w:t>
      </w:r>
      <w:r>
        <w:rPr/>
        <w:t>and</w:t>
      </w:r>
      <w:r>
        <w:rPr>
          <w:spacing w:val="-8"/>
        </w:rPr>
        <w:t> </w:t>
      </w:r>
      <w:r>
        <w:rPr/>
        <w:t>post-secondary</w:t>
      </w:r>
      <w:r>
        <w:rPr>
          <w:spacing w:val="-8"/>
        </w:rPr>
        <w:t> </w:t>
      </w:r>
      <w:r>
        <w:rPr/>
        <w:t>enrollment</w:t>
      </w:r>
      <w:r>
        <w:rPr>
          <w:spacing w:val="-7"/>
        </w:rPr>
        <w:t> </w:t>
      </w:r>
      <w:r>
        <w:rPr/>
        <w:t>lag</w:t>
      </w:r>
      <w:r>
        <w:rPr>
          <w:spacing w:val="-7"/>
        </w:rPr>
        <w:t> </w:t>
      </w:r>
      <w:r>
        <w:rPr/>
        <w:t>state</w:t>
      </w:r>
      <w:r>
        <w:rPr>
          <w:spacing w:val="-7"/>
        </w:rPr>
        <w:t> </w:t>
      </w:r>
      <w:r>
        <w:rPr/>
        <w:t>averages,</w:t>
      </w:r>
      <w:r>
        <w:rPr>
          <w:spacing w:val="-7"/>
        </w:rPr>
        <w:t> </w:t>
      </w:r>
      <w:r>
        <w:rPr/>
        <w:t>and</w:t>
      </w:r>
      <w:r>
        <w:rPr>
          <w:spacing w:val="-8"/>
        </w:rPr>
        <w:t> </w:t>
      </w:r>
      <w:r>
        <w:rPr/>
        <w:t>the</w:t>
      </w:r>
      <w:r>
        <w:rPr>
          <w:spacing w:val="-7"/>
        </w:rPr>
        <w:t> </w:t>
      </w:r>
      <w:r>
        <w:rPr/>
        <w:t>four-year</w:t>
      </w:r>
      <w:r>
        <w:rPr>
          <w:spacing w:val="-7"/>
        </w:rPr>
        <w:t> </w:t>
      </w:r>
      <w:r>
        <w:rPr/>
        <w:t>graduafion rate</w:t>
      </w:r>
      <w:r>
        <w:rPr>
          <w:spacing w:val="-1"/>
        </w:rPr>
        <w:t> </w:t>
      </w:r>
      <w:r>
        <w:rPr/>
        <w:t>is</w:t>
      </w:r>
      <w:r>
        <w:rPr>
          <w:spacing w:val="-2"/>
        </w:rPr>
        <w:t> </w:t>
      </w:r>
      <w:r>
        <w:rPr/>
        <w:t>lower</w:t>
      </w:r>
      <w:r>
        <w:rPr>
          <w:spacing w:val="-2"/>
        </w:rPr>
        <w:t> </w:t>
      </w:r>
      <w:r>
        <w:rPr/>
        <w:t>than</w:t>
      </w:r>
      <w:r>
        <w:rPr>
          <w:spacing w:val="-5"/>
        </w:rPr>
        <w:t> </w:t>
      </w:r>
      <w:r>
        <w:rPr/>
        <w:t>the</w:t>
      </w:r>
      <w:r>
        <w:rPr>
          <w:spacing w:val="-1"/>
        </w:rPr>
        <w:t> </w:t>
      </w:r>
      <w:r>
        <w:rPr/>
        <w:t>state</w:t>
      </w:r>
      <w:r>
        <w:rPr>
          <w:spacing w:val="-6"/>
        </w:rPr>
        <w:t> </w:t>
      </w:r>
      <w:r>
        <w:rPr/>
        <w:t>average.</w:t>
      </w:r>
      <w:r>
        <w:rPr>
          <w:spacing w:val="-2"/>
        </w:rPr>
        <w:t> </w:t>
      </w:r>
      <w:r>
        <w:rPr/>
        <w:t>School</w:t>
      </w:r>
      <w:r>
        <w:rPr>
          <w:spacing w:val="-2"/>
        </w:rPr>
        <w:t> </w:t>
      </w:r>
      <w:r>
        <w:rPr/>
        <w:t>funding</w:t>
      </w:r>
      <w:r>
        <w:rPr>
          <w:spacing w:val="-2"/>
        </w:rPr>
        <w:t> </w:t>
      </w:r>
      <w:r>
        <w:rPr/>
        <w:t>gaps</w:t>
      </w:r>
      <w:r>
        <w:rPr>
          <w:spacing w:val="-2"/>
        </w:rPr>
        <w:t> </w:t>
      </w:r>
      <w:r>
        <w:rPr/>
        <w:t>have</w:t>
      </w:r>
      <w:r>
        <w:rPr>
          <w:spacing w:val="-1"/>
        </w:rPr>
        <w:t> </w:t>
      </w:r>
      <w:r>
        <w:rPr/>
        <w:t>slightly</w:t>
      </w:r>
      <w:r>
        <w:rPr>
          <w:spacing w:val="-1"/>
        </w:rPr>
        <w:t> </w:t>
      </w:r>
      <w:r>
        <w:rPr/>
        <w:t>worsened,</w:t>
      </w:r>
      <w:r>
        <w:rPr>
          <w:spacing w:val="-4"/>
        </w:rPr>
        <w:t> </w:t>
      </w:r>
      <w:r>
        <w:rPr/>
        <w:t>limifing</w:t>
      </w:r>
      <w:r>
        <w:rPr>
          <w:spacing w:val="-3"/>
        </w:rPr>
        <w:t> </w:t>
      </w:r>
      <w:r>
        <w:rPr/>
        <w:t>resources</w:t>
      </w:r>
      <w:r>
        <w:rPr>
          <w:spacing w:val="-2"/>
        </w:rPr>
        <w:t> </w:t>
      </w:r>
      <w:r>
        <w:rPr/>
        <w:t>and programming that support student success. However, students who are economically disadvantaged have shown a promising upward trend in graduafion rates. Civic engagement and social cohesion are moderate, with relafively strong organizafional parficipafion and voter turnout, but social vulnerability remains elevated, parficularly for those facing economic, transportafion, or housing barriers.</w:t>
      </w:r>
    </w:p>
    <w:p>
      <w:pPr>
        <w:pStyle w:val="Heading4"/>
        <w:spacing w:before="160"/>
      </w:pPr>
      <w:r>
        <w:rPr/>
        <w:t>Intervenfions,</w:t>
      </w:r>
      <w:r>
        <w:rPr>
          <w:spacing w:val="-12"/>
        </w:rPr>
        <w:t> </w:t>
      </w:r>
      <w:r>
        <w:rPr/>
        <w:t>Strategies,</w:t>
      </w:r>
      <w:r>
        <w:rPr>
          <w:spacing w:val="-11"/>
        </w:rPr>
        <w:t> </w:t>
      </w:r>
      <w:r>
        <w:rPr/>
        <w:t>and</w:t>
      </w:r>
      <w:r>
        <w:rPr>
          <w:spacing w:val="-12"/>
        </w:rPr>
        <w:t> </w:t>
      </w:r>
      <w:r>
        <w:rPr>
          <w:spacing w:val="-2"/>
        </w:rPr>
        <w:t>Disparifies</w:t>
      </w:r>
    </w:p>
    <w:p>
      <w:pPr>
        <w:pStyle w:val="BodyText"/>
        <w:spacing w:line="259" w:lineRule="auto" w:before="181"/>
        <w:ind w:right="1467"/>
      </w:pPr>
      <w:r>
        <w:rPr/>
        <w:t>Yates County residents who are older adults, children,</w:t>
      </w:r>
      <w:r>
        <w:rPr>
          <w:spacing w:val="-1"/>
        </w:rPr>
        <w:t> </w:t>
      </w:r>
      <w:r>
        <w:rPr/>
        <w:t>of low-income status, and live with a mental health</w:t>
      </w:r>
      <w:r>
        <w:rPr>
          <w:spacing w:val="-6"/>
        </w:rPr>
        <w:t> </w:t>
      </w:r>
      <w:r>
        <w:rPr/>
        <w:t>and/or</w:t>
      </w:r>
      <w:r>
        <w:rPr>
          <w:spacing w:val="-7"/>
        </w:rPr>
        <w:t> </w:t>
      </w:r>
      <w:r>
        <w:rPr/>
        <w:t>substance</w:t>
      </w:r>
      <w:r>
        <w:rPr>
          <w:spacing w:val="-4"/>
        </w:rPr>
        <w:t> </w:t>
      </w:r>
      <w:r>
        <w:rPr/>
        <w:t>use</w:t>
      </w:r>
      <w:r>
        <w:rPr>
          <w:spacing w:val="-4"/>
        </w:rPr>
        <w:t> </w:t>
      </w:r>
      <w:r>
        <w:rPr/>
        <w:t>disorder</w:t>
      </w:r>
      <w:r>
        <w:rPr>
          <w:spacing w:val="-5"/>
        </w:rPr>
        <w:t> </w:t>
      </w:r>
      <w:r>
        <w:rPr/>
        <w:t>face</w:t>
      </w:r>
      <w:r>
        <w:rPr>
          <w:spacing w:val="-4"/>
        </w:rPr>
        <w:t> </w:t>
      </w:r>
      <w:r>
        <w:rPr/>
        <w:t>the</w:t>
      </w:r>
      <w:r>
        <w:rPr>
          <w:spacing w:val="-6"/>
        </w:rPr>
        <w:t> </w:t>
      </w:r>
      <w:r>
        <w:rPr/>
        <w:t>greatest</w:t>
      </w:r>
      <w:r>
        <w:rPr>
          <w:spacing w:val="-7"/>
        </w:rPr>
        <w:t> </w:t>
      </w:r>
      <w:r>
        <w:rPr/>
        <w:t>health</w:t>
      </w:r>
      <w:r>
        <w:rPr>
          <w:spacing w:val="-6"/>
        </w:rPr>
        <w:t> </w:t>
      </w:r>
      <w:r>
        <w:rPr/>
        <w:t>disparifies.</w:t>
      </w:r>
      <w:r>
        <w:rPr>
          <w:spacing w:val="-8"/>
        </w:rPr>
        <w:t> </w:t>
      </w:r>
      <w:r>
        <w:rPr/>
        <w:t>Yates</w:t>
      </w:r>
      <w:r>
        <w:rPr>
          <w:spacing w:val="-7"/>
        </w:rPr>
        <w:t> </w:t>
      </w:r>
      <w:r>
        <w:rPr/>
        <w:t>County</w:t>
      </w:r>
      <w:r>
        <w:rPr>
          <w:spacing w:val="-4"/>
        </w:rPr>
        <w:t> </w:t>
      </w:r>
      <w:r>
        <w:rPr/>
        <w:t>Public</w:t>
      </w:r>
      <w:r>
        <w:rPr>
          <w:spacing w:val="-5"/>
        </w:rPr>
        <w:t> </w:t>
      </w:r>
      <w:r>
        <w:rPr/>
        <w:t>Health</w:t>
      </w:r>
      <w:r>
        <w:rPr>
          <w:spacing w:val="-5"/>
        </w:rPr>
        <w:t> </w:t>
      </w:r>
      <w:r>
        <w:rPr/>
        <w:t>has chosen to submit the Community Health Improvement Plan (CHIP) for June 2026 where more informafion</w:t>
      </w:r>
      <w:r>
        <w:rPr>
          <w:spacing w:val="-4"/>
        </w:rPr>
        <w:t> </w:t>
      </w:r>
      <w:r>
        <w:rPr/>
        <w:t>about</w:t>
      </w:r>
      <w:r>
        <w:rPr>
          <w:spacing w:val="-6"/>
        </w:rPr>
        <w:t> </w:t>
      </w:r>
      <w:r>
        <w:rPr/>
        <w:t>speciﬁc</w:t>
      </w:r>
      <w:r>
        <w:rPr>
          <w:spacing w:val="-6"/>
        </w:rPr>
        <w:t> </w:t>
      </w:r>
      <w:r>
        <w:rPr/>
        <w:t>health</w:t>
      </w:r>
      <w:r>
        <w:rPr>
          <w:spacing w:val="-5"/>
        </w:rPr>
        <w:t> </w:t>
      </w:r>
      <w:r>
        <w:rPr/>
        <w:t>disparifies</w:t>
      </w:r>
      <w:r>
        <w:rPr>
          <w:spacing w:val="-6"/>
        </w:rPr>
        <w:t> </w:t>
      </w:r>
      <w:r>
        <w:rPr/>
        <w:t>will</w:t>
      </w:r>
      <w:r>
        <w:rPr>
          <w:spacing w:val="-4"/>
        </w:rPr>
        <w:t> </w:t>
      </w:r>
      <w:r>
        <w:rPr/>
        <w:t>be</w:t>
      </w:r>
      <w:r>
        <w:rPr>
          <w:spacing w:val="-3"/>
        </w:rPr>
        <w:t> </w:t>
      </w:r>
      <w:r>
        <w:rPr/>
        <w:t>included.</w:t>
      </w:r>
      <w:r>
        <w:rPr>
          <w:spacing w:val="-4"/>
        </w:rPr>
        <w:t> </w:t>
      </w:r>
      <w:r>
        <w:rPr/>
        <w:t>Choose</w:t>
      </w:r>
      <w:r>
        <w:rPr>
          <w:spacing w:val="-3"/>
        </w:rPr>
        <w:t> </w:t>
      </w:r>
      <w:r>
        <w:rPr/>
        <w:t>Health</w:t>
      </w:r>
      <w:r>
        <w:rPr>
          <w:spacing w:val="-4"/>
        </w:rPr>
        <w:t> </w:t>
      </w:r>
      <w:r>
        <w:rPr/>
        <w:t>Yates</w:t>
      </w:r>
      <w:r>
        <w:rPr>
          <w:spacing w:val="-4"/>
        </w:rPr>
        <w:t> </w:t>
      </w:r>
      <w:r>
        <w:rPr/>
        <w:t>and</w:t>
      </w:r>
      <w:r>
        <w:rPr>
          <w:spacing w:val="-5"/>
        </w:rPr>
        <w:t> </w:t>
      </w:r>
      <w:r>
        <w:rPr/>
        <w:t>the</w:t>
      </w:r>
      <w:r>
        <w:rPr>
          <w:spacing w:val="-3"/>
        </w:rPr>
        <w:t> </w:t>
      </w:r>
      <w:r>
        <w:rPr/>
        <w:t>local</w:t>
      </w:r>
      <w:r>
        <w:rPr>
          <w:spacing w:val="-4"/>
        </w:rPr>
        <w:t> </w:t>
      </w:r>
      <w:r>
        <w:rPr/>
        <w:t>hospital, Soldiers and Sailors Memorial Hospital, will confinue to work collaborafively in selecfing the objecfives and intervenfions for the chosen priorifies.</w:t>
      </w:r>
    </w:p>
    <w:p>
      <w:pPr>
        <w:pStyle w:val="Heading4"/>
        <w:spacing w:before="158"/>
      </w:pPr>
      <w:r>
        <w:rPr/>
        <w:t>Measures</w:t>
      </w:r>
      <w:r>
        <w:rPr>
          <w:spacing w:val="-5"/>
        </w:rPr>
        <w:t> </w:t>
      </w:r>
      <w:r>
        <w:rPr/>
        <w:t>and</w:t>
      </w:r>
      <w:r>
        <w:rPr>
          <w:spacing w:val="-5"/>
        </w:rPr>
        <w:t> </w:t>
      </w:r>
      <w:r>
        <w:rPr>
          <w:spacing w:val="-2"/>
        </w:rPr>
        <w:t>Evaluafion</w:t>
      </w:r>
    </w:p>
    <w:p>
      <w:pPr>
        <w:pStyle w:val="BodyText"/>
        <w:spacing w:line="259" w:lineRule="auto" w:before="183"/>
        <w:ind w:right="1499"/>
      </w:pPr>
      <w:r>
        <w:rPr/>
        <w:t>Choose</w:t>
      </w:r>
      <w:r>
        <w:rPr>
          <w:spacing w:val="-5"/>
        </w:rPr>
        <w:t> </w:t>
      </w:r>
      <w:r>
        <w:rPr/>
        <w:t>Health</w:t>
      </w:r>
      <w:r>
        <w:rPr>
          <w:spacing w:val="-7"/>
        </w:rPr>
        <w:t> </w:t>
      </w:r>
      <w:r>
        <w:rPr/>
        <w:t>Yates</w:t>
      </w:r>
      <w:r>
        <w:rPr>
          <w:spacing w:val="-6"/>
        </w:rPr>
        <w:t> </w:t>
      </w:r>
      <w:r>
        <w:rPr/>
        <w:t>confinues</w:t>
      </w:r>
      <w:r>
        <w:rPr>
          <w:spacing w:val="-6"/>
        </w:rPr>
        <w:t> </w:t>
      </w:r>
      <w:r>
        <w:rPr/>
        <w:t>to</w:t>
      </w:r>
      <w:r>
        <w:rPr>
          <w:spacing w:val="-10"/>
        </w:rPr>
        <w:t> </w:t>
      </w:r>
      <w:r>
        <w:rPr/>
        <w:t>meet</w:t>
      </w:r>
      <w:r>
        <w:rPr>
          <w:spacing w:val="-8"/>
        </w:rPr>
        <w:t> </w:t>
      </w:r>
      <w:r>
        <w:rPr/>
        <w:t>regularly</w:t>
      </w:r>
      <w:r>
        <w:rPr>
          <w:spacing w:val="-7"/>
        </w:rPr>
        <w:t> </w:t>
      </w:r>
      <w:r>
        <w:rPr/>
        <w:t>to</w:t>
      </w:r>
      <w:r>
        <w:rPr>
          <w:spacing w:val="-7"/>
        </w:rPr>
        <w:t> </w:t>
      </w:r>
      <w:r>
        <w:rPr/>
        <w:t>improve</w:t>
      </w:r>
      <w:r>
        <w:rPr>
          <w:spacing w:val="-7"/>
        </w:rPr>
        <w:t> </w:t>
      </w:r>
      <w:r>
        <w:rPr/>
        <w:t>the</w:t>
      </w:r>
      <w:r>
        <w:rPr>
          <w:spacing w:val="-5"/>
        </w:rPr>
        <w:t> </w:t>
      </w:r>
      <w:r>
        <w:rPr/>
        <w:t>health</w:t>
      </w:r>
      <w:r>
        <w:rPr>
          <w:spacing w:val="-9"/>
        </w:rPr>
        <w:t> </w:t>
      </w:r>
      <w:r>
        <w:rPr/>
        <w:t>of</w:t>
      </w:r>
      <w:r>
        <w:rPr>
          <w:spacing w:val="-6"/>
        </w:rPr>
        <w:t> </w:t>
      </w:r>
      <w:r>
        <w:rPr/>
        <w:t>Yates</w:t>
      </w:r>
      <w:r>
        <w:rPr>
          <w:spacing w:val="-8"/>
        </w:rPr>
        <w:t> </w:t>
      </w:r>
      <w:r>
        <w:rPr/>
        <w:t>residents</w:t>
      </w:r>
      <w:r>
        <w:rPr>
          <w:spacing w:val="-6"/>
        </w:rPr>
        <w:t> </w:t>
      </w:r>
      <w:r>
        <w:rPr/>
        <w:t>and</w:t>
      </w:r>
      <w:r>
        <w:rPr>
          <w:spacing w:val="-7"/>
        </w:rPr>
        <w:t> </w:t>
      </w:r>
      <w:r>
        <w:rPr/>
        <w:t>to</w:t>
      </w:r>
      <w:r>
        <w:rPr>
          <w:spacing w:val="-7"/>
        </w:rPr>
        <w:t> </w:t>
      </w:r>
      <w:r>
        <w:rPr/>
        <w:t>oversee CHIP implementafion. Aftendees at these meefings will roufinely review the progress of the chosen priorifies,</w:t>
      </w:r>
      <w:r>
        <w:rPr>
          <w:spacing w:val="-5"/>
        </w:rPr>
        <w:t> </w:t>
      </w:r>
      <w:r>
        <w:rPr/>
        <w:t>objecfives,</w:t>
      </w:r>
      <w:r>
        <w:rPr>
          <w:spacing w:val="-3"/>
        </w:rPr>
        <w:t> </w:t>
      </w:r>
      <w:r>
        <w:rPr/>
        <w:t>and</w:t>
      </w:r>
      <w:r>
        <w:rPr>
          <w:spacing w:val="-4"/>
        </w:rPr>
        <w:t> </w:t>
      </w:r>
      <w:r>
        <w:rPr/>
        <w:t>intervenfions.</w:t>
      </w:r>
      <w:r>
        <w:rPr>
          <w:spacing w:val="-3"/>
        </w:rPr>
        <w:t> </w:t>
      </w:r>
      <w:r>
        <w:rPr/>
        <w:t>Once</w:t>
      </w:r>
      <w:r>
        <w:rPr>
          <w:spacing w:val="-2"/>
        </w:rPr>
        <w:t> </w:t>
      </w:r>
      <w:r>
        <w:rPr/>
        <w:t>the</w:t>
      </w:r>
      <w:r>
        <w:rPr>
          <w:spacing w:val="-5"/>
        </w:rPr>
        <w:t> </w:t>
      </w:r>
      <w:r>
        <w:rPr/>
        <w:t>intervenfions</w:t>
      </w:r>
      <w:r>
        <w:rPr>
          <w:spacing w:val="-5"/>
        </w:rPr>
        <w:t> </w:t>
      </w:r>
      <w:r>
        <w:rPr/>
        <w:t>have</w:t>
      </w:r>
      <w:r>
        <w:rPr>
          <w:spacing w:val="-2"/>
        </w:rPr>
        <w:t> </w:t>
      </w:r>
      <w:r>
        <w:rPr/>
        <w:t>been</w:t>
      </w:r>
      <w:r>
        <w:rPr>
          <w:spacing w:val="-3"/>
        </w:rPr>
        <w:t> </w:t>
      </w:r>
      <w:r>
        <w:rPr/>
        <w:t>selected,</w:t>
      </w:r>
      <w:r>
        <w:rPr>
          <w:spacing w:val="-3"/>
        </w:rPr>
        <w:t> </w:t>
      </w:r>
      <w:r>
        <w:rPr/>
        <w:t>group</w:t>
      </w:r>
      <w:r>
        <w:rPr>
          <w:spacing w:val="-4"/>
        </w:rPr>
        <w:t> </w:t>
      </w:r>
      <w:r>
        <w:rPr/>
        <w:t>members</w:t>
      </w:r>
      <w:r>
        <w:rPr>
          <w:spacing w:val="-3"/>
        </w:rPr>
        <w:t> </w:t>
      </w:r>
      <w:r>
        <w:rPr/>
        <w:t>will idenfify and implement mid-course correcfions to intervenfions and processes. These meefings will serve as confinued program evaluafion and a means to keep the community and partners apprised of the CHIP progress.</w:t>
      </w:r>
    </w:p>
    <w:p>
      <w:pPr>
        <w:pStyle w:val="BodyText"/>
        <w:spacing w:after="0" w:line="259" w:lineRule="auto"/>
        <w:sectPr>
          <w:pgSz w:w="12240" w:h="15840"/>
          <w:pgMar w:header="161" w:footer="1223" w:top="1360" w:bottom="1420" w:left="0" w:right="0"/>
        </w:sectPr>
      </w:pPr>
    </w:p>
    <w:p>
      <w:pPr>
        <w:pStyle w:val="BodyText"/>
        <w:spacing w:before="250"/>
        <w:ind w:left="0"/>
        <w:rPr>
          <w:sz w:val="28"/>
        </w:rPr>
      </w:pPr>
    </w:p>
    <w:p>
      <w:pPr>
        <w:pStyle w:val="Heading1"/>
        <w:ind w:left="277" w:right="292"/>
        <w:jc w:val="center"/>
      </w:pPr>
      <w:r>
        <w:rPr/>
        <mc:AlternateContent>
          <mc:Choice Requires="wps">
            <w:drawing>
              <wp:anchor distT="0" distB="0" distL="0" distR="0" allowOverlap="1" layoutInCell="1" locked="0" behindDoc="1" simplePos="0" relativeHeight="486533120">
                <wp:simplePos x="0" y="0"/>
                <wp:positionH relativeFrom="page">
                  <wp:posOffset>-6095</wp:posOffset>
                </wp:positionH>
                <wp:positionV relativeFrom="paragraph">
                  <wp:posOffset>-58924</wp:posOffset>
                </wp:positionV>
                <wp:extent cx="7776845" cy="44069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7776845" cy="440690"/>
                          <a:chExt cx="7776845" cy="440690"/>
                        </a:xfrm>
                      </wpg:grpSpPr>
                      <wps:wsp>
                        <wps:cNvPr id="25" name="Graphic 25"/>
                        <wps:cNvSpPr/>
                        <wps:spPr>
                          <a:xfrm>
                            <a:off x="6095" y="6096"/>
                            <a:ext cx="7764780" cy="428625"/>
                          </a:xfrm>
                          <a:custGeom>
                            <a:avLst/>
                            <a:gdLst/>
                            <a:ahLst/>
                            <a:cxnLst/>
                            <a:rect l="l" t="t" r="r" b="b"/>
                            <a:pathLst>
                              <a:path w="7764780" h="428625">
                                <a:moveTo>
                                  <a:pt x="3197351" y="380997"/>
                                </a:moveTo>
                                <a:lnTo>
                                  <a:pt x="1161288" y="380997"/>
                                </a:lnTo>
                                <a:lnTo>
                                  <a:pt x="2179320" y="428368"/>
                                </a:lnTo>
                                <a:lnTo>
                                  <a:pt x="3197351" y="380997"/>
                                </a:lnTo>
                                <a:close/>
                              </a:path>
                              <a:path w="7764780" h="428625">
                                <a:moveTo>
                                  <a:pt x="7764653" y="0"/>
                                </a:moveTo>
                                <a:lnTo>
                                  <a:pt x="0" y="0"/>
                                </a:lnTo>
                                <a:lnTo>
                                  <a:pt x="0" y="380997"/>
                                </a:lnTo>
                                <a:lnTo>
                                  <a:pt x="7764653" y="380997"/>
                                </a:lnTo>
                                <a:lnTo>
                                  <a:pt x="7764653" y="0"/>
                                </a:lnTo>
                                <a:close/>
                              </a:path>
                            </a:pathLst>
                          </a:custGeom>
                          <a:solidFill>
                            <a:srgbClr val="145F82"/>
                          </a:solidFill>
                        </wps:spPr>
                        <wps:bodyPr wrap="square" lIns="0" tIns="0" rIns="0" bIns="0" rtlCol="0">
                          <a:prstTxWarp prst="textNoShape">
                            <a:avLst/>
                          </a:prstTxWarp>
                          <a:noAutofit/>
                        </wps:bodyPr>
                      </wps:wsp>
                      <wps:wsp>
                        <wps:cNvPr id="26" name="Graphic 26"/>
                        <wps:cNvSpPr/>
                        <wps:spPr>
                          <a:xfrm>
                            <a:off x="6095" y="6095"/>
                            <a:ext cx="7764780" cy="428625"/>
                          </a:xfrm>
                          <a:custGeom>
                            <a:avLst/>
                            <a:gdLst/>
                            <a:ahLst/>
                            <a:cxnLst/>
                            <a:rect l="l" t="t" r="r" b="b"/>
                            <a:pathLst>
                              <a:path w="7764780" h="428625">
                                <a:moveTo>
                                  <a:pt x="0" y="0"/>
                                </a:moveTo>
                                <a:lnTo>
                                  <a:pt x="1161289" y="0"/>
                                </a:lnTo>
                                <a:lnTo>
                                  <a:pt x="3197353" y="0"/>
                                </a:lnTo>
                                <a:lnTo>
                                  <a:pt x="7764653" y="0"/>
                                </a:lnTo>
                              </a:path>
                              <a:path w="7764780" h="428625">
                                <a:moveTo>
                                  <a:pt x="7764653" y="381000"/>
                                </a:moveTo>
                                <a:lnTo>
                                  <a:pt x="3197353" y="381000"/>
                                </a:lnTo>
                                <a:lnTo>
                                  <a:pt x="2179321" y="428244"/>
                                </a:lnTo>
                                <a:lnTo>
                                  <a:pt x="1161289" y="381000"/>
                                </a:lnTo>
                                <a:lnTo>
                                  <a:pt x="0" y="381000"/>
                                </a:lnTo>
                              </a:path>
                            </a:pathLst>
                          </a:custGeom>
                          <a:ln w="12192">
                            <a:solidFill>
                              <a:srgbClr val="04233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4.639717pt;width:612.35pt;height:34.7pt;mso-position-horizontal-relative:page;mso-position-vertical-relative:paragraph;z-index:-16783360" id="docshapegroup18" coordorigin="-10,-93" coordsize="12247,694">
                <v:shape style="position:absolute;left:0;top:-84;width:12228;height:675" id="docshape19" coordorigin="0,-83" coordsize="12228,675" path="m5035,517l1829,517,3432,591,5035,517xm12228,-83l0,-83,0,517,12228,517,12228,-83xe" filled="true" fillcolor="#145f82" stroked="false">
                  <v:path arrowok="t"/>
                  <v:fill type="solid"/>
                </v:shape>
                <v:shape style="position:absolute;left:0;top:-84;width:12228;height:675" id="docshape20" coordorigin="0,-83" coordsize="12228,675" path="m0,-83l1829,-83,5035,-83,12228,-83m12228,517l5035,517,3432,591,1829,517,0,517e" filled="false" stroked="true" strokeweight=".96pt" strokecolor="#042332">
                  <v:path arrowok="t"/>
                  <v:stroke dashstyle="solid"/>
                </v:shape>
                <w10:wrap type="none"/>
              </v:group>
            </w:pict>
          </mc:Fallback>
        </mc:AlternateContent>
      </w:r>
      <w:r>
        <w:rPr>
          <w:color w:val="FFFFFF"/>
        </w:rPr>
        <w:t>Community</w:t>
      </w:r>
      <w:r>
        <w:rPr>
          <w:color w:val="FFFFFF"/>
          <w:spacing w:val="-6"/>
        </w:rPr>
        <w:t> </w:t>
      </w:r>
      <w:r>
        <w:rPr>
          <w:color w:val="FFFFFF"/>
          <w:spacing w:val="-2"/>
        </w:rPr>
        <w:t>Descripfion</w:t>
      </w:r>
    </w:p>
    <w:p>
      <w:pPr>
        <w:pStyle w:val="BodyText"/>
        <w:spacing w:before="138"/>
        <w:ind w:left="0"/>
        <w:rPr>
          <w:b/>
          <w:sz w:val="28"/>
        </w:rPr>
      </w:pPr>
    </w:p>
    <w:p>
      <w:pPr>
        <w:spacing w:before="0"/>
        <w:ind w:left="1440" w:right="0" w:firstLine="0"/>
        <w:jc w:val="left"/>
        <w:rPr>
          <w:b/>
          <w:sz w:val="28"/>
        </w:rPr>
      </w:pPr>
      <w:r>
        <w:rPr>
          <w:b/>
          <w:sz w:val="28"/>
        </w:rPr>
        <w:t>Service</w:t>
      </w:r>
      <w:r>
        <w:rPr>
          <w:b/>
          <w:spacing w:val="-2"/>
          <w:sz w:val="28"/>
        </w:rPr>
        <w:t> </w:t>
      </w:r>
      <w:r>
        <w:rPr>
          <w:b/>
          <w:spacing w:val="-4"/>
          <w:sz w:val="28"/>
        </w:rPr>
        <w:t>Area</w:t>
      </w:r>
    </w:p>
    <w:p>
      <w:pPr>
        <w:pStyle w:val="BodyText"/>
        <w:spacing w:line="259" w:lineRule="auto" w:before="188"/>
        <w:ind w:right="1436"/>
      </w:pPr>
      <w:r>
        <w:rPr/>
        <w:t>Yates</w:t>
      </w:r>
      <w:r>
        <w:rPr>
          <w:spacing w:val="-2"/>
        </w:rPr>
        <w:t> </w:t>
      </w:r>
      <w:r>
        <w:rPr/>
        <w:t>County</w:t>
      </w:r>
      <w:r>
        <w:rPr>
          <w:spacing w:val="-3"/>
        </w:rPr>
        <w:t> </w:t>
      </w:r>
      <w:r>
        <w:rPr/>
        <w:t>is</w:t>
      </w:r>
      <w:r>
        <w:rPr>
          <w:spacing w:val="-2"/>
        </w:rPr>
        <w:t> </w:t>
      </w:r>
      <w:r>
        <w:rPr/>
        <w:t>a</w:t>
      </w:r>
      <w:r>
        <w:rPr>
          <w:spacing w:val="-4"/>
        </w:rPr>
        <w:t> </w:t>
      </w:r>
      <w:r>
        <w:rPr/>
        <w:t>small,</w:t>
      </w:r>
      <w:r>
        <w:rPr>
          <w:spacing w:val="-2"/>
        </w:rPr>
        <w:t> </w:t>
      </w:r>
      <w:r>
        <w:rPr/>
        <w:t>predominantly</w:t>
      </w:r>
      <w:r>
        <w:rPr>
          <w:spacing w:val="-1"/>
        </w:rPr>
        <w:t> </w:t>
      </w:r>
      <w:r>
        <w:rPr/>
        <w:t>rural</w:t>
      </w:r>
      <w:r>
        <w:rPr>
          <w:spacing w:val="-2"/>
        </w:rPr>
        <w:t> </w:t>
      </w:r>
      <w:r>
        <w:rPr/>
        <w:t>county</w:t>
      </w:r>
      <w:r>
        <w:rPr>
          <w:spacing w:val="-1"/>
        </w:rPr>
        <w:t> </w:t>
      </w:r>
      <w:r>
        <w:rPr/>
        <w:t>located</w:t>
      </w:r>
      <w:r>
        <w:rPr>
          <w:spacing w:val="-2"/>
        </w:rPr>
        <w:t> </w:t>
      </w:r>
      <w:r>
        <w:rPr/>
        <w:t>in</w:t>
      </w:r>
      <w:r>
        <w:rPr>
          <w:spacing w:val="-3"/>
        </w:rPr>
        <w:t> </w:t>
      </w:r>
      <w:r>
        <w:rPr/>
        <w:t>the</w:t>
      </w:r>
      <w:r>
        <w:rPr>
          <w:spacing w:val="-3"/>
        </w:rPr>
        <w:t> </w:t>
      </w:r>
      <w:r>
        <w:rPr/>
        <w:t>Finger</w:t>
      </w:r>
      <w:r>
        <w:rPr>
          <w:spacing w:val="-2"/>
        </w:rPr>
        <w:t> </w:t>
      </w:r>
      <w:r>
        <w:rPr/>
        <w:t>Lakes</w:t>
      </w:r>
      <w:r>
        <w:rPr>
          <w:spacing w:val="-2"/>
        </w:rPr>
        <w:t> </w:t>
      </w:r>
      <w:r>
        <w:rPr/>
        <w:t>region</w:t>
      </w:r>
      <w:r>
        <w:rPr>
          <w:spacing w:val="-2"/>
        </w:rPr>
        <w:t> </w:t>
      </w:r>
      <w:r>
        <w:rPr/>
        <w:t>of</w:t>
      </w:r>
      <w:r>
        <w:rPr>
          <w:spacing w:val="-4"/>
        </w:rPr>
        <w:t> </w:t>
      </w:r>
      <w:r>
        <w:rPr/>
        <w:t>New</w:t>
      </w:r>
      <w:r>
        <w:rPr>
          <w:spacing w:val="-1"/>
        </w:rPr>
        <w:t> </w:t>
      </w:r>
      <w:r>
        <w:rPr/>
        <w:t>York</w:t>
      </w:r>
      <w:r>
        <w:rPr>
          <w:spacing w:val="-4"/>
        </w:rPr>
        <w:t> </w:t>
      </w:r>
      <w:r>
        <w:rPr/>
        <w:t>State, covering</w:t>
      </w:r>
      <w:r>
        <w:rPr>
          <w:spacing w:val="-5"/>
        </w:rPr>
        <w:t> </w:t>
      </w:r>
      <w:r>
        <w:rPr/>
        <w:t>approximately</w:t>
      </w:r>
      <w:r>
        <w:rPr>
          <w:spacing w:val="-6"/>
        </w:rPr>
        <w:t> </w:t>
      </w:r>
      <w:r>
        <w:rPr/>
        <w:t>376</w:t>
      </w:r>
      <w:r>
        <w:rPr>
          <w:spacing w:val="-4"/>
        </w:rPr>
        <w:t> </w:t>
      </w:r>
      <w:r>
        <w:rPr/>
        <w:t>square</w:t>
      </w:r>
      <w:r>
        <w:rPr>
          <w:spacing w:val="-7"/>
        </w:rPr>
        <w:t> </w:t>
      </w:r>
      <w:r>
        <w:rPr/>
        <w:t>miles.</w:t>
      </w:r>
      <w:r>
        <w:rPr>
          <w:spacing w:val="-5"/>
        </w:rPr>
        <w:t> </w:t>
      </w:r>
      <w:r>
        <w:rPr/>
        <w:t>The</w:t>
      </w:r>
      <w:r>
        <w:rPr>
          <w:spacing w:val="-4"/>
        </w:rPr>
        <w:t> </w:t>
      </w:r>
      <w:r>
        <w:rPr/>
        <w:t>service</w:t>
      </w:r>
      <w:r>
        <w:rPr>
          <w:spacing w:val="-6"/>
        </w:rPr>
        <w:t> </w:t>
      </w:r>
      <w:r>
        <w:rPr/>
        <w:t>area</w:t>
      </w:r>
      <w:r>
        <w:rPr>
          <w:spacing w:val="-5"/>
        </w:rPr>
        <w:t> </w:t>
      </w:r>
      <w:r>
        <w:rPr/>
        <w:t>encompasses</w:t>
      </w:r>
      <w:r>
        <w:rPr>
          <w:spacing w:val="-7"/>
        </w:rPr>
        <w:t> </w:t>
      </w:r>
      <w:r>
        <w:rPr/>
        <w:t>a</w:t>
      </w:r>
      <w:r>
        <w:rPr>
          <w:spacing w:val="-7"/>
        </w:rPr>
        <w:t> </w:t>
      </w:r>
      <w:r>
        <w:rPr/>
        <w:t>mix</w:t>
      </w:r>
      <w:r>
        <w:rPr>
          <w:spacing w:val="-7"/>
        </w:rPr>
        <w:t> </w:t>
      </w:r>
      <w:r>
        <w:rPr/>
        <w:t>of</w:t>
      </w:r>
      <w:r>
        <w:rPr>
          <w:spacing w:val="-7"/>
        </w:rPr>
        <w:t> </w:t>
      </w:r>
      <w:r>
        <w:rPr/>
        <w:t>village</w:t>
      </w:r>
      <w:r>
        <w:rPr>
          <w:spacing w:val="-4"/>
        </w:rPr>
        <w:t> </w:t>
      </w:r>
      <w:r>
        <w:rPr/>
        <w:t>centers,</w:t>
      </w:r>
      <w:r>
        <w:rPr>
          <w:spacing w:val="-4"/>
        </w:rPr>
        <w:t> </w:t>
      </w:r>
      <w:r>
        <w:rPr/>
        <w:t>lakeside communifies, and widely dispersed agricultural areas. With one of the smallest populafions in the state, the county is characterized by low populafion density, limited public transportafion, and long travel distances to healthcare and social services. The community includes a growing older-adult populafion, families living in or near poverty, and several culturally disfinct groups, including a sizable Amish and Mennonite populafion whose health needs, access pafterns, and service ufilizafion diﬀer from the general populafion.</w:t>
      </w:r>
    </w:p>
    <w:p>
      <w:pPr>
        <w:pStyle w:val="BodyText"/>
        <w:spacing w:line="259" w:lineRule="auto" w:before="156"/>
        <w:ind w:right="1467"/>
      </w:pPr>
      <w:r>
        <w:rPr/>
        <w:t>Healthcare services within the county are provided primarily by a small number of clinics, primary care pracfices, and</w:t>
      </w:r>
      <w:r>
        <w:rPr>
          <w:spacing w:val="-1"/>
        </w:rPr>
        <w:t> </w:t>
      </w:r>
      <w:r>
        <w:rPr/>
        <w:t>one crifical access hospital, with</w:t>
      </w:r>
      <w:r>
        <w:rPr>
          <w:spacing w:val="-1"/>
        </w:rPr>
        <w:t> </w:t>
      </w:r>
      <w:r>
        <w:rPr/>
        <w:t>many residents traveling outside the county for specialty care, behavioral health services, and advanced medical treatment. Economic condifions, geographic isolafion,</w:t>
      </w:r>
      <w:r>
        <w:rPr>
          <w:spacing w:val="-6"/>
        </w:rPr>
        <w:t> </w:t>
      </w:r>
      <w:r>
        <w:rPr/>
        <w:t>seasonal</w:t>
      </w:r>
      <w:r>
        <w:rPr>
          <w:spacing w:val="-4"/>
        </w:rPr>
        <w:t> </w:t>
      </w:r>
      <w:r>
        <w:rPr/>
        <w:t>employment,</w:t>
      </w:r>
      <w:r>
        <w:rPr>
          <w:spacing w:val="-6"/>
        </w:rPr>
        <w:t> </w:t>
      </w:r>
      <w:r>
        <w:rPr/>
        <w:t>and</w:t>
      </w:r>
      <w:r>
        <w:rPr>
          <w:spacing w:val="-4"/>
        </w:rPr>
        <w:t> </w:t>
      </w:r>
      <w:r>
        <w:rPr/>
        <w:t>transportafion</w:t>
      </w:r>
      <w:r>
        <w:rPr>
          <w:spacing w:val="-5"/>
        </w:rPr>
        <w:t> </w:t>
      </w:r>
      <w:r>
        <w:rPr/>
        <w:t>barriers</w:t>
      </w:r>
      <w:r>
        <w:rPr>
          <w:spacing w:val="-4"/>
        </w:rPr>
        <w:t> </w:t>
      </w:r>
      <w:r>
        <w:rPr/>
        <w:t>all</w:t>
      </w:r>
      <w:r>
        <w:rPr>
          <w:spacing w:val="-4"/>
        </w:rPr>
        <w:t> </w:t>
      </w:r>
      <w:r>
        <w:rPr/>
        <w:t>shape</w:t>
      </w:r>
      <w:r>
        <w:rPr>
          <w:spacing w:val="-5"/>
        </w:rPr>
        <w:t> </w:t>
      </w:r>
      <w:r>
        <w:rPr/>
        <w:t>the</w:t>
      </w:r>
      <w:r>
        <w:rPr>
          <w:spacing w:val="-3"/>
        </w:rPr>
        <w:t> </w:t>
      </w:r>
      <w:r>
        <w:rPr/>
        <w:t>community’s</w:t>
      </w:r>
      <w:r>
        <w:rPr>
          <w:spacing w:val="-4"/>
        </w:rPr>
        <w:t> </w:t>
      </w:r>
      <w:r>
        <w:rPr/>
        <w:t>health</w:t>
      </w:r>
      <w:r>
        <w:rPr>
          <w:spacing w:val="-5"/>
        </w:rPr>
        <w:t> </w:t>
      </w:r>
      <w:r>
        <w:rPr/>
        <w:t>needs</w:t>
      </w:r>
      <w:r>
        <w:rPr>
          <w:spacing w:val="-6"/>
        </w:rPr>
        <w:t> </w:t>
      </w:r>
      <w:r>
        <w:rPr/>
        <w:t>and inﬂuence how residents access care.</w:t>
      </w:r>
    </w:p>
    <w:p>
      <w:pPr>
        <w:pStyle w:val="BodyText"/>
        <w:spacing w:line="259" w:lineRule="auto" w:before="161"/>
        <w:ind w:right="1467"/>
      </w:pPr>
      <w:r>
        <w:rPr/>
        <w:t>Overall, the Yates County service area reﬂects the unique challenges and strengths of a rural community—fight-knit</w:t>
      </w:r>
      <w:r>
        <w:rPr>
          <w:spacing w:val="-9"/>
        </w:rPr>
        <w:t> </w:t>
      </w:r>
      <w:r>
        <w:rPr/>
        <w:t>and</w:t>
      </w:r>
      <w:r>
        <w:rPr>
          <w:spacing w:val="-12"/>
        </w:rPr>
        <w:t> </w:t>
      </w:r>
      <w:r>
        <w:rPr/>
        <w:t>resourceful,</w:t>
      </w:r>
      <w:r>
        <w:rPr>
          <w:spacing w:val="-11"/>
        </w:rPr>
        <w:t> </w:t>
      </w:r>
      <w:r>
        <w:rPr/>
        <w:t>yet</w:t>
      </w:r>
      <w:r>
        <w:rPr>
          <w:spacing w:val="-11"/>
        </w:rPr>
        <w:t> </w:t>
      </w:r>
      <w:r>
        <w:rPr/>
        <w:t>facing</w:t>
      </w:r>
      <w:r>
        <w:rPr>
          <w:spacing w:val="-10"/>
        </w:rPr>
        <w:t> </w:t>
      </w:r>
      <w:r>
        <w:rPr/>
        <w:t>persistent</w:t>
      </w:r>
      <w:r>
        <w:rPr>
          <w:spacing w:val="-9"/>
        </w:rPr>
        <w:t> </w:t>
      </w:r>
      <w:r>
        <w:rPr/>
        <w:t>barriers</w:t>
      </w:r>
      <w:r>
        <w:rPr>
          <w:spacing w:val="-11"/>
        </w:rPr>
        <w:t> </w:t>
      </w:r>
      <w:r>
        <w:rPr/>
        <w:t>related</w:t>
      </w:r>
      <w:r>
        <w:rPr>
          <w:spacing w:val="-10"/>
        </w:rPr>
        <w:t> </w:t>
      </w:r>
      <w:r>
        <w:rPr/>
        <w:t>to</w:t>
      </w:r>
      <w:r>
        <w:rPr>
          <w:spacing w:val="-9"/>
        </w:rPr>
        <w:t> </w:t>
      </w:r>
      <w:r>
        <w:rPr/>
        <w:t>access,</w:t>
      </w:r>
      <w:r>
        <w:rPr>
          <w:spacing w:val="-10"/>
        </w:rPr>
        <w:t> </w:t>
      </w:r>
      <w:r>
        <w:rPr/>
        <w:t>aﬀordability,</w:t>
      </w:r>
      <w:r>
        <w:rPr>
          <w:spacing w:val="-11"/>
        </w:rPr>
        <w:t> </w:t>
      </w:r>
      <w:r>
        <w:rPr/>
        <w:t>and availability of healthcare and support services.</w:t>
      </w:r>
    </w:p>
    <w:p>
      <w:pPr>
        <w:pStyle w:val="Heading1"/>
        <w:spacing w:before="159"/>
      </w:pPr>
      <w:r>
        <w:rPr/>
        <w:t>Demographic</w:t>
      </w:r>
      <w:r>
        <w:rPr>
          <w:spacing w:val="-15"/>
        </w:rPr>
        <w:t> </w:t>
      </w:r>
      <w:r>
        <w:rPr>
          <w:spacing w:val="-2"/>
        </w:rPr>
        <w:t>Summary</w:t>
      </w:r>
    </w:p>
    <w:p>
      <w:pPr>
        <w:pStyle w:val="BodyText"/>
        <w:spacing w:line="259" w:lineRule="auto" w:before="186"/>
        <w:ind w:right="1467"/>
      </w:pPr>
      <w:r>
        <w:rPr/>
        <w:t>Demographic informafion is essenfial in public and community health as it idenfiﬁes who lives in a community, how their needs diﬀer, and where health</w:t>
      </w:r>
      <w:r>
        <w:rPr>
          <w:spacing w:val="-1"/>
        </w:rPr>
        <w:t> </w:t>
      </w:r>
      <w:r>
        <w:rPr/>
        <w:t>disparifies exist. By understanding factors such as age,</w:t>
      </w:r>
      <w:r>
        <w:rPr>
          <w:spacing w:val="-7"/>
        </w:rPr>
        <w:t> </w:t>
      </w:r>
      <w:r>
        <w:rPr/>
        <w:t>race,</w:t>
      </w:r>
      <w:r>
        <w:rPr>
          <w:spacing w:val="-10"/>
        </w:rPr>
        <w:t> </w:t>
      </w:r>
      <w:r>
        <w:rPr/>
        <w:t>income,</w:t>
      </w:r>
      <w:r>
        <w:rPr>
          <w:spacing w:val="-10"/>
        </w:rPr>
        <w:t> </w:t>
      </w:r>
      <w:r>
        <w:rPr/>
        <w:t>educafion,</w:t>
      </w:r>
      <w:r>
        <w:rPr>
          <w:spacing w:val="-8"/>
        </w:rPr>
        <w:t> </w:t>
      </w:r>
      <w:r>
        <w:rPr/>
        <w:t>and</w:t>
      </w:r>
      <w:r>
        <w:rPr>
          <w:spacing w:val="-9"/>
        </w:rPr>
        <w:t> </w:t>
      </w:r>
      <w:r>
        <w:rPr/>
        <w:t>poverty,</w:t>
      </w:r>
      <w:r>
        <w:rPr>
          <w:spacing w:val="-8"/>
        </w:rPr>
        <w:t> </w:t>
      </w:r>
      <w:r>
        <w:rPr/>
        <w:t>organizafions</w:t>
      </w:r>
      <w:r>
        <w:rPr>
          <w:spacing w:val="-8"/>
        </w:rPr>
        <w:t> </w:t>
      </w:r>
      <w:r>
        <w:rPr/>
        <w:t>can</w:t>
      </w:r>
      <w:r>
        <w:rPr>
          <w:spacing w:val="-8"/>
        </w:rPr>
        <w:t> </w:t>
      </w:r>
      <w:r>
        <w:rPr/>
        <w:t>target</w:t>
      </w:r>
      <w:r>
        <w:rPr>
          <w:spacing w:val="-10"/>
        </w:rPr>
        <w:t> </w:t>
      </w:r>
      <w:r>
        <w:rPr/>
        <w:t>resources,</w:t>
      </w:r>
      <w:r>
        <w:rPr>
          <w:spacing w:val="-7"/>
        </w:rPr>
        <w:t> </w:t>
      </w:r>
      <w:r>
        <w:rPr/>
        <w:t>design</w:t>
      </w:r>
      <w:r>
        <w:rPr>
          <w:spacing w:val="-9"/>
        </w:rPr>
        <w:t> </w:t>
      </w:r>
      <w:r>
        <w:rPr/>
        <w:t>eﬀecfive</w:t>
      </w:r>
      <w:r>
        <w:rPr>
          <w:spacing w:val="-10"/>
        </w:rPr>
        <w:t> </w:t>
      </w:r>
      <w:r>
        <w:rPr/>
        <w:t>programs, and allocate funding where it will have the greatest impact. Demographic data provides the foundafion for equitable planning, informed decision-making, and improved health outcomes for all community </w:t>
      </w:r>
      <w:r>
        <w:rPr>
          <w:spacing w:val="-2"/>
        </w:rPr>
        <w:t>members.</w:t>
      </w:r>
    </w:p>
    <w:p>
      <w:pPr>
        <w:pStyle w:val="BodyText"/>
        <w:spacing w:after="0" w:line="259" w:lineRule="auto"/>
        <w:sectPr>
          <w:pgSz w:w="12240" w:h="15840"/>
          <w:pgMar w:header="161" w:footer="1223" w:top="1360" w:bottom="1420" w:left="0" w:right="0"/>
        </w:sectPr>
      </w:pPr>
    </w:p>
    <w:p>
      <w:pPr>
        <w:pStyle w:val="Heading3"/>
      </w:pPr>
      <w:r>
        <w:rPr>
          <w:spacing w:val="-2"/>
        </w:rPr>
        <w:t>Populafion</w:t>
      </w:r>
    </w:p>
    <w:p>
      <w:pPr>
        <w:pStyle w:val="BodyText"/>
        <w:spacing w:line="259" w:lineRule="auto" w:before="182"/>
      </w:pPr>
      <w:r>
        <w:rPr/>
        <w:t>Yates County is in the heart of the Finger Lakes</w:t>
      </w:r>
      <w:r>
        <w:rPr>
          <w:spacing w:val="-11"/>
        </w:rPr>
        <w:t> </w:t>
      </w:r>
      <w:r>
        <w:rPr/>
        <w:t>Region</w:t>
      </w:r>
      <w:r>
        <w:rPr>
          <w:spacing w:val="-12"/>
        </w:rPr>
        <w:t> </w:t>
      </w:r>
      <w:r>
        <w:rPr/>
        <w:t>and</w:t>
      </w:r>
      <w:r>
        <w:rPr>
          <w:spacing w:val="-10"/>
        </w:rPr>
        <w:t> </w:t>
      </w:r>
      <w:r>
        <w:rPr/>
        <w:t>is</w:t>
      </w:r>
      <w:r>
        <w:rPr>
          <w:spacing w:val="-9"/>
        </w:rPr>
        <w:t> </w:t>
      </w:r>
      <w:r>
        <w:rPr/>
        <w:t>bordered</w:t>
      </w:r>
      <w:r>
        <w:rPr>
          <w:spacing w:val="-9"/>
        </w:rPr>
        <w:t> </w:t>
      </w:r>
      <w:r>
        <w:rPr/>
        <w:t>by</w:t>
      </w:r>
      <w:r>
        <w:rPr>
          <w:spacing w:val="-10"/>
        </w:rPr>
        <w:t> </w:t>
      </w:r>
      <w:r>
        <w:rPr/>
        <w:t>Steuben, Seneca, Ontario, and Schuyler counfies. While Yates County includes parts of Canandaigua Lake and Seneca Lake, it is home to the popular Keuka Lake. The beaufiful scenery, agriculture, and recreafional water acfivifies make it an ideal</w:t>
      </w:r>
      <w:r>
        <w:rPr>
          <w:spacing w:val="-1"/>
        </w:rPr>
        <w:t> </w:t>
      </w:r>
      <w:r>
        <w:rPr/>
        <w:t>vacafion</w:t>
      </w:r>
      <w:r>
        <w:rPr>
          <w:spacing w:val="-2"/>
        </w:rPr>
        <w:t> </w:t>
      </w:r>
      <w:r>
        <w:rPr/>
        <w:t>spot for</w:t>
      </w:r>
      <w:r>
        <w:rPr>
          <w:spacing w:val="-1"/>
        </w:rPr>
        <w:t> </w:t>
      </w:r>
      <w:r>
        <w:rPr/>
        <w:t>tourists</w:t>
      </w:r>
      <w:r>
        <w:rPr>
          <w:spacing w:val="-1"/>
        </w:rPr>
        <w:t> </w:t>
      </w:r>
      <w:r>
        <w:rPr/>
        <w:t>from April to October. There are 24,774 residents across Yates County, with the densest populafion areas in Penn Yan and Dundee,</w:t>
      </w:r>
      <w:r>
        <w:rPr>
          <w:spacing w:val="-2"/>
        </w:rPr>
        <w:t> </w:t>
      </w:r>
      <w:r>
        <w:rPr/>
        <w:t>as</w:t>
      </w:r>
      <w:r>
        <w:rPr>
          <w:spacing w:val="-2"/>
        </w:rPr>
        <w:t> </w:t>
      </w:r>
      <w:r>
        <w:rPr/>
        <w:t>shown</w:t>
      </w:r>
      <w:r>
        <w:rPr>
          <w:spacing w:val="-2"/>
        </w:rPr>
        <w:t> </w:t>
      </w:r>
      <w:r>
        <w:rPr/>
        <w:t>in</w:t>
      </w:r>
      <w:r>
        <w:rPr>
          <w:spacing w:val="-4"/>
        </w:rPr>
        <w:t> </w:t>
      </w:r>
      <w:r>
        <w:rPr/>
        <w:t>Map</w:t>
      </w:r>
      <w:r>
        <w:rPr>
          <w:spacing w:val="-4"/>
        </w:rPr>
        <w:t> </w:t>
      </w:r>
      <w:r>
        <w:rPr/>
        <w:t>Y1.</w:t>
      </w:r>
      <w:r>
        <w:rPr>
          <w:spacing w:val="-3"/>
        </w:rPr>
        <w:t> </w:t>
      </w:r>
      <w:r>
        <w:rPr/>
        <w:t>The</w:t>
      </w:r>
      <w:r>
        <w:rPr>
          <w:spacing w:val="-1"/>
        </w:rPr>
        <w:t> </w:t>
      </w:r>
      <w:r>
        <w:rPr/>
        <w:t>county is considered very rural, with 68.6% of residents</w:t>
      </w:r>
      <w:r>
        <w:rPr>
          <w:spacing w:val="-5"/>
        </w:rPr>
        <w:t> </w:t>
      </w:r>
      <w:r>
        <w:rPr/>
        <w:t>living</w:t>
      </w:r>
      <w:r>
        <w:rPr>
          <w:spacing w:val="-5"/>
        </w:rPr>
        <w:t> </w:t>
      </w:r>
      <w:r>
        <w:rPr/>
        <w:t>outside</w:t>
      </w:r>
      <w:r>
        <w:rPr>
          <w:spacing w:val="-4"/>
        </w:rPr>
        <w:t> </w:t>
      </w:r>
      <w:r>
        <w:rPr/>
        <w:t>populafion-dense areas</w:t>
      </w:r>
      <w:hyperlink w:history="true" w:anchor="_bookmark0">
        <w:r>
          <w:rPr/>
          <w:t>.</w:t>
        </w:r>
        <w:r>
          <w:rPr>
            <w:vertAlign w:val="superscript"/>
          </w:rPr>
          <w:t>31</w:t>
        </w:r>
      </w:hyperlink>
      <w:r>
        <w:rPr>
          <w:spacing w:val="-9"/>
          <w:vertAlign w:val="baseline"/>
        </w:rPr>
        <w:t> </w:t>
      </w:r>
      <w:r>
        <w:rPr>
          <w:vertAlign w:val="baseline"/>
        </w:rPr>
        <w:t>The</w:t>
      </w:r>
      <w:r>
        <w:rPr>
          <w:spacing w:val="-8"/>
          <w:vertAlign w:val="baseline"/>
        </w:rPr>
        <w:t> </w:t>
      </w:r>
      <w:r>
        <w:rPr>
          <w:vertAlign w:val="baseline"/>
        </w:rPr>
        <w:t>populafion</w:t>
      </w:r>
      <w:r>
        <w:rPr>
          <w:spacing w:val="-9"/>
          <w:vertAlign w:val="baseline"/>
        </w:rPr>
        <w:t> </w:t>
      </w:r>
      <w:r>
        <w:rPr>
          <w:vertAlign w:val="baseline"/>
        </w:rPr>
        <w:t>of</w:t>
      </w:r>
      <w:r>
        <w:rPr>
          <w:spacing w:val="-11"/>
          <w:vertAlign w:val="baseline"/>
        </w:rPr>
        <w:t> </w:t>
      </w:r>
      <w:r>
        <w:rPr>
          <w:vertAlign w:val="baseline"/>
        </w:rPr>
        <w:t>Yates</w:t>
      </w:r>
      <w:r>
        <w:rPr>
          <w:spacing w:val="-8"/>
          <w:vertAlign w:val="baseline"/>
        </w:rPr>
        <w:t> </w:t>
      </w:r>
      <w:r>
        <w:rPr>
          <w:vertAlign w:val="baseline"/>
        </w:rPr>
        <w:t>County</w:t>
      </w:r>
      <w:r>
        <w:rPr>
          <w:spacing w:val="-8"/>
          <w:vertAlign w:val="baseline"/>
        </w:rPr>
        <w:t> </w:t>
      </w:r>
      <w:r>
        <w:rPr>
          <w:vertAlign w:val="baseline"/>
        </w:rPr>
        <w:t>is expected to hold relafively steady over the next decade before increasing. (Figure Y1)</w:t>
      </w:r>
    </w:p>
    <w:p>
      <w:pPr>
        <w:pStyle w:val="BodyText"/>
        <w:ind w:left="0"/>
        <w:rPr>
          <w:sz w:val="18"/>
        </w:rPr>
      </w:pPr>
      <w:r>
        <w:rPr/>
        <w:br w:type="column"/>
      </w:r>
      <w:r>
        <w:rPr>
          <w:sz w:val="18"/>
        </w:rPr>
      </w:r>
    </w:p>
    <w:p>
      <w:pPr>
        <w:pStyle w:val="BodyText"/>
        <w:spacing w:before="32"/>
        <w:ind w:left="0"/>
        <w:rPr>
          <w:sz w:val="18"/>
        </w:rPr>
      </w:pPr>
    </w:p>
    <w:p>
      <w:pPr>
        <w:spacing w:before="0"/>
        <w:ind w:left="152" w:right="0" w:firstLine="0"/>
        <w:jc w:val="left"/>
        <w:rPr>
          <w:i/>
          <w:sz w:val="18"/>
        </w:rPr>
      </w:pPr>
      <w:r>
        <w:rPr>
          <w:i/>
          <w:color w:val="0D2841"/>
          <w:sz w:val="18"/>
        </w:rPr>
        <w:t>Map</w:t>
      </w:r>
      <w:r>
        <w:rPr>
          <w:i/>
          <w:color w:val="0D2841"/>
          <w:spacing w:val="-4"/>
          <w:sz w:val="18"/>
        </w:rPr>
        <w:t> </w:t>
      </w:r>
      <w:r>
        <w:rPr>
          <w:i/>
          <w:color w:val="0D2841"/>
          <w:sz w:val="18"/>
        </w:rPr>
        <w:t>Y1:</w:t>
      </w:r>
      <w:r>
        <w:rPr>
          <w:i/>
          <w:color w:val="0D2841"/>
          <w:spacing w:val="-6"/>
          <w:sz w:val="18"/>
        </w:rPr>
        <w:t> </w:t>
      </w:r>
      <w:r>
        <w:rPr>
          <w:i/>
          <w:color w:val="0D2841"/>
          <w:sz w:val="18"/>
        </w:rPr>
        <w:t>Populafion</w:t>
      </w:r>
      <w:r>
        <w:rPr>
          <w:i/>
          <w:color w:val="0D2841"/>
          <w:spacing w:val="-4"/>
          <w:sz w:val="18"/>
        </w:rPr>
        <w:t> </w:t>
      </w:r>
      <w:r>
        <w:rPr>
          <w:i/>
          <w:color w:val="0D2841"/>
          <w:sz w:val="18"/>
        </w:rPr>
        <w:t>Density</w:t>
      </w:r>
      <w:r>
        <w:rPr>
          <w:i/>
          <w:color w:val="0D2841"/>
          <w:spacing w:val="-3"/>
          <w:sz w:val="18"/>
        </w:rPr>
        <w:t> </w:t>
      </w:r>
      <w:r>
        <w:rPr>
          <w:i/>
          <w:color w:val="0D2841"/>
          <w:sz w:val="18"/>
        </w:rPr>
        <w:t>of</w:t>
      </w:r>
      <w:r>
        <w:rPr>
          <w:i/>
          <w:color w:val="0D2841"/>
          <w:spacing w:val="-5"/>
          <w:sz w:val="18"/>
        </w:rPr>
        <w:t> </w:t>
      </w:r>
      <w:r>
        <w:rPr>
          <w:i/>
          <w:color w:val="0D2841"/>
          <w:sz w:val="18"/>
        </w:rPr>
        <w:t>Yates</w:t>
      </w:r>
      <w:r>
        <w:rPr>
          <w:i/>
          <w:color w:val="0D2841"/>
          <w:spacing w:val="-6"/>
          <w:sz w:val="18"/>
        </w:rPr>
        <w:t> </w:t>
      </w:r>
      <w:r>
        <w:rPr>
          <w:i/>
          <w:color w:val="0D2841"/>
          <w:spacing w:val="-2"/>
          <w:sz w:val="18"/>
        </w:rPr>
        <w:t>County</w:t>
      </w:r>
    </w:p>
    <w:p>
      <w:pPr>
        <w:pStyle w:val="BodyText"/>
        <w:spacing w:before="10"/>
        <w:ind w:left="0"/>
        <w:rPr>
          <w:i/>
          <w:sz w:val="6"/>
        </w:rPr>
      </w:pPr>
      <w:r>
        <w:rPr>
          <w:i/>
          <w:sz w:val="6"/>
        </w:rPr>
        <w:drawing>
          <wp:anchor distT="0" distB="0" distL="0" distR="0" allowOverlap="1" layoutInCell="1" locked="0" behindDoc="1" simplePos="0" relativeHeight="487592448">
            <wp:simplePos x="0" y="0"/>
            <wp:positionH relativeFrom="page">
              <wp:posOffset>3387864</wp:posOffset>
            </wp:positionH>
            <wp:positionV relativeFrom="paragraph">
              <wp:posOffset>68516</wp:posOffset>
            </wp:positionV>
            <wp:extent cx="4366971" cy="2816352"/>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5" cstate="print"/>
                    <a:stretch>
                      <a:fillRect/>
                    </a:stretch>
                  </pic:blipFill>
                  <pic:spPr>
                    <a:xfrm>
                      <a:off x="0" y="0"/>
                      <a:ext cx="4366971" cy="2816352"/>
                    </a:xfrm>
                    <a:prstGeom prst="rect">
                      <a:avLst/>
                    </a:prstGeom>
                  </pic:spPr>
                </pic:pic>
              </a:graphicData>
            </a:graphic>
          </wp:anchor>
        </w:drawing>
      </w:r>
    </w:p>
    <w:p>
      <w:pPr>
        <w:spacing w:before="97"/>
        <w:ind w:left="152" w:right="0" w:firstLine="0"/>
        <w:jc w:val="left"/>
        <w:rPr>
          <w:i/>
          <w:sz w:val="18"/>
        </w:rPr>
      </w:pPr>
      <w:r>
        <w:rPr>
          <w:i/>
          <w:color w:val="0D2841"/>
          <w:sz w:val="18"/>
        </w:rPr>
        <w:t>Source:</w:t>
      </w:r>
      <w:r>
        <w:rPr>
          <w:i/>
          <w:color w:val="0D2841"/>
          <w:spacing w:val="-6"/>
          <w:sz w:val="18"/>
        </w:rPr>
        <w:t> </w:t>
      </w:r>
      <w:r>
        <w:rPr>
          <w:i/>
          <w:color w:val="0D2841"/>
          <w:sz w:val="18"/>
        </w:rPr>
        <w:t>Cornell</w:t>
      </w:r>
      <w:r>
        <w:rPr>
          <w:i/>
          <w:color w:val="0D2841"/>
          <w:spacing w:val="-3"/>
          <w:sz w:val="18"/>
        </w:rPr>
        <w:t> </w:t>
      </w:r>
      <w:r>
        <w:rPr>
          <w:i/>
          <w:color w:val="0D2841"/>
          <w:sz w:val="18"/>
        </w:rPr>
        <w:t>Program</w:t>
      </w:r>
      <w:r>
        <w:rPr>
          <w:i/>
          <w:color w:val="0D2841"/>
          <w:spacing w:val="-3"/>
          <w:sz w:val="18"/>
        </w:rPr>
        <w:t> </w:t>
      </w:r>
      <w:r>
        <w:rPr>
          <w:i/>
          <w:color w:val="0D2841"/>
          <w:sz w:val="18"/>
        </w:rPr>
        <w:t>on</w:t>
      </w:r>
      <w:r>
        <w:rPr>
          <w:i/>
          <w:color w:val="0D2841"/>
          <w:spacing w:val="-2"/>
          <w:sz w:val="18"/>
        </w:rPr>
        <w:t> </w:t>
      </w:r>
      <w:r>
        <w:rPr>
          <w:i/>
          <w:color w:val="0D2841"/>
          <w:sz w:val="18"/>
        </w:rPr>
        <w:t>Applied</w:t>
      </w:r>
      <w:r>
        <w:rPr>
          <w:i/>
          <w:color w:val="0D2841"/>
          <w:spacing w:val="-1"/>
          <w:sz w:val="18"/>
        </w:rPr>
        <w:t> </w:t>
      </w:r>
      <w:r>
        <w:rPr>
          <w:i/>
          <w:color w:val="0D2841"/>
          <w:sz w:val="18"/>
        </w:rPr>
        <w:t>Demographics</w:t>
      </w:r>
      <w:r>
        <w:rPr>
          <w:i/>
          <w:color w:val="0D2841"/>
          <w:spacing w:val="-4"/>
          <w:sz w:val="18"/>
        </w:rPr>
        <w:t> </w:t>
      </w:r>
      <w:r>
        <w:rPr>
          <w:i/>
          <w:color w:val="0D2841"/>
          <w:sz w:val="18"/>
        </w:rPr>
        <w:t>2024;</w:t>
      </w:r>
      <w:r>
        <w:rPr>
          <w:i/>
          <w:color w:val="0D2841"/>
          <w:spacing w:val="-2"/>
          <w:sz w:val="18"/>
        </w:rPr>
        <w:t> </w:t>
      </w:r>
      <w:r>
        <w:rPr>
          <w:i/>
          <w:color w:val="0D2841"/>
          <w:sz w:val="18"/>
        </w:rPr>
        <w:t>US</w:t>
      </w:r>
      <w:r>
        <w:rPr>
          <w:i/>
          <w:color w:val="0D2841"/>
          <w:spacing w:val="-3"/>
          <w:sz w:val="18"/>
        </w:rPr>
        <w:t> </w:t>
      </w:r>
      <w:r>
        <w:rPr>
          <w:i/>
          <w:color w:val="0D2841"/>
          <w:sz w:val="18"/>
        </w:rPr>
        <w:t>Census</w:t>
      </w:r>
      <w:r>
        <w:rPr>
          <w:i/>
          <w:color w:val="0D2841"/>
          <w:spacing w:val="-3"/>
          <w:sz w:val="18"/>
        </w:rPr>
        <w:t> </w:t>
      </w:r>
      <w:r>
        <w:rPr>
          <w:i/>
          <w:color w:val="0D2841"/>
          <w:spacing w:val="-4"/>
          <w:sz w:val="18"/>
        </w:rPr>
        <w:t>2020</w:t>
      </w:r>
    </w:p>
    <w:p>
      <w:pPr>
        <w:spacing w:after="0"/>
        <w:jc w:val="left"/>
        <w:rPr>
          <w:i/>
          <w:sz w:val="18"/>
        </w:rPr>
        <w:sectPr>
          <w:pgSz w:w="12240" w:h="15840"/>
          <w:pgMar w:header="161" w:footer="1223" w:top="1360" w:bottom="1420" w:left="0" w:right="0"/>
          <w:cols w:num="2" w:equalWidth="0">
            <w:col w:w="5148" w:space="40"/>
            <w:col w:w="7052"/>
          </w:cols>
        </w:sectPr>
      </w:pPr>
    </w:p>
    <w:p>
      <w:pPr>
        <w:pStyle w:val="BodyText"/>
        <w:spacing w:before="19"/>
        <w:ind w:left="0"/>
        <w:rPr>
          <w:i/>
          <w:sz w:val="18"/>
        </w:rPr>
      </w:pPr>
    </w:p>
    <w:p>
      <w:pPr>
        <w:spacing w:before="1"/>
        <w:ind w:left="1531" w:right="0" w:firstLine="0"/>
        <w:jc w:val="left"/>
        <w:rPr>
          <w:i/>
          <w:sz w:val="18"/>
        </w:rPr>
      </w:pPr>
      <w:r>
        <w:rPr>
          <w:i/>
          <w:color w:val="0D2841"/>
          <w:sz w:val="18"/>
        </w:rPr>
        <w:t>Figure</w:t>
      </w:r>
      <w:r>
        <w:rPr>
          <w:i/>
          <w:color w:val="0D2841"/>
          <w:spacing w:val="-4"/>
          <w:sz w:val="18"/>
        </w:rPr>
        <w:t> </w:t>
      </w:r>
      <w:r>
        <w:rPr>
          <w:i/>
          <w:color w:val="0D2841"/>
          <w:sz w:val="18"/>
        </w:rPr>
        <w:t>Y1:</w:t>
      </w:r>
      <w:r>
        <w:rPr>
          <w:i/>
          <w:color w:val="0D2841"/>
          <w:spacing w:val="-4"/>
          <w:sz w:val="18"/>
        </w:rPr>
        <w:t> </w:t>
      </w:r>
      <w:r>
        <w:rPr>
          <w:i/>
          <w:color w:val="0D2841"/>
          <w:sz w:val="18"/>
        </w:rPr>
        <w:t>Populafion</w:t>
      </w:r>
      <w:r>
        <w:rPr>
          <w:i/>
          <w:color w:val="0D2841"/>
          <w:spacing w:val="-3"/>
          <w:sz w:val="18"/>
        </w:rPr>
        <w:t> </w:t>
      </w:r>
      <w:r>
        <w:rPr>
          <w:i/>
          <w:color w:val="0D2841"/>
          <w:sz w:val="18"/>
        </w:rPr>
        <w:t>Projecfions-</w:t>
      </w:r>
      <w:r>
        <w:rPr>
          <w:i/>
          <w:color w:val="0D2841"/>
          <w:spacing w:val="-6"/>
          <w:sz w:val="18"/>
        </w:rPr>
        <w:t> </w:t>
      </w:r>
      <w:r>
        <w:rPr>
          <w:i/>
          <w:color w:val="0D2841"/>
          <w:sz w:val="18"/>
        </w:rPr>
        <w:t>Yates</w:t>
      </w:r>
      <w:r>
        <w:rPr>
          <w:i/>
          <w:color w:val="0D2841"/>
          <w:spacing w:val="-5"/>
          <w:sz w:val="18"/>
        </w:rPr>
        <w:t> </w:t>
      </w:r>
      <w:r>
        <w:rPr>
          <w:i/>
          <w:color w:val="0D2841"/>
          <w:spacing w:val="-2"/>
          <w:sz w:val="18"/>
        </w:rPr>
        <w:t>County</w:t>
      </w:r>
    </w:p>
    <w:p>
      <w:pPr>
        <w:pStyle w:val="BodyText"/>
        <w:spacing w:before="25"/>
        <w:ind w:left="0"/>
        <w:rPr>
          <w:i/>
          <w:sz w:val="20"/>
        </w:rPr>
      </w:pPr>
      <w:r>
        <w:rPr>
          <w:i/>
          <w:sz w:val="20"/>
        </w:rPr>
        <mc:AlternateContent>
          <mc:Choice Requires="wps">
            <w:drawing>
              <wp:anchor distT="0" distB="0" distL="0" distR="0" allowOverlap="1" layoutInCell="1" locked="0" behindDoc="1" simplePos="0" relativeHeight="487592960">
                <wp:simplePos x="0" y="0"/>
                <wp:positionH relativeFrom="page">
                  <wp:posOffset>966279</wp:posOffset>
                </wp:positionH>
                <wp:positionV relativeFrom="paragraph">
                  <wp:posOffset>187284</wp:posOffset>
                </wp:positionV>
                <wp:extent cx="5832475" cy="3044825"/>
                <wp:effectExtent l="0" t="0" r="0" b="0"/>
                <wp:wrapTopAndBottom/>
                <wp:docPr id="28" name="Group 28"/>
                <wp:cNvGraphicFramePr>
                  <a:graphicFrameLocks/>
                </wp:cNvGraphicFramePr>
                <a:graphic>
                  <a:graphicData uri="http://schemas.microsoft.com/office/word/2010/wordprocessingGroup">
                    <wpg:wgp>
                      <wpg:cNvPr id="28" name="Group 28"/>
                      <wpg:cNvGrpSpPr/>
                      <wpg:grpSpPr>
                        <a:xfrm>
                          <a:off x="0" y="0"/>
                          <a:ext cx="5832475" cy="3044825"/>
                          <a:chExt cx="5832475" cy="3044825"/>
                        </a:xfrm>
                      </wpg:grpSpPr>
                      <wps:wsp>
                        <wps:cNvPr id="29" name="Graphic 29"/>
                        <wps:cNvSpPr/>
                        <wps:spPr>
                          <a:xfrm>
                            <a:off x="510473" y="1906460"/>
                            <a:ext cx="5178425" cy="358140"/>
                          </a:xfrm>
                          <a:custGeom>
                            <a:avLst/>
                            <a:gdLst/>
                            <a:ahLst/>
                            <a:cxnLst/>
                            <a:rect l="l" t="t" r="r" b="b"/>
                            <a:pathLst>
                              <a:path w="5178425" h="358140">
                                <a:moveTo>
                                  <a:pt x="0" y="358139"/>
                                </a:moveTo>
                                <a:lnTo>
                                  <a:pt x="68455" y="358139"/>
                                </a:lnTo>
                              </a:path>
                              <a:path w="5178425" h="358140">
                                <a:moveTo>
                                  <a:pt x="130939" y="358139"/>
                                </a:moveTo>
                                <a:lnTo>
                                  <a:pt x="268099" y="358139"/>
                                </a:lnTo>
                              </a:path>
                              <a:path w="5178425" h="358140">
                                <a:moveTo>
                                  <a:pt x="330583" y="358139"/>
                                </a:moveTo>
                                <a:lnTo>
                                  <a:pt x="466346" y="358139"/>
                                </a:lnTo>
                              </a:path>
                              <a:path w="5178425" h="358140">
                                <a:moveTo>
                                  <a:pt x="528830" y="358139"/>
                                </a:moveTo>
                                <a:lnTo>
                                  <a:pt x="665863" y="358139"/>
                                </a:lnTo>
                              </a:path>
                              <a:path w="5178425" h="358140">
                                <a:moveTo>
                                  <a:pt x="728347" y="358139"/>
                                </a:moveTo>
                                <a:lnTo>
                                  <a:pt x="864110" y="358139"/>
                                </a:lnTo>
                              </a:path>
                              <a:path w="5178425" h="358140">
                                <a:moveTo>
                                  <a:pt x="926467" y="358139"/>
                                </a:moveTo>
                                <a:lnTo>
                                  <a:pt x="1063627" y="358139"/>
                                </a:lnTo>
                              </a:path>
                              <a:path w="5178425" h="358140">
                                <a:moveTo>
                                  <a:pt x="1126111" y="358139"/>
                                </a:moveTo>
                                <a:lnTo>
                                  <a:pt x="1263398" y="358139"/>
                                </a:lnTo>
                              </a:path>
                              <a:path w="5178425" h="358140">
                                <a:moveTo>
                                  <a:pt x="1325755" y="358139"/>
                                </a:moveTo>
                                <a:lnTo>
                                  <a:pt x="1461391" y="358139"/>
                                </a:lnTo>
                              </a:path>
                              <a:path w="5178425" h="358140">
                                <a:moveTo>
                                  <a:pt x="1523875" y="358139"/>
                                </a:moveTo>
                                <a:lnTo>
                                  <a:pt x="1661035" y="358139"/>
                                </a:lnTo>
                              </a:path>
                              <a:path w="5178425" h="358140">
                                <a:moveTo>
                                  <a:pt x="1723519" y="358139"/>
                                </a:moveTo>
                                <a:lnTo>
                                  <a:pt x="1860806" y="358139"/>
                                </a:lnTo>
                              </a:path>
                              <a:path w="5178425" h="358140">
                                <a:moveTo>
                                  <a:pt x="1923163" y="358139"/>
                                </a:moveTo>
                                <a:lnTo>
                                  <a:pt x="2060323" y="358139"/>
                                </a:lnTo>
                              </a:path>
                              <a:path w="5178425" h="358140">
                                <a:moveTo>
                                  <a:pt x="2122807" y="358139"/>
                                </a:moveTo>
                                <a:lnTo>
                                  <a:pt x="2259967" y="358139"/>
                                </a:lnTo>
                              </a:path>
                              <a:path w="5178425" h="358140">
                                <a:moveTo>
                                  <a:pt x="2322451" y="358139"/>
                                </a:moveTo>
                                <a:lnTo>
                                  <a:pt x="2456563" y="358139"/>
                                </a:lnTo>
                              </a:path>
                              <a:path w="5178425" h="358140">
                                <a:moveTo>
                                  <a:pt x="2519047" y="358139"/>
                                </a:moveTo>
                                <a:lnTo>
                                  <a:pt x="2656334" y="358139"/>
                                </a:lnTo>
                              </a:path>
                              <a:path w="5178425" h="358140">
                                <a:moveTo>
                                  <a:pt x="2718691" y="358139"/>
                                </a:moveTo>
                                <a:lnTo>
                                  <a:pt x="2855978" y="358139"/>
                                </a:lnTo>
                              </a:path>
                              <a:path w="5178425" h="358140">
                                <a:moveTo>
                                  <a:pt x="2918335" y="358139"/>
                                </a:moveTo>
                                <a:lnTo>
                                  <a:pt x="3055495" y="358139"/>
                                </a:lnTo>
                              </a:path>
                              <a:path w="5178425" h="358140">
                                <a:moveTo>
                                  <a:pt x="3117979" y="358139"/>
                                </a:moveTo>
                                <a:lnTo>
                                  <a:pt x="3255266" y="358139"/>
                                </a:lnTo>
                              </a:path>
                              <a:path w="5178425" h="358140">
                                <a:moveTo>
                                  <a:pt x="3317623" y="358139"/>
                                </a:moveTo>
                                <a:lnTo>
                                  <a:pt x="3454910" y="358139"/>
                                </a:lnTo>
                              </a:path>
                              <a:path w="5178425" h="358140">
                                <a:moveTo>
                                  <a:pt x="3517267" y="358139"/>
                                </a:moveTo>
                                <a:lnTo>
                                  <a:pt x="3653030" y="358139"/>
                                </a:lnTo>
                              </a:path>
                              <a:path w="5178425" h="358140">
                                <a:moveTo>
                                  <a:pt x="3715387" y="358139"/>
                                </a:moveTo>
                                <a:lnTo>
                                  <a:pt x="3852674" y="358139"/>
                                </a:lnTo>
                              </a:path>
                              <a:path w="5178425" h="358140">
                                <a:moveTo>
                                  <a:pt x="3913634" y="358139"/>
                                </a:moveTo>
                                <a:lnTo>
                                  <a:pt x="4050667" y="358139"/>
                                </a:lnTo>
                              </a:path>
                              <a:path w="5178425" h="358140">
                                <a:moveTo>
                                  <a:pt x="4113151" y="358139"/>
                                </a:moveTo>
                                <a:lnTo>
                                  <a:pt x="4250438" y="358139"/>
                                </a:lnTo>
                              </a:path>
                              <a:path w="5178425" h="358140">
                                <a:moveTo>
                                  <a:pt x="4312795" y="358139"/>
                                </a:moveTo>
                                <a:lnTo>
                                  <a:pt x="4449955" y="358139"/>
                                </a:lnTo>
                              </a:path>
                              <a:path w="5178425" h="358140">
                                <a:moveTo>
                                  <a:pt x="4512439" y="358139"/>
                                </a:moveTo>
                                <a:lnTo>
                                  <a:pt x="4648202" y="358139"/>
                                </a:lnTo>
                              </a:path>
                              <a:path w="5178425" h="358140">
                                <a:moveTo>
                                  <a:pt x="4710559" y="358139"/>
                                </a:moveTo>
                                <a:lnTo>
                                  <a:pt x="4847846" y="358139"/>
                                </a:lnTo>
                              </a:path>
                              <a:path w="5178425" h="358140">
                                <a:moveTo>
                                  <a:pt x="4910330" y="358139"/>
                                </a:moveTo>
                                <a:lnTo>
                                  <a:pt x="5047363" y="358139"/>
                                </a:lnTo>
                              </a:path>
                              <a:path w="5178425" h="358140">
                                <a:moveTo>
                                  <a:pt x="5109847" y="358139"/>
                                </a:moveTo>
                                <a:lnTo>
                                  <a:pt x="5178425" y="358139"/>
                                </a:lnTo>
                              </a:path>
                              <a:path w="5178425" h="358140">
                                <a:moveTo>
                                  <a:pt x="0" y="0"/>
                                </a:moveTo>
                                <a:lnTo>
                                  <a:pt x="68455" y="0"/>
                                </a:lnTo>
                              </a:path>
                              <a:path w="5178425" h="358140">
                                <a:moveTo>
                                  <a:pt x="130939" y="0"/>
                                </a:moveTo>
                                <a:lnTo>
                                  <a:pt x="268099" y="0"/>
                                </a:lnTo>
                              </a:path>
                              <a:path w="5178425" h="358140">
                                <a:moveTo>
                                  <a:pt x="330583" y="0"/>
                                </a:moveTo>
                                <a:lnTo>
                                  <a:pt x="466346" y="0"/>
                                </a:lnTo>
                              </a:path>
                              <a:path w="5178425" h="358140">
                                <a:moveTo>
                                  <a:pt x="528830" y="0"/>
                                </a:moveTo>
                                <a:lnTo>
                                  <a:pt x="665863" y="0"/>
                                </a:lnTo>
                              </a:path>
                              <a:path w="5178425" h="358140">
                                <a:moveTo>
                                  <a:pt x="728347" y="0"/>
                                </a:moveTo>
                                <a:lnTo>
                                  <a:pt x="864110" y="0"/>
                                </a:lnTo>
                              </a:path>
                              <a:path w="5178425" h="358140">
                                <a:moveTo>
                                  <a:pt x="926467" y="0"/>
                                </a:moveTo>
                                <a:lnTo>
                                  <a:pt x="1063627" y="0"/>
                                </a:lnTo>
                              </a:path>
                              <a:path w="5178425" h="358140">
                                <a:moveTo>
                                  <a:pt x="1126111" y="0"/>
                                </a:moveTo>
                                <a:lnTo>
                                  <a:pt x="1263398" y="0"/>
                                </a:lnTo>
                              </a:path>
                              <a:path w="5178425" h="358140">
                                <a:moveTo>
                                  <a:pt x="1325755" y="0"/>
                                </a:moveTo>
                                <a:lnTo>
                                  <a:pt x="1461391" y="0"/>
                                </a:lnTo>
                              </a:path>
                              <a:path w="5178425" h="358140">
                                <a:moveTo>
                                  <a:pt x="1523875" y="0"/>
                                </a:moveTo>
                                <a:lnTo>
                                  <a:pt x="1661035" y="0"/>
                                </a:lnTo>
                              </a:path>
                              <a:path w="5178425" h="358140">
                                <a:moveTo>
                                  <a:pt x="1723519" y="0"/>
                                </a:moveTo>
                                <a:lnTo>
                                  <a:pt x="1860806" y="0"/>
                                </a:lnTo>
                              </a:path>
                              <a:path w="5178425" h="358140">
                                <a:moveTo>
                                  <a:pt x="1923163" y="0"/>
                                </a:moveTo>
                                <a:lnTo>
                                  <a:pt x="2060323" y="0"/>
                                </a:lnTo>
                              </a:path>
                              <a:path w="5178425" h="358140">
                                <a:moveTo>
                                  <a:pt x="2122807" y="0"/>
                                </a:moveTo>
                                <a:lnTo>
                                  <a:pt x="2259967" y="0"/>
                                </a:lnTo>
                              </a:path>
                              <a:path w="5178425" h="358140">
                                <a:moveTo>
                                  <a:pt x="2322451" y="0"/>
                                </a:moveTo>
                                <a:lnTo>
                                  <a:pt x="2456563" y="0"/>
                                </a:lnTo>
                              </a:path>
                              <a:path w="5178425" h="358140">
                                <a:moveTo>
                                  <a:pt x="2519047" y="0"/>
                                </a:moveTo>
                                <a:lnTo>
                                  <a:pt x="2656334" y="0"/>
                                </a:lnTo>
                              </a:path>
                              <a:path w="5178425" h="358140">
                                <a:moveTo>
                                  <a:pt x="2718691" y="0"/>
                                </a:moveTo>
                                <a:lnTo>
                                  <a:pt x="2855978" y="0"/>
                                </a:lnTo>
                              </a:path>
                              <a:path w="5178425" h="358140">
                                <a:moveTo>
                                  <a:pt x="2918335" y="0"/>
                                </a:moveTo>
                                <a:lnTo>
                                  <a:pt x="3055495" y="0"/>
                                </a:lnTo>
                              </a:path>
                              <a:path w="5178425" h="358140">
                                <a:moveTo>
                                  <a:pt x="3117979" y="0"/>
                                </a:moveTo>
                                <a:lnTo>
                                  <a:pt x="3255266" y="0"/>
                                </a:lnTo>
                              </a:path>
                              <a:path w="5178425" h="358140">
                                <a:moveTo>
                                  <a:pt x="3317623" y="0"/>
                                </a:moveTo>
                                <a:lnTo>
                                  <a:pt x="3454910" y="0"/>
                                </a:lnTo>
                              </a:path>
                              <a:path w="5178425" h="358140">
                                <a:moveTo>
                                  <a:pt x="3517267" y="0"/>
                                </a:moveTo>
                                <a:lnTo>
                                  <a:pt x="3653030" y="0"/>
                                </a:lnTo>
                              </a:path>
                              <a:path w="5178425" h="358140">
                                <a:moveTo>
                                  <a:pt x="3715387" y="0"/>
                                </a:moveTo>
                                <a:lnTo>
                                  <a:pt x="3852674" y="0"/>
                                </a:lnTo>
                              </a:path>
                              <a:path w="5178425" h="358140">
                                <a:moveTo>
                                  <a:pt x="3913634" y="0"/>
                                </a:moveTo>
                                <a:lnTo>
                                  <a:pt x="4050667" y="0"/>
                                </a:lnTo>
                              </a:path>
                              <a:path w="5178425" h="358140">
                                <a:moveTo>
                                  <a:pt x="4113151" y="0"/>
                                </a:moveTo>
                                <a:lnTo>
                                  <a:pt x="4250438" y="0"/>
                                </a:lnTo>
                              </a:path>
                              <a:path w="5178425" h="358140">
                                <a:moveTo>
                                  <a:pt x="4312795" y="0"/>
                                </a:moveTo>
                                <a:lnTo>
                                  <a:pt x="4449955" y="0"/>
                                </a:lnTo>
                              </a:path>
                              <a:path w="5178425" h="358140">
                                <a:moveTo>
                                  <a:pt x="4512439" y="0"/>
                                </a:moveTo>
                                <a:lnTo>
                                  <a:pt x="4648202" y="0"/>
                                </a:lnTo>
                              </a:path>
                              <a:path w="5178425" h="358140">
                                <a:moveTo>
                                  <a:pt x="4710559" y="0"/>
                                </a:moveTo>
                                <a:lnTo>
                                  <a:pt x="4847846" y="0"/>
                                </a:lnTo>
                              </a:path>
                              <a:path w="5178425" h="358140">
                                <a:moveTo>
                                  <a:pt x="4910330" y="0"/>
                                </a:moveTo>
                                <a:lnTo>
                                  <a:pt x="5047363" y="0"/>
                                </a:lnTo>
                              </a:path>
                              <a:path w="5178425" h="358140">
                                <a:moveTo>
                                  <a:pt x="5109847" y="0"/>
                                </a:moveTo>
                                <a:lnTo>
                                  <a:pt x="5178425" y="0"/>
                                </a:lnTo>
                              </a:path>
                            </a:pathLst>
                          </a:custGeom>
                          <a:ln w="9016">
                            <a:solidFill>
                              <a:srgbClr val="D8D8D8"/>
                            </a:solidFill>
                            <a:prstDash val="solid"/>
                          </a:ln>
                        </wps:spPr>
                        <wps:bodyPr wrap="square" lIns="0" tIns="0" rIns="0" bIns="0" rtlCol="0">
                          <a:prstTxWarp prst="textNoShape">
                            <a:avLst/>
                          </a:prstTxWarp>
                          <a:noAutofit/>
                        </wps:bodyPr>
                      </wps:wsp>
                      <wps:wsp>
                        <wps:cNvPr id="30" name="Graphic 30"/>
                        <wps:cNvSpPr/>
                        <wps:spPr>
                          <a:xfrm>
                            <a:off x="510473" y="833691"/>
                            <a:ext cx="5178425" cy="716280"/>
                          </a:xfrm>
                          <a:custGeom>
                            <a:avLst/>
                            <a:gdLst/>
                            <a:ahLst/>
                            <a:cxnLst/>
                            <a:rect l="l" t="t" r="r" b="b"/>
                            <a:pathLst>
                              <a:path w="5178425" h="716280">
                                <a:moveTo>
                                  <a:pt x="0" y="716152"/>
                                </a:moveTo>
                                <a:lnTo>
                                  <a:pt x="68455" y="716152"/>
                                </a:lnTo>
                              </a:path>
                              <a:path w="5178425" h="716280">
                                <a:moveTo>
                                  <a:pt x="130939" y="716152"/>
                                </a:moveTo>
                                <a:lnTo>
                                  <a:pt x="268099" y="716152"/>
                                </a:lnTo>
                              </a:path>
                              <a:path w="5178425" h="716280">
                                <a:moveTo>
                                  <a:pt x="330583" y="716152"/>
                                </a:moveTo>
                                <a:lnTo>
                                  <a:pt x="466346" y="716152"/>
                                </a:lnTo>
                              </a:path>
                              <a:path w="5178425" h="716280">
                                <a:moveTo>
                                  <a:pt x="528830" y="716152"/>
                                </a:moveTo>
                                <a:lnTo>
                                  <a:pt x="665863" y="716152"/>
                                </a:lnTo>
                              </a:path>
                              <a:path w="5178425" h="716280">
                                <a:moveTo>
                                  <a:pt x="728347" y="716152"/>
                                </a:moveTo>
                                <a:lnTo>
                                  <a:pt x="864110" y="716152"/>
                                </a:lnTo>
                              </a:path>
                              <a:path w="5178425" h="716280">
                                <a:moveTo>
                                  <a:pt x="926467" y="716152"/>
                                </a:moveTo>
                                <a:lnTo>
                                  <a:pt x="4847846" y="716152"/>
                                </a:lnTo>
                              </a:path>
                              <a:path w="5178425" h="716280">
                                <a:moveTo>
                                  <a:pt x="4910330" y="716152"/>
                                </a:moveTo>
                                <a:lnTo>
                                  <a:pt x="5047363" y="716152"/>
                                </a:lnTo>
                              </a:path>
                              <a:path w="5178425" h="716280">
                                <a:moveTo>
                                  <a:pt x="5109847" y="716152"/>
                                </a:moveTo>
                                <a:lnTo>
                                  <a:pt x="5178425" y="716152"/>
                                </a:lnTo>
                              </a:path>
                              <a:path w="5178425" h="716280">
                                <a:moveTo>
                                  <a:pt x="0" y="358012"/>
                                </a:moveTo>
                                <a:lnTo>
                                  <a:pt x="68455" y="358012"/>
                                </a:lnTo>
                              </a:path>
                              <a:path w="5178425" h="716280">
                                <a:moveTo>
                                  <a:pt x="130939" y="358012"/>
                                </a:moveTo>
                                <a:lnTo>
                                  <a:pt x="268099" y="358012"/>
                                </a:lnTo>
                              </a:path>
                              <a:path w="5178425" h="716280">
                                <a:moveTo>
                                  <a:pt x="330583" y="358012"/>
                                </a:moveTo>
                                <a:lnTo>
                                  <a:pt x="466346" y="358012"/>
                                </a:lnTo>
                              </a:path>
                              <a:path w="5178425" h="716280">
                                <a:moveTo>
                                  <a:pt x="528830" y="358012"/>
                                </a:moveTo>
                                <a:lnTo>
                                  <a:pt x="5178425" y="358012"/>
                                </a:lnTo>
                              </a:path>
                              <a:path w="5178425" h="716280">
                                <a:moveTo>
                                  <a:pt x="0" y="0"/>
                                </a:moveTo>
                                <a:lnTo>
                                  <a:pt x="68455" y="0"/>
                                </a:lnTo>
                              </a:path>
                              <a:path w="5178425" h="716280">
                                <a:moveTo>
                                  <a:pt x="130939" y="0"/>
                                </a:moveTo>
                                <a:lnTo>
                                  <a:pt x="5178425" y="0"/>
                                </a:lnTo>
                              </a:path>
                            </a:pathLst>
                          </a:custGeom>
                          <a:ln w="9017">
                            <a:solidFill>
                              <a:srgbClr val="D8D8D8"/>
                            </a:solidFill>
                            <a:prstDash val="solid"/>
                          </a:ln>
                        </wps:spPr>
                        <wps:bodyPr wrap="square" lIns="0" tIns="0" rIns="0" bIns="0" rtlCol="0">
                          <a:prstTxWarp prst="textNoShape">
                            <a:avLst/>
                          </a:prstTxWarp>
                          <a:noAutofit/>
                        </wps:bodyPr>
                      </wps:wsp>
                      <wps:wsp>
                        <wps:cNvPr id="31" name="Graphic 31"/>
                        <wps:cNvSpPr/>
                        <wps:spPr>
                          <a:xfrm>
                            <a:off x="510473" y="475424"/>
                            <a:ext cx="5178425" cy="1270"/>
                          </a:xfrm>
                          <a:custGeom>
                            <a:avLst/>
                            <a:gdLst/>
                            <a:ahLst/>
                            <a:cxnLst/>
                            <a:rect l="l" t="t" r="r" b="b"/>
                            <a:pathLst>
                              <a:path w="5178425" h="0">
                                <a:moveTo>
                                  <a:pt x="0" y="0"/>
                                </a:moveTo>
                                <a:lnTo>
                                  <a:pt x="5178425" y="0"/>
                                </a:lnTo>
                              </a:path>
                            </a:pathLst>
                          </a:custGeom>
                          <a:ln w="9017">
                            <a:solidFill>
                              <a:srgbClr val="D8D8D8"/>
                            </a:solidFill>
                            <a:prstDash val="solid"/>
                          </a:ln>
                        </wps:spPr>
                        <wps:bodyPr wrap="square" lIns="0" tIns="0" rIns="0" bIns="0" rtlCol="0">
                          <a:prstTxWarp prst="textNoShape">
                            <a:avLst/>
                          </a:prstTxWarp>
                          <a:noAutofit/>
                        </wps:bodyPr>
                      </wps:wsp>
                      <wps:wsp>
                        <wps:cNvPr id="32" name="Graphic 32"/>
                        <wps:cNvSpPr/>
                        <wps:spPr>
                          <a:xfrm>
                            <a:off x="578916" y="600265"/>
                            <a:ext cx="5041900" cy="2022475"/>
                          </a:xfrm>
                          <a:custGeom>
                            <a:avLst/>
                            <a:gdLst/>
                            <a:ahLst/>
                            <a:cxnLst/>
                            <a:rect l="l" t="t" r="r" b="b"/>
                            <a:pathLst>
                              <a:path w="5041900" h="2022475">
                                <a:moveTo>
                                  <a:pt x="62484" y="0"/>
                                </a:moveTo>
                                <a:lnTo>
                                  <a:pt x="0" y="0"/>
                                </a:lnTo>
                                <a:lnTo>
                                  <a:pt x="0" y="2022360"/>
                                </a:lnTo>
                                <a:lnTo>
                                  <a:pt x="62484" y="2022360"/>
                                </a:lnTo>
                                <a:lnTo>
                                  <a:pt x="62484" y="0"/>
                                </a:lnTo>
                                <a:close/>
                              </a:path>
                              <a:path w="5041900" h="2022475">
                                <a:moveTo>
                                  <a:pt x="262128" y="243979"/>
                                </a:moveTo>
                                <a:lnTo>
                                  <a:pt x="199644" y="243979"/>
                                </a:lnTo>
                                <a:lnTo>
                                  <a:pt x="199644" y="2022348"/>
                                </a:lnTo>
                                <a:lnTo>
                                  <a:pt x="262128" y="2022348"/>
                                </a:lnTo>
                                <a:lnTo>
                                  <a:pt x="262128" y="243979"/>
                                </a:lnTo>
                                <a:close/>
                              </a:path>
                              <a:path w="5041900" h="2022475">
                                <a:moveTo>
                                  <a:pt x="460375" y="490740"/>
                                </a:moveTo>
                                <a:lnTo>
                                  <a:pt x="397903" y="490740"/>
                                </a:lnTo>
                                <a:lnTo>
                                  <a:pt x="397903" y="2022360"/>
                                </a:lnTo>
                                <a:lnTo>
                                  <a:pt x="460375" y="2022360"/>
                                </a:lnTo>
                                <a:lnTo>
                                  <a:pt x="460375" y="490740"/>
                                </a:lnTo>
                                <a:close/>
                              </a:path>
                              <a:path w="5041900" h="2022475">
                                <a:moveTo>
                                  <a:pt x="659892" y="667639"/>
                                </a:moveTo>
                                <a:lnTo>
                                  <a:pt x="597420" y="667639"/>
                                </a:lnTo>
                                <a:lnTo>
                                  <a:pt x="597420" y="2022348"/>
                                </a:lnTo>
                                <a:lnTo>
                                  <a:pt x="659892" y="2022348"/>
                                </a:lnTo>
                                <a:lnTo>
                                  <a:pt x="659892" y="667639"/>
                                </a:lnTo>
                                <a:close/>
                              </a:path>
                              <a:path w="5041900" h="2022475">
                                <a:moveTo>
                                  <a:pt x="858024" y="827532"/>
                                </a:moveTo>
                                <a:lnTo>
                                  <a:pt x="795667" y="827532"/>
                                </a:lnTo>
                                <a:lnTo>
                                  <a:pt x="795667" y="2022348"/>
                                </a:lnTo>
                                <a:lnTo>
                                  <a:pt x="858024" y="2022348"/>
                                </a:lnTo>
                                <a:lnTo>
                                  <a:pt x="858024" y="827532"/>
                                </a:lnTo>
                                <a:close/>
                              </a:path>
                              <a:path w="5041900" h="2022475">
                                <a:moveTo>
                                  <a:pt x="1057656" y="996708"/>
                                </a:moveTo>
                                <a:lnTo>
                                  <a:pt x="995172" y="996708"/>
                                </a:lnTo>
                                <a:lnTo>
                                  <a:pt x="995172" y="2022360"/>
                                </a:lnTo>
                                <a:lnTo>
                                  <a:pt x="1057656" y="2022360"/>
                                </a:lnTo>
                                <a:lnTo>
                                  <a:pt x="1057656" y="996708"/>
                                </a:lnTo>
                                <a:close/>
                              </a:path>
                              <a:path w="5041900" h="2022475">
                                <a:moveTo>
                                  <a:pt x="1257300" y="1132332"/>
                                </a:moveTo>
                                <a:lnTo>
                                  <a:pt x="1194943" y="1132332"/>
                                </a:lnTo>
                                <a:lnTo>
                                  <a:pt x="1194943" y="2022360"/>
                                </a:lnTo>
                                <a:lnTo>
                                  <a:pt x="1257300" y="2022360"/>
                                </a:lnTo>
                                <a:lnTo>
                                  <a:pt x="1257300" y="1132332"/>
                                </a:lnTo>
                                <a:close/>
                              </a:path>
                              <a:path w="5041900" h="2022475">
                                <a:moveTo>
                                  <a:pt x="1455420" y="1210068"/>
                                </a:moveTo>
                                <a:lnTo>
                                  <a:pt x="1392948" y="1210068"/>
                                </a:lnTo>
                                <a:lnTo>
                                  <a:pt x="1392948" y="2022360"/>
                                </a:lnTo>
                                <a:lnTo>
                                  <a:pt x="1455420" y="2022360"/>
                                </a:lnTo>
                                <a:lnTo>
                                  <a:pt x="1455420" y="1210068"/>
                                </a:lnTo>
                                <a:close/>
                              </a:path>
                              <a:path w="5041900" h="2022475">
                                <a:moveTo>
                                  <a:pt x="1655064" y="1239139"/>
                                </a:moveTo>
                                <a:lnTo>
                                  <a:pt x="1592592" y="1239139"/>
                                </a:lnTo>
                                <a:lnTo>
                                  <a:pt x="1592592" y="2022348"/>
                                </a:lnTo>
                                <a:lnTo>
                                  <a:pt x="1655064" y="2022348"/>
                                </a:lnTo>
                                <a:lnTo>
                                  <a:pt x="1655064" y="1239139"/>
                                </a:lnTo>
                                <a:close/>
                              </a:path>
                              <a:path w="5041900" h="2022475">
                                <a:moveTo>
                                  <a:pt x="1854708" y="1242060"/>
                                </a:moveTo>
                                <a:lnTo>
                                  <a:pt x="1792351" y="1242060"/>
                                </a:lnTo>
                                <a:lnTo>
                                  <a:pt x="1792351" y="2022348"/>
                                </a:lnTo>
                                <a:lnTo>
                                  <a:pt x="1854708" y="2022348"/>
                                </a:lnTo>
                                <a:lnTo>
                                  <a:pt x="1854708" y="1242060"/>
                                </a:lnTo>
                                <a:close/>
                              </a:path>
                              <a:path w="5041900" h="2022475">
                                <a:moveTo>
                                  <a:pt x="2054352" y="1234567"/>
                                </a:moveTo>
                                <a:lnTo>
                                  <a:pt x="1991880" y="1234567"/>
                                </a:lnTo>
                                <a:lnTo>
                                  <a:pt x="1991880" y="2022348"/>
                                </a:lnTo>
                                <a:lnTo>
                                  <a:pt x="2054352" y="2022348"/>
                                </a:lnTo>
                                <a:lnTo>
                                  <a:pt x="2054352" y="1234567"/>
                                </a:lnTo>
                                <a:close/>
                              </a:path>
                              <a:path w="5041900" h="2022475">
                                <a:moveTo>
                                  <a:pt x="2253996" y="1216152"/>
                                </a:moveTo>
                                <a:lnTo>
                                  <a:pt x="2191524" y="1216152"/>
                                </a:lnTo>
                                <a:lnTo>
                                  <a:pt x="2191524" y="2022348"/>
                                </a:lnTo>
                                <a:lnTo>
                                  <a:pt x="2253996" y="2022348"/>
                                </a:lnTo>
                                <a:lnTo>
                                  <a:pt x="2253996" y="1216152"/>
                                </a:lnTo>
                                <a:close/>
                              </a:path>
                              <a:path w="5041900" h="2022475">
                                <a:moveTo>
                                  <a:pt x="2450592" y="1255915"/>
                                </a:moveTo>
                                <a:lnTo>
                                  <a:pt x="2388108" y="1255915"/>
                                </a:lnTo>
                                <a:lnTo>
                                  <a:pt x="2388108" y="2022360"/>
                                </a:lnTo>
                                <a:lnTo>
                                  <a:pt x="2450592" y="2022360"/>
                                </a:lnTo>
                                <a:lnTo>
                                  <a:pt x="2450592" y="1255915"/>
                                </a:lnTo>
                                <a:close/>
                              </a:path>
                              <a:path w="5041900" h="2022475">
                                <a:moveTo>
                                  <a:pt x="2650248" y="1242060"/>
                                </a:moveTo>
                                <a:lnTo>
                                  <a:pt x="2587891" y="1242060"/>
                                </a:lnTo>
                                <a:lnTo>
                                  <a:pt x="2587891" y="2022348"/>
                                </a:lnTo>
                                <a:lnTo>
                                  <a:pt x="2650248" y="2022348"/>
                                </a:lnTo>
                                <a:lnTo>
                                  <a:pt x="2650248" y="1242060"/>
                                </a:lnTo>
                                <a:close/>
                              </a:path>
                              <a:path w="5041900" h="2022475">
                                <a:moveTo>
                                  <a:pt x="2849892" y="1277239"/>
                                </a:moveTo>
                                <a:lnTo>
                                  <a:pt x="2787535" y="1277239"/>
                                </a:lnTo>
                                <a:lnTo>
                                  <a:pt x="2787535" y="2022348"/>
                                </a:lnTo>
                                <a:lnTo>
                                  <a:pt x="2849892" y="2022348"/>
                                </a:lnTo>
                                <a:lnTo>
                                  <a:pt x="2849892" y="1277239"/>
                                </a:lnTo>
                                <a:close/>
                              </a:path>
                              <a:path w="5041900" h="2022475">
                                <a:moveTo>
                                  <a:pt x="3049524" y="1284732"/>
                                </a:moveTo>
                                <a:lnTo>
                                  <a:pt x="2987040" y="1284732"/>
                                </a:lnTo>
                                <a:lnTo>
                                  <a:pt x="2987040" y="2022360"/>
                                </a:lnTo>
                                <a:lnTo>
                                  <a:pt x="3049524" y="2022360"/>
                                </a:lnTo>
                                <a:lnTo>
                                  <a:pt x="3049524" y="1284732"/>
                                </a:lnTo>
                                <a:close/>
                              </a:path>
                              <a:path w="5041900" h="2022475">
                                <a:moveTo>
                                  <a:pt x="3249180" y="1255915"/>
                                </a:moveTo>
                                <a:lnTo>
                                  <a:pt x="3186823" y="1255915"/>
                                </a:lnTo>
                                <a:lnTo>
                                  <a:pt x="3186823" y="2022360"/>
                                </a:lnTo>
                                <a:lnTo>
                                  <a:pt x="3249180" y="2022360"/>
                                </a:lnTo>
                                <a:lnTo>
                                  <a:pt x="3249180" y="1255915"/>
                                </a:lnTo>
                                <a:close/>
                              </a:path>
                              <a:path w="5041900" h="2022475">
                                <a:moveTo>
                                  <a:pt x="3448824" y="1263408"/>
                                </a:moveTo>
                                <a:lnTo>
                                  <a:pt x="3386467" y="1263408"/>
                                </a:lnTo>
                                <a:lnTo>
                                  <a:pt x="3386467" y="2022360"/>
                                </a:lnTo>
                                <a:lnTo>
                                  <a:pt x="3448824" y="2022360"/>
                                </a:lnTo>
                                <a:lnTo>
                                  <a:pt x="3448824" y="1263408"/>
                                </a:lnTo>
                                <a:close/>
                              </a:path>
                              <a:path w="5041900" h="2022475">
                                <a:moveTo>
                                  <a:pt x="3646944" y="1252740"/>
                                </a:moveTo>
                                <a:lnTo>
                                  <a:pt x="3584587" y="1252740"/>
                                </a:lnTo>
                                <a:lnTo>
                                  <a:pt x="3584587" y="2022360"/>
                                </a:lnTo>
                                <a:lnTo>
                                  <a:pt x="3646944" y="2022360"/>
                                </a:lnTo>
                                <a:lnTo>
                                  <a:pt x="3646944" y="1252740"/>
                                </a:lnTo>
                                <a:close/>
                              </a:path>
                              <a:path w="5041900" h="2022475">
                                <a:moveTo>
                                  <a:pt x="3845191" y="1242060"/>
                                </a:moveTo>
                                <a:lnTo>
                                  <a:pt x="3784231" y="1242060"/>
                                </a:lnTo>
                                <a:lnTo>
                                  <a:pt x="3784231" y="2022348"/>
                                </a:lnTo>
                                <a:lnTo>
                                  <a:pt x="3845191" y="2022348"/>
                                </a:lnTo>
                                <a:lnTo>
                                  <a:pt x="3845191" y="1242060"/>
                                </a:lnTo>
                                <a:close/>
                              </a:path>
                              <a:path w="5041900" h="2022475">
                                <a:moveTo>
                                  <a:pt x="4044696" y="1245235"/>
                                </a:moveTo>
                                <a:lnTo>
                                  <a:pt x="3982224" y="1245235"/>
                                </a:lnTo>
                                <a:lnTo>
                                  <a:pt x="3982224" y="2022348"/>
                                </a:lnTo>
                                <a:lnTo>
                                  <a:pt x="4044696" y="2022348"/>
                                </a:lnTo>
                                <a:lnTo>
                                  <a:pt x="4044696" y="1245235"/>
                                </a:lnTo>
                                <a:close/>
                              </a:path>
                              <a:path w="5041900" h="2022475">
                                <a:moveTo>
                                  <a:pt x="4244340" y="1199388"/>
                                </a:moveTo>
                                <a:lnTo>
                                  <a:pt x="4181983" y="1199388"/>
                                </a:lnTo>
                                <a:lnTo>
                                  <a:pt x="4181983" y="2022360"/>
                                </a:lnTo>
                                <a:lnTo>
                                  <a:pt x="4244340" y="2022360"/>
                                </a:lnTo>
                                <a:lnTo>
                                  <a:pt x="4244340" y="1199388"/>
                                </a:lnTo>
                                <a:close/>
                              </a:path>
                              <a:path w="5041900" h="2022475">
                                <a:moveTo>
                                  <a:pt x="4443984" y="1103515"/>
                                </a:moveTo>
                                <a:lnTo>
                                  <a:pt x="4381512" y="1103515"/>
                                </a:lnTo>
                                <a:lnTo>
                                  <a:pt x="4381512" y="2022360"/>
                                </a:lnTo>
                                <a:lnTo>
                                  <a:pt x="4443984" y="2022360"/>
                                </a:lnTo>
                                <a:lnTo>
                                  <a:pt x="4443984" y="1103515"/>
                                </a:lnTo>
                                <a:close/>
                              </a:path>
                              <a:path w="5041900" h="2022475">
                                <a:moveTo>
                                  <a:pt x="4642104" y="981456"/>
                                </a:moveTo>
                                <a:lnTo>
                                  <a:pt x="4579747" y="981456"/>
                                </a:lnTo>
                                <a:lnTo>
                                  <a:pt x="4579747" y="2022348"/>
                                </a:lnTo>
                                <a:lnTo>
                                  <a:pt x="4642104" y="2022348"/>
                                </a:lnTo>
                                <a:lnTo>
                                  <a:pt x="4642104" y="981456"/>
                                </a:lnTo>
                                <a:close/>
                              </a:path>
                              <a:path w="5041900" h="2022475">
                                <a:moveTo>
                                  <a:pt x="4841875" y="864247"/>
                                </a:moveTo>
                                <a:lnTo>
                                  <a:pt x="4779403" y="864247"/>
                                </a:lnTo>
                                <a:lnTo>
                                  <a:pt x="4779403" y="2022360"/>
                                </a:lnTo>
                                <a:lnTo>
                                  <a:pt x="4841875" y="2022360"/>
                                </a:lnTo>
                                <a:lnTo>
                                  <a:pt x="4841875" y="864247"/>
                                </a:lnTo>
                                <a:close/>
                              </a:path>
                              <a:path w="5041900" h="2022475">
                                <a:moveTo>
                                  <a:pt x="5041404" y="745363"/>
                                </a:moveTo>
                                <a:lnTo>
                                  <a:pt x="4978920" y="745363"/>
                                </a:lnTo>
                                <a:lnTo>
                                  <a:pt x="4978920" y="2022360"/>
                                </a:lnTo>
                                <a:lnTo>
                                  <a:pt x="5041404" y="2022360"/>
                                </a:lnTo>
                                <a:lnTo>
                                  <a:pt x="5041404" y="745363"/>
                                </a:lnTo>
                                <a:close/>
                              </a:path>
                            </a:pathLst>
                          </a:custGeom>
                          <a:solidFill>
                            <a:srgbClr val="145F82"/>
                          </a:solidFill>
                        </wps:spPr>
                        <wps:bodyPr wrap="square" lIns="0" tIns="0" rIns="0" bIns="0" rtlCol="0">
                          <a:prstTxWarp prst="textNoShape">
                            <a:avLst/>
                          </a:prstTxWarp>
                          <a:noAutofit/>
                        </wps:bodyPr>
                      </wps:wsp>
                      <wps:wsp>
                        <wps:cNvPr id="33" name="Graphic 33"/>
                        <wps:cNvSpPr/>
                        <wps:spPr>
                          <a:xfrm>
                            <a:off x="510473" y="2622741"/>
                            <a:ext cx="5178425" cy="1270"/>
                          </a:xfrm>
                          <a:custGeom>
                            <a:avLst/>
                            <a:gdLst/>
                            <a:ahLst/>
                            <a:cxnLst/>
                            <a:rect l="l" t="t" r="r" b="b"/>
                            <a:pathLst>
                              <a:path w="5178425" h="0">
                                <a:moveTo>
                                  <a:pt x="0" y="0"/>
                                </a:moveTo>
                                <a:lnTo>
                                  <a:pt x="5178425" y="0"/>
                                </a:lnTo>
                              </a:path>
                            </a:pathLst>
                          </a:custGeom>
                          <a:ln w="9017">
                            <a:solidFill>
                              <a:srgbClr val="D8D8D8"/>
                            </a:solidFill>
                            <a:prstDash val="solid"/>
                          </a:ln>
                        </wps:spPr>
                        <wps:bodyPr wrap="square" lIns="0" tIns="0" rIns="0" bIns="0" rtlCol="0">
                          <a:prstTxWarp prst="textNoShape">
                            <a:avLst/>
                          </a:prstTxWarp>
                          <a:noAutofit/>
                        </wps:bodyPr>
                      </wps:wsp>
                      <pic:pic>
                        <pic:nvPicPr>
                          <pic:cNvPr id="34" name="Image 34"/>
                          <pic:cNvPicPr/>
                        </pic:nvPicPr>
                        <pic:blipFill>
                          <a:blip r:embed="rId16" cstate="print"/>
                          <a:stretch>
                            <a:fillRect/>
                          </a:stretch>
                        </pic:blipFill>
                        <pic:spPr>
                          <a:xfrm>
                            <a:off x="432752" y="2726372"/>
                            <a:ext cx="5170932" cy="204089"/>
                          </a:xfrm>
                          <a:prstGeom prst="rect">
                            <a:avLst/>
                          </a:prstGeom>
                        </pic:spPr>
                      </pic:pic>
                      <wps:wsp>
                        <wps:cNvPr id="35" name="Textbox 35"/>
                        <wps:cNvSpPr txBox="1"/>
                        <wps:spPr>
                          <a:xfrm>
                            <a:off x="4508" y="4508"/>
                            <a:ext cx="5823585" cy="3035935"/>
                          </a:xfrm>
                          <a:prstGeom prst="rect">
                            <a:avLst/>
                          </a:prstGeom>
                          <a:ln w="9017">
                            <a:solidFill>
                              <a:srgbClr val="D8D8D8"/>
                            </a:solidFill>
                            <a:prstDash val="solid"/>
                          </a:ln>
                        </wps:spPr>
                        <wps:txbx>
                          <w:txbxContent>
                            <w:p>
                              <w:pPr>
                                <w:spacing w:before="151"/>
                                <w:ind w:left="11" w:right="0" w:firstLine="0"/>
                                <w:jc w:val="center"/>
                                <w:rPr>
                                  <w:sz w:val="28"/>
                                </w:rPr>
                              </w:pPr>
                              <w:r>
                                <w:rPr>
                                  <w:color w:val="585858"/>
                                  <w:sz w:val="28"/>
                                </w:rPr>
                                <w:t>Population</w:t>
                              </w:r>
                              <w:r>
                                <w:rPr>
                                  <w:color w:val="585858"/>
                                  <w:spacing w:val="-16"/>
                                  <w:sz w:val="28"/>
                                </w:rPr>
                                <w:t> </w:t>
                              </w:r>
                              <w:r>
                                <w:rPr>
                                  <w:color w:val="585858"/>
                                  <w:sz w:val="28"/>
                                </w:rPr>
                                <w:t>Projections</w:t>
                              </w:r>
                              <w:r>
                                <w:rPr>
                                  <w:color w:val="585858"/>
                                  <w:spacing w:val="-15"/>
                                  <w:sz w:val="28"/>
                                </w:rPr>
                                <w:t> </w:t>
                              </w:r>
                              <w:r>
                                <w:rPr>
                                  <w:color w:val="585858"/>
                                  <w:sz w:val="28"/>
                                </w:rPr>
                                <w:t>-</w:t>
                              </w:r>
                              <w:r>
                                <w:rPr>
                                  <w:color w:val="585858"/>
                                  <w:spacing w:val="-13"/>
                                  <w:sz w:val="28"/>
                                </w:rPr>
                                <w:t> </w:t>
                              </w:r>
                              <w:r>
                                <w:rPr>
                                  <w:color w:val="585858"/>
                                  <w:sz w:val="28"/>
                                </w:rPr>
                                <w:t>Yates</w:t>
                              </w:r>
                              <w:r>
                                <w:rPr>
                                  <w:color w:val="585858"/>
                                  <w:spacing w:val="-13"/>
                                  <w:sz w:val="28"/>
                                </w:rPr>
                                <w:t> </w:t>
                              </w:r>
                              <w:r>
                                <w:rPr>
                                  <w:color w:val="585858"/>
                                  <w:spacing w:val="-2"/>
                                  <w:sz w:val="28"/>
                                </w:rPr>
                                <w:t>County</w:t>
                              </w:r>
                            </w:p>
                            <w:p>
                              <w:pPr>
                                <w:spacing w:before="128"/>
                                <w:ind w:left="124" w:right="0" w:firstLine="0"/>
                                <w:jc w:val="left"/>
                                <w:rPr>
                                  <w:sz w:val="18"/>
                                </w:rPr>
                              </w:pPr>
                              <w:r>
                                <w:rPr>
                                  <w:color w:val="585858"/>
                                  <w:spacing w:val="-2"/>
                                  <w:sz w:val="18"/>
                                </w:rPr>
                                <w:t>25,100</w:t>
                              </w:r>
                            </w:p>
                            <w:p>
                              <w:pPr>
                                <w:spacing w:line="240" w:lineRule="auto" w:before="124"/>
                                <w:rPr>
                                  <w:sz w:val="18"/>
                                </w:rPr>
                              </w:pPr>
                            </w:p>
                            <w:p>
                              <w:pPr>
                                <w:spacing w:before="0"/>
                                <w:ind w:left="124" w:right="0" w:firstLine="0"/>
                                <w:jc w:val="left"/>
                                <w:rPr>
                                  <w:sz w:val="18"/>
                                </w:rPr>
                              </w:pPr>
                              <w:r>
                                <w:rPr>
                                  <w:color w:val="585858"/>
                                  <w:spacing w:val="-2"/>
                                  <w:sz w:val="18"/>
                                </w:rPr>
                                <w:t>25,000</w:t>
                              </w:r>
                            </w:p>
                            <w:p>
                              <w:pPr>
                                <w:spacing w:line="240" w:lineRule="auto" w:before="124"/>
                                <w:rPr>
                                  <w:sz w:val="18"/>
                                </w:rPr>
                              </w:pPr>
                            </w:p>
                            <w:p>
                              <w:pPr>
                                <w:spacing w:before="1"/>
                                <w:ind w:left="124" w:right="0" w:firstLine="0"/>
                                <w:jc w:val="left"/>
                                <w:rPr>
                                  <w:sz w:val="18"/>
                                </w:rPr>
                              </w:pPr>
                              <w:r>
                                <w:rPr>
                                  <w:color w:val="585858"/>
                                  <w:spacing w:val="-2"/>
                                  <w:sz w:val="18"/>
                                </w:rPr>
                                <w:t>24,900</w:t>
                              </w:r>
                            </w:p>
                            <w:p>
                              <w:pPr>
                                <w:spacing w:line="240" w:lineRule="auto" w:before="124"/>
                                <w:rPr>
                                  <w:sz w:val="18"/>
                                </w:rPr>
                              </w:pPr>
                            </w:p>
                            <w:p>
                              <w:pPr>
                                <w:spacing w:before="0"/>
                                <w:ind w:left="124" w:right="0" w:firstLine="0"/>
                                <w:jc w:val="left"/>
                                <w:rPr>
                                  <w:sz w:val="18"/>
                                </w:rPr>
                              </w:pPr>
                              <w:r>
                                <w:rPr>
                                  <w:color w:val="585858"/>
                                  <w:spacing w:val="-2"/>
                                  <w:sz w:val="18"/>
                                </w:rPr>
                                <w:t>24,800</w:t>
                              </w:r>
                            </w:p>
                            <w:p>
                              <w:pPr>
                                <w:spacing w:line="240" w:lineRule="auto" w:before="124"/>
                                <w:rPr>
                                  <w:sz w:val="18"/>
                                </w:rPr>
                              </w:pPr>
                            </w:p>
                            <w:p>
                              <w:pPr>
                                <w:spacing w:before="1"/>
                                <w:ind w:left="124" w:right="0" w:firstLine="0"/>
                                <w:jc w:val="left"/>
                                <w:rPr>
                                  <w:sz w:val="18"/>
                                </w:rPr>
                              </w:pPr>
                              <w:r>
                                <w:rPr>
                                  <w:color w:val="585858"/>
                                  <w:spacing w:val="-2"/>
                                  <w:sz w:val="18"/>
                                </w:rPr>
                                <w:t>24,700</w:t>
                              </w:r>
                            </w:p>
                            <w:p>
                              <w:pPr>
                                <w:spacing w:line="240" w:lineRule="auto" w:before="124"/>
                                <w:rPr>
                                  <w:sz w:val="18"/>
                                </w:rPr>
                              </w:pPr>
                            </w:p>
                            <w:p>
                              <w:pPr>
                                <w:spacing w:before="0"/>
                                <w:ind w:left="124" w:right="0" w:firstLine="0"/>
                                <w:jc w:val="left"/>
                                <w:rPr>
                                  <w:sz w:val="18"/>
                                </w:rPr>
                              </w:pPr>
                              <w:r>
                                <w:rPr>
                                  <w:color w:val="585858"/>
                                  <w:spacing w:val="-2"/>
                                  <w:sz w:val="18"/>
                                </w:rPr>
                                <w:t>24,600</w:t>
                              </w:r>
                            </w:p>
                            <w:p>
                              <w:pPr>
                                <w:spacing w:line="240" w:lineRule="auto" w:before="125"/>
                                <w:rPr>
                                  <w:sz w:val="18"/>
                                </w:rPr>
                              </w:pPr>
                            </w:p>
                            <w:p>
                              <w:pPr>
                                <w:spacing w:before="0"/>
                                <w:ind w:left="124" w:right="0" w:firstLine="0"/>
                                <w:jc w:val="left"/>
                                <w:rPr>
                                  <w:sz w:val="18"/>
                                </w:rPr>
                              </w:pPr>
                              <w:r>
                                <w:rPr>
                                  <w:color w:val="585858"/>
                                  <w:spacing w:val="-2"/>
                                  <w:sz w:val="18"/>
                                </w:rPr>
                                <w:t>24,500</w:t>
                              </w:r>
                            </w:p>
                          </w:txbxContent>
                        </wps:txbx>
                        <wps:bodyPr wrap="square" lIns="0" tIns="0" rIns="0" bIns="0" rtlCol="0">
                          <a:noAutofit/>
                        </wps:bodyPr>
                      </wps:wsp>
                    </wpg:wgp>
                  </a:graphicData>
                </a:graphic>
              </wp:anchor>
            </w:drawing>
          </mc:Choice>
          <mc:Fallback>
            <w:pict>
              <v:group style="position:absolute;margin-left:76.084999pt;margin-top:14.746797pt;width:459.25pt;height:239.75pt;mso-position-horizontal-relative:page;mso-position-vertical-relative:paragraph;z-index:-15723520;mso-wrap-distance-left:0;mso-wrap-distance-right:0" id="docshapegroup21" coordorigin="1522,295" coordsize="9185,4795">
                <v:shape style="position:absolute;left:2325;top:3297;width:8155;height:564" id="docshape22" coordorigin="2326,3297" coordsize="8155,564" path="m2326,3861l2433,3861m2532,3861l2748,3861m2846,3861l3060,3861m3158,3861l3374,3861m3473,3861l3686,3861m3785,3861l4001,3861m4099,3861l4315,3861m4413,3861l4627,3861m4725,3861l4941,3861m5040,3861l5256,3861m5354,3861l5570,3861m5669,3861l5885,3861m5983,3861l6194,3861m6293,3861l6509,3861m6607,3861l6823,3861m6921,3861l7137,3861m7236,3861l7452,3861m7550,3861l7766,3861m7865,3861l8078,3861m8177,3861l8393,3861m8489,3861l8705,3861m8803,3861l9019,3861m9117,3861l9333,3861m9432,3861l9646,3861m9744,3861l9960,3861m10058,3861l10274,3861m10373,3861l10481,3861m2326,3297l2433,3297m2532,3297l2748,3297m2846,3297l3060,3297m3158,3297l3374,3297m3473,3297l3686,3297m3785,3297l4001,3297m4099,3297l4315,3297m4413,3297l4627,3297m4725,3297l4941,3297m5040,3297l5256,3297m5354,3297l5570,3297m5669,3297l5885,3297m5983,3297l6194,3297m6293,3297l6509,3297m6607,3297l6823,3297m6921,3297l7137,3297m7236,3297l7452,3297m7550,3297l7766,3297m7865,3297l8078,3297m8177,3297l8393,3297m8489,3297l8705,3297m8803,3297l9019,3297m9117,3297l9333,3297m9432,3297l9646,3297m9744,3297l9960,3297m10058,3297l10274,3297m10373,3297l10481,3297e" filled="false" stroked="true" strokeweight=".71pt" strokecolor="#d8d8d8">
                  <v:path arrowok="t"/>
                  <v:stroke dashstyle="solid"/>
                </v:shape>
                <v:shape style="position:absolute;left:2325;top:1607;width:8155;height:1128" id="docshape23" coordorigin="2326,1608" coordsize="8155,1128" path="m2326,2736l2433,2736m2532,2736l2748,2736m2846,2736l3060,2736m3158,2736l3374,2736m3473,2736l3686,2736m3785,2736l9960,2736m10058,2736l10274,2736m10373,2736l10481,2736m2326,2172l2433,2172m2532,2172l2748,2172m2846,2172l3060,2172m3158,2172l10481,2172m2326,1608l2433,1608m2532,1608l10481,1608e" filled="false" stroked="true" strokeweight=".71pt" strokecolor="#d8d8d8">
                  <v:path arrowok="t"/>
                  <v:stroke dashstyle="solid"/>
                </v:shape>
                <v:line style="position:absolute" from="2326,1044" to="10481,1044" stroked="true" strokeweight=".71pt" strokecolor="#d8d8d8">
                  <v:stroke dashstyle="solid"/>
                </v:line>
                <v:shape style="position:absolute;left:2433;top:1240;width:7940;height:3185" id="docshape24" coordorigin="2433,1240" coordsize="7940,3185" path="m2532,1240l2433,1240,2433,4425,2532,4425,2532,1240xm2846,1624l2748,1624,2748,4425,2846,4425,2846,1624xm3158,2013l3060,2013,3060,4425,3158,4425,3158,2013xm3473,2292l3374,2292,3374,4425,3473,4425,3473,2292xm3785,2543l3686,2543,3686,4425,3785,4425,3785,2543xm4099,2810l4001,2810,4001,4425,4099,4425,4099,2810xm4413,3023l4315,3023,4315,4425,4413,4425,4413,3023xm4725,3146l4627,3146,4627,4425,4725,4425,4725,3146xm5040,3192l4941,3192,4941,4425,5040,4425,5040,3192xm5354,3196l5256,3196,5256,4425,5354,4425,5354,3196xm5669,3184l5570,3184,5570,4425,5669,4425,5669,3184xm5983,3155l5885,3155,5885,4425,5983,4425,5983,3155xm6293,3218l6194,3218,6194,4425,6293,4425,6293,3218xm6607,3196l6509,3196,6509,4425,6607,4425,6607,3196xm6921,3252l6823,3252,6823,4425,6921,4425,6921,3252xm7236,3263l7137,3263,7137,4425,7236,4425,7236,3263xm7550,3218l7452,3218,7452,4425,7550,4425,7550,3218xm7865,3230l7766,3230,7766,4425,7865,4425,7865,3230xm8177,3213l8078,3213,8078,4425,8177,4425,8177,3213xm8489,3196l8393,3196,8393,4425,8489,4425,8489,3196xm8803,3201l8705,3201,8705,4425,8803,4425,8803,3201xm9117,3129l9019,3129,9019,4425,9117,4425,9117,3129xm9432,2978l9333,2978,9333,4425,9432,4425,9432,2978xm9744,2786l9646,2786,9646,4425,9744,4425,9744,2786xm10058,2601l9960,2601,9960,4425,10058,4425,10058,2601xm10373,2414l10274,2414,10274,4425,10373,4425,10373,2414xe" filled="true" fillcolor="#145f82" stroked="false">
                  <v:path arrowok="t"/>
                  <v:fill type="solid"/>
                </v:shape>
                <v:line style="position:absolute" from="2326,4425" to="10481,4425" stroked="true" strokeweight=".71pt" strokecolor="#d8d8d8">
                  <v:stroke dashstyle="solid"/>
                </v:line>
                <v:shape style="position:absolute;left:2203;top:4588;width:8144;height:322" type="#_x0000_t75" id="docshape25" stroked="false">
                  <v:imagedata r:id="rId16" o:title=""/>
                </v:shape>
                <v:shape style="position:absolute;left:1528;top:302;width:9171;height:4781" type="#_x0000_t202" id="docshape26" filled="false" stroked="true" strokeweight=".71pt" strokecolor="#d8d8d8">
                  <v:textbox inset="0,0,0,0">
                    <w:txbxContent>
                      <w:p>
                        <w:pPr>
                          <w:spacing w:before="151"/>
                          <w:ind w:left="11" w:right="0" w:firstLine="0"/>
                          <w:jc w:val="center"/>
                          <w:rPr>
                            <w:sz w:val="28"/>
                          </w:rPr>
                        </w:pPr>
                        <w:r>
                          <w:rPr>
                            <w:color w:val="585858"/>
                            <w:sz w:val="28"/>
                          </w:rPr>
                          <w:t>Population</w:t>
                        </w:r>
                        <w:r>
                          <w:rPr>
                            <w:color w:val="585858"/>
                            <w:spacing w:val="-16"/>
                            <w:sz w:val="28"/>
                          </w:rPr>
                          <w:t> </w:t>
                        </w:r>
                        <w:r>
                          <w:rPr>
                            <w:color w:val="585858"/>
                            <w:sz w:val="28"/>
                          </w:rPr>
                          <w:t>Projections</w:t>
                        </w:r>
                        <w:r>
                          <w:rPr>
                            <w:color w:val="585858"/>
                            <w:spacing w:val="-15"/>
                            <w:sz w:val="28"/>
                          </w:rPr>
                          <w:t> </w:t>
                        </w:r>
                        <w:r>
                          <w:rPr>
                            <w:color w:val="585858"/>
                            <w:sz w:val="28"/>
                          </w:rPr>
                          <w:t>-</w:t>
                        </w:r>
                        <w:r>
                          <w:rPr>
                            <w:color w:val="585858"/>
                            <w:spacing w:val="-13"/>
                            <w:sz w:val="28"/>
                          </w:rPr>
                          <w:t> </w:t>
                        </w:r>
                        <w:r>
                          <w:rPr>
                            <w:color w:val="585858"/>
                            <w:sz w:val="28"/>
                          </w:rPr>
                          <w:t>Yates</w:t>
                        </w:r>
                        <w:r>
                          <w:rPr>
                            <w:color w:val="585858"/>
                            <w:spacing w:val="-13"/>
                            <w:sz w:val="28"/>
                          </w:rPr>
                          <w:t> </w:t>
                        </w:r>
                        <w:r>
                          <w:rPr>
                            <w:color w:val="585858"/>
                            <w:spacing w:val="-2"/>
                            <w:sz w:val="28"/>
                          </w:rPr>
                          <w:t>County</w:t>
                        </w:r>
                      </w:p>
                      <w:p>
                        <w:pPr>
                          <w:spacing w:before="128"/>
                          <w:ind w:left="124" w:right="0" w:firstLine="0"/>
                          <w:jc w:val="left"/>
                          <w:rPr>
                            <w:sz w:val="18"/>
                          </w:rPr>
                        </w:pPr>
                        <w:r>
                          <w:rPr>
                            <w:color w:val="585858"/>
                            <w:spacing w:val="-2"/>
                            <w:sz w:val="18"/>
                          </w:rPr>
                          <w:t>25,100</w:t>
                        </w:r>
                      </w:p>
                      <w:p>
                        <w:pPr>
                          <w:spacing w:line="240" w:lineRule="auto" w:before="124"/>
                          <w:rPr>
                            <w:sz w:val="18"/>
                          </w:rPr>
                        </w:pPr>
                      </w:p>
                      <w:p>
                        <w:pPr>
                          <w:spacing w:before="0"/>
                          <w:ind w:left="124" w:right="0" w:firstLine="0"/>
                          <w:jc w:val="left"/>
                          <w:rPr>
                            <w:sz w:val="18"/>
                          </w:rPr>
                        </w:pPr>
                        <w:r>
                          <w:rPr>
                            <w:color w:val="585858"/>
                            <w:spacing w:val="-2"/>
                            <w:sz w:val="18"/>
                          </w:rPr>
                          <w:t>25,000</w:t>
                        </w:r>
                      </w:p>
                      <w:p>
                        <w:pPr>
                          <w:spacing w:line="240" w:lineRule="auto" w:before="124"/>
                          <w:rPr>
                            <w:sz w:val="18"/>
                          </w:rPr>
                        </w:pPr>
                      </w:p>
                      <w:p>
                        <w:pPr>
                          <w:spacing w:before="1"/>
                          <w:ind w:left="124" w:right="0" w:firstLine="0"/>
                          <w:jc w:val="left"/>
                          <w:rPr>
                            <w:sz w:val="18"/>
                          </w:rPr>
                        </w:pPr>
                        <w:r>
                          <w:rPr>
                            <w:color w:val="585858"/>
                            <w:spacing w:val="-2"/>
                            <w:sz w:val="18"/>
                          </w:rPr>
                          <w:t>24,900</w:t>
                        </w:r>
                      </w:p>
                      <w:p>
                        <w:pPr>
                          <w:spacing w:line="240" w:lineRule="auto" w:before="124"/>
                          <w:rPr>
                            <w:sz w:val="18"/>
                          </w:rPr>
                        </w:pPr>
                      </w:p>
                      <w:p>
                        <w:pPr>
                          <w:spacing w:before="0"/>
                          <w:ind w:left="124" w:right="0" w:firstLine="0"/>
                          <w:jc w:val="left"/>
                          <w:rPr>
                            <w:sz w:val="18"/>
                          </w:rPr>
                        </w:pPr>
                        <w:r>
                          <w:rPr>
                            <w:color w:val="585858"/>
                            <w:spacing w:val="-2"/>
                            <w:sz w:val="18"/>
                          </w:rPr>
                          <w:t>24,800</w:t>
                        </w:r>
                      </w:p>
                      <w:p>
                        <w:pPr>
                          <w:spacing w:line="240" w:lineRule="auto" w:before="124"/>
                          <w:rPr>
                            <w:sz w:val="18"/>
                          </w:rPr>
                        </w:pPr>
                      </w:p>
                      <w:p>
                        <w:pPr>
                          <w:spacing w:before="1"/>
                          <w:ind w:left="124" w:right="0" w:firstLine="0"/>
                          <w:jc w:val="left"/>
                          <w:rPr>
                            <w:sz w:val="18"/>
                          </w:rPr>
                        </w:pPr>
                        <w:r>
                          <w:rPr>
                            <w:color w:val="585858"/>
                            <w:spacing w:val="-2"/>
                            <w:sz w:val="18"/>
                          </w:rPr>
                          <w:t>24,700</w:t>
                        </w:r>
                      </w:p>
                      <w:p>
                        <w:pPr>
                          <w:spacing w:line="240" w:lineRule="auto" w:before="124"/>
                          <w:rPr>
                            <w:sz w:val="18"/>
                          </w:rPr>
                        </w:pPr>
                      </w:p>
                      <w:p>
                        <w:pPr>
                          <w:spacing w:before="0"/>
                          <w:ind w:left="124" w:right="0" w:firstLine="0"/>
                          <w:jc w:val="left"/>
                          <w:rPr>
                            <w:sz w:val="18"/>
                          </w:rPr>
                        </w:pPr>
                        <w:r>
                          <w:rPr>
                            <w:color w:val="585858"/>
                            <w:spacing w:val="-2"/>
                            <w:sz w:val="18"/>
                          </w:rPr>
                          <w:t>24,600</w:t>
                        </w:r>
                      </w:p>
                      <w:p>
                        <w:pPr>
                          <w:spacing w:line="240" w:lineRule="auto" w:before="125"/>
                          <w:rPr>
                            <w:sz w:val="18"/>
                          </w:rPr>
                        </w:pPr>
                      </w:p>
                      <w:p>
                        <w:pPr>
                          <w:spacing w:before="0"/>
                          <w:ind w:left="124" w:right="0" w:firstLine="0"/>
                          <w:jc w:val="left"/>
                          <w:rPr>
                            <w:sz w:val="18"/>
                          </w:rPr>
                        </w:pPr>
                        <w:r>
                          <w:rPr>
                            <w:color w:val="585858"/>
                            <w:spacing w:val="-2"/>
                            <w:sz w:val="18"/>
                          </w:rPr>
                          <w:t>24,500</w:t>
                        </w:r>
                      </w:p>
                    </w:txbxContent>
                  </v:textbox>
                  <v:stroke dashstyle="solid"/>
                  <w10:wrap type="none"/>
                </v:shape>
                <w10:wrap type="topAndBottom"/>
              </v:group>
            </w:pict>
          </mc:Fallback>
        </mc:AlternateContent>
      </w:r>
    </w:p>
    <w:p>
      <w:pPr>
        <w:spacing w:before="104"/>
        <w:ind w:left="1531" w:right="0" w:firstLine="0"/>
        <w:jc w:val="left"/>
        <w:rPr>
          <w:i/>
          <w:sz w:val="18"/>
        </w:rPr>
      </w:pPr>
      <w:r>
        <w:rPr>
          <w:i/>
          <w:color w:val="0D2841"/>
          <w:sz w:val="18"/>
        </w:rPr>
        <w:t>Source:</w:t>
      </w:r>
      <w:r>
        <w:rPr>
          <w:i/>
          <w:color w:val="0D2841"/>
          <w:spacing w:val="-3"/>
          <w:sz w:val="18"/>
        </w:rPr>
        <w:t> </w:t>
      </w:r>
      <w:r>
        <w:rPr>
          <w:i/>
          <w:color w:val="0D2841"/>
          <w:sz w:val="18"/>
        </w:rPr>
        <w:t>Cornell</w:t>
      </w:r>
      <w:r>
        <w:rPr>
          <w:i/>
          <w:color w:val="0D2841"/>
          <w:spacing w:val="-4"/>
          <w:sz w:val="18"/>
        </w:rPr>
        <w:t> </w:t>
      </w:r>
      <w:r>
        <w:rPr>
          <w:i/>
          <w:color w:val="0D2841"/>
          <w:sz w:val="18"/>
        </w:rPr>
        <w:t>Program</w:t>
      </w:r>
      <w:r>
        <w:rPr>
          <w:i/>
          <w:color w:val="0D2841"/>
          <w:spacing w:val="-4"/>
          <w:sz w:val="18"/>
        </w:rPr>
        <w:t> </w:t>
      </w:r>
      <w:r>
        <w:rPr>
          <w:i/>
          <w:color w:val="0D2841"/>
          <w:sz w:val="18"/>
        </w:rPr>
        <w:t>on</w:t>
      </w:r>
      <w:r>
        <w:rPr>
          <w:i/>
          <w:color w:val="0D2841"/>
          <w:spacing w:val="-2"/>
          <w:sz w:val="18"/>
        </w:rPr>
        <w:t> </w:t>
      </w:r>
      <w:r>
        <w:rPr>
          <w:i/>
          <w:color w:val="0D2841"/>
          <w:sz w:val="18"/>
        </w:rPr>
        <w:t>Applied</w:t>
      </w:r>
      <w:r>
        <w:rPr>
          <w:i/>
          <w:color w:val="0D2841"/>
          <w:spacing w:val="-1"/>
          <w:sz w:val="18"/>
        </w:rPr>
        <w:t> </w:t>
      </w:r>
      <w:r>
        <w:rPr>
          <w:i/>
          <w:color w:val="0D2841"/>
          <w:spacing w:val="-2"/>
          <w:sz w:val="18"/>
        </w:rPr>
        <w:t>Demographics</w:t>
      </w:r>
    </w:p>
    <w:p>
      <w:pPr>
        <w:pStyle w:val="BodyText"/>
        <w:ind w:left="0"/>
        <w:rPr>
          <w:i/>
          <w:sz w:val="20"/>
        </w:rPr>
      </w:pPr>
    </w:p>
    <w:p>
      <w:pPr>
        <w:pStyle w:val="BodyText"/>
        <w:spacing w:before="119"/>
        <w:ind w:left="0"/>
        <w:rPr>
          <w:i/>
          <w:sz w:val="20"/>
        </w:rPr>
      </w:pPr>
      <w:r>
        <w:rPr>
          <w:i/>
          <w:sz w:val="20"/>
        </w:rPr>
        <mc:AlternateContent>
          <mc:Choice Requires="wps">
            <w:drawing>
              <wp:anchor distT="0" distB="0" distL="0" distR="0" allowOverlap="1" layoutInCell="1" locked="0" behindDoc="1" simplePos="0" relativeHeight="487593472">
                <wp:simplePos x="0" y="0"/>
                <wp:positionH relativeFrom="page">
                  <wp:posOffset>914400</wp:posOffset>
                </wp:positionH>
                <wp:positionV relativeFrom="paragraph">
                  <wp:posOffset>246147</wp:posOffset>
                </wp:positionV>
                <wp:extent cx="1828800" cy="9525"/>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38166pt;width:144pt;height:.71pt;mso-position-horizontal-relative:page;mso-position-vertical-relative:paragraph;z-index:-15723008;mso-wrap-distance-left:0;mso-wrap-distance-right:0" id="docshape27" filled="true" fillcolor="#000000" stroked="false">
                <v:fill type="solid"/>
                <w10:wrap type="topAndBottom"/>
              </v:rect>
            </w:pict>
          </mc:Fallback>
        </mc:AlternateContent>
      </w:r>
    </w:p>
    <w:p>
      <w:pPr>
        <w:spacing w:before="102"/>
        <w:ind w:left="1440" w:right="0" w:firstLine="0"/>
        <w:jc w:val="left"/>
        <w:rPr>
          <w:sz w:val="20"/>
        </w:rPr>
      </w:pPr>
      <w:r>
        <w:rPr>
          <w:sz w:val="20"/>
          <w:vertAlign w:val="superscript"/>
        </w:rPr>
        <w:t>31</w:t>
      </w:r>
      <w:r>
        <w:rPr>
          <w:spacing w:val="-10"/>
          <w:sz w:val="20"/>
          <w:vertAlign w:val="baseline"/>
        </w:rPr>
        <w:t> </w:t>
      </w:r>
      <w:bookmarkStart w:name="_bookmark0" w:id="1"/>
      <w:bookmarkEnd w:id="1"/>
      <w:r>
        <w:rPr>
          <w:sz w:val="20"/>
          <w:vertAlign w:val="baseline"/>
        </w:rPr>
        <w:t>S</w:t>
      </w:r>
      <w:r>
        <w:rPr>
          <w:sz w:val="20"/>
          <w:vertAlign w:val="baseline"/>
        </w:rPr>
        <w:t>ource:</w:t>
      </w:r>
      <w:r>
        <w:rPr>
          <w:spacing w:val="-8"/>
          <w:sz w:val="20"/>
          <w:vertAlign w:val="baseline"/>
        </w:rPr>
        <w:t> </w:t>
      </w:r>
      <w:r>
        <w:rPr>
          <w:sz w:val="20"/>
          <w:vertAlign w:val="baseline"/>
        </w:rPr>
        <w:t>County</w:t>
      </w:r>
      <w:r>
        <w:rPr>
          <w:spacing w:val="-8"/>
          <w:sz w:val="20"/>
          <w:vertAlign w:val="baseline"/>
        </w:rPr>
        <w:t> </w:t>
      </w:r>
      <w:r>
        <w:rPr>
          <w:sz w:val="20"/>
          <w:vertAlign w:val="baseline"/>
        </w:rPr>
        <w:t>Health</w:t>
      </w:r>
      <w:r>
        <w:rPr>
          <w:spacing w:val="-7"/>
          <w:sz w:val="20"/>
          <w:vertAlign w:val="baseline"/>
        </w:rPr>
        <w:t> </w:t>
      </w:r>
      <w:r>
        <w:rPr>
          <w:sz w:val="20"/>
          <w:vertAlign w:val="baseline"/>
        </w:rPr>
        <w:t>Rankings,</w:t>
      </w:r>
      <w:r>
        <w:rPr>
          <w:spacing w:val="-9"/>
          <w:sz w:val="20"/>
          <w:vertAlign w:val="baseline"/>
        </w:rPr>
        <w:t> </w:t>
      </w:r>
      <w:r>
        <w:rPr>
          <w:sz w:val="20"/>
          <w:vertAlign w:val="baseline"/>
        </w:rPr>
        <w:t>U.S.</w:t>
      </w:r>
      <w:r>
        <w:rPr>
          <w:spacing w:val="-8"/>
          <w:sz w:val="20"/>
          <w:vertAlign w:val="baseline"/>
        </w:rPr>
        <w:t> </w:t>
      </w:r>
      <w:r>
        <w:rPr>
          <w:spacing w:val="-2"/>
          <w:sz w:val="20"/>
          <w:vertAlign w:val="baseline"/>
        </w:rPr>
        <w:t>Census</w:t>
      </w:r>
    </w:p>
    <w:p>
      <w:pPr>
        <w:spacing w:after="0"/>
        <w:jc w:val="left"/>
        <w:rPr>
          <w:sz w:val="20"/>
        </w:rPr>
        <w:sectPr>
          <w:type w:val="continuous"/>
          <w:pgSz w:w="12240" w:h="15840"/>
          <w:pgMar w:header="161" w:footer="1223" w:top="1360" w:bottom="1420" w:left="0" w:right="0"/>
        </w:sectPr>
      </w:pPr>
    </w:p>
    <w:p>
      <w:pPr>
        <w:pStyle w:val="Heading3"/>
      </w:pPr>
      <w:r>
        <w:rPr/>
        <w:t>Age</w:t>
      </w:r>
      <w:r>
        <w:rPr>
          <w:spacing w:val="-5"/>
        </w:rPr>
        <w:t> </w:t>
      </w:r>
      <w:r>
        <w:rPr/>
        <w:t>and</w:t>
      </w:r>
      <w:r>
        <w:rPr>
          <w:spacing w:val="-1"/>
        </w:rPr>
        <w:t> </w:t>
      </w:r>
      <w:r>
        <w:rPr>
          <w:spacing w:val="-5"/>
        </w:rPr>
        <w:t>Sex</w:t>
      </w:r>
    </w:p>
    <w:p>
      <w:pPr>
        <w:pStyle w:val="BodyText"/>
        <w:spacing w:line="259" w:lineRule="auto" w:before="182"/>
      </w:pPr>
      <w:r>
        <w:rPr/>
        <w:t>To befter understand health needs, it is important</w:t>
      </w:r>
      <w:r>
        <w:rPr>
          <w:spacing w:val="-7"/>
        </w:rPr>
        <w:t> </w:t>
      </w:r>
      <w:r>
        <w:rPr/>
        <w:t>to</w:t>
      </w:r>
      <w:r>
        <w:rPr>
          <w:spacing w:val="-7"/>
        </w:rPr>
        <w:t> </w:t>
      </w:r>
      <w:r>
        <w:rPr/>
        <w:t>know</w:t>
      </w:r>
      <w:r>
        <w:rPr>
          <w:spacing w:val="-7"/>
        </w:rPr>
        <w:t> </w:t>
      </w:r>
      <w:r>
        <w:rPr/>
        <w:t>the</w:t>
      </w:r>
      <w:r>
        <w:rPr>
          <w:spacing w:val="-7"/>
        </w:rPr>
        <w:t> </w:t>
      </w:r>
      <w:r>
        <w:rPr/>
        <w:t>sex</w:t>
      </w:r>
      <w:r>
        <w:rPr>
          <w:spacing w:val="-9"/>
        </w:rPr>
        <w:t> </w:t>
      </w:r>
      <w:r>
        <w:rPr/>
        <w:t>and</w:t>
      </w:r>
      <w:r>
        <w:rPr>
          <w:spacing w:val="-7"/>
        </w:rPr>
        <w:t> </w:t>
      </w:r>
      <w:r>
        <w:rPr/>
        <w:t>age</w:t>
      </w:r>
      <w:r>
        <w:rPr>
          <w:spacing w:val="-7"/>
        </w:rPr>
        <w:t> </w:t>
      </w:r>
      <w:r>
        <w:rPr/>
        <w:t>make-up</w:t>
      </w:r>
      <w:r>
        <w:rPr>
          <w:spacing w:val="-7"/>
        </w:rPr>
        <w:t> </w:t>
      </w:r>
      <w:r>
        <w:rPr/>
        <w:t>of a community. Figure Y2 shows the number of county residents by sex and age. The median age in Yates County is 41.6 years, with one larger populafion group aged 50-79. Sex is relafively</w:t>
      </w:r>
      <w:r>
        <w:rPr>
          <w:spacing w:val="-4"/>
        </w:rPr>
        <w:t> </w:t>
      </w:r>
      <w:r>
        <w:rPr/>
        <w:t>evenly</w:t>
      </w:r>
      <w:r>
        <w:rPr>
          <w:spacing w:val="-4"/>
        </w:rPr>
        <w:t> </w:t>
      </w:r>
      <w:r>
        <w:rPr/>
        <w:t>split,</w:t>
      </w:r>
      <w:r>
        <w:rPr>
          <w:spacing w:val="-2"/>
        </w:rPr>
        <w:t> </w:t>
      </w:r>
      <w:r>
        <w:rPr/>
        <w:t>with</w:t>
      </w:r>
      <w:r>
        <w:rPr>
          <w:spacing w:val="-6"/>
        </w:rPr>
        <w:t> </w:t>
      </w:r>
      <w:r>
        <w:rPr/>
        <w:t>females</w:t>
      </w:r>
      <w:r>
        <w:rPr>
          <w:spacing w:val="-3"/>
        </w:rPr>
        <w:t> </w:t>
      </w:r>
      <w:r>
        <w:rPr/>
        <w:t>accounfing for 50.7% of the populafion. Individuals idenfifying as LGBTQ+ account for 5.8% of the </w:t>
      </w:r>
      <w:r>
        <w:rPr>
          <w:spacing w:val="-2"/>
        </w:rPr>
        <w:t>populafion.</w:t>
      </w:r>
    </w:p>
    <w:p>
      <w:pPr>
        <w:pStyle w:val="BodyText"/>
        <w:spacing w:line="259" w:lineRule="auto" w:before="159"/>
        <w:ind w:right="18"/>
      </w:pPr>
      <w:r>
        <w:rPr/>
        <w:t>Youth</w:t>
      </w:r>
      <w:r>
        <w:rPr>
          <w:spacing w:val="-3"/>
        </w:rPr>
        <w:t> </w:t>
      </w:r>
      <w:r>
        <w:rPr/>
        <w:t>(below</w:t>
      </w:r>
      <w:r>
        <w:rPr>
          <w:spacing w:val="-4"/>
        </w:rPr>
        <w:t> </w:t>
      </w:r>
      <w:r>
        <w:rPr/>
        <w:t>18</w:t>
      </w:r>
      <w:r>
        <w:rPr>
          <w:spacing w:val="-3"/>
        </w:rPr>
        <w:t> </w:t>
      </w:r>
      <w:r>
        <w:rPr/>
        <w:t>years</w:t>
      </w:r>
      <w:r>
        <w:rPr>
          <w:spacing w:val="-2"/>
        </w:rPr>
        <w:t> </w:t>
      </w:r>
      <w:r>
        <w:rPr/>
        <w:t>of</w:t>
      </w:r>
      <w:r>
        <w:rPr>
          <w:spacing w:val="-5"/>
        </w:rPr>
        <w:t> </w:t>
      </w:r>
      <w:r>
        <w:rPr/>
        <w:t>age)</w:t>
      </w:r>
      <w:r>
        <w:rPr>
          <w:spacing w:val="-1"/>
        </w:rPr>
        <w:t> </w:t>
      </w:r>
      <w:r>
        <w:rPr/>
        <w:t>represent</w:t>
      </w:r>
      <w:r>
        <w:rPr>
          <w:spacing w:val="-4"/>
        </w:rPr>
        <w:t> </w:t>
      </w:r>
      <w:r>
        <w:rPr/>
        <w:t>22.7% of the populafion. However, 21.9% of the populafion is</w:t>
      </w:r>
      <w:r>
        <w:rPr>
          <w:spacing w:val="-2"/>
        </w:rPr>
        <w:t> </w:t>
      </w:r>
      <w:r>
        <w:rPr/>
        <w:t>65</w:t>
      </w:r>
      <w:r>
        <w:rPr>
          <w:spacing w:val="-1"/>
        </w:rPr>
        <w:t> </w:t>
      </w:r>
      <w:r>
        <w:rPr/>
        <w:t>years of</w:t>
      </w:r>
      <w:r>
        <w:rPr>
          <w:spacing w:val="-3"/>
        </w:rPr>
        <w:t> </w:t>
      </w:r>
      <w:r>
        <w:rPr/>
        <w:t>age or</w:t>
      </w:r>
      <w:r>
        <w:rPr>
          <w:spacing w:val="-3"/>
        </w:rPr>
        <w:t> </w:t>
      </w:r>
      <w:r>
        <w:rPr/>
        <w:t>older, with</w:t>
      </w:r>
      <w:r>
        <w:rPr>
          <w:spacing w:val="-1"/>
        </w:rPr>
        <w:t> </w:t>
      </w:r>
      <w:r>
        <w:rPr/>
        <w:t>the largest age group of the older populafion</w:t>
      </w:r>
      <w:r>
        <w:rPr>
          <w:spacing w:val="40"/>
        </w:rPr>
        <w:t> </w:t>
      </w:r>
      <w:r>
        <w:rPr/>
        <w:t>being</w:t>
      </w:r>
      <w:r>
        <w:rPr>
          <w:spacing w:val="-6"/>
        </w:rPr>
        <w:t> </w:t>
      </w:r>
      <w:r>
        <w:rPr/>
        <w:t>65</w:t>
      </w:r>
      <w:r>
        <w:rPr>
          <w:spacing w:val="-7"/>
        </w:rPr>
        <w:t> </w:t>
      </w:r>
      <w:r>
        <w:rPr/>
        <w:t>to</w:t>
      </w:r>
      <w:r>
        <w:rPr>
          <w:spacing w:val="-7"/>
        </w:rPr>
        <w:t> </w:t>
      </w:r>
      <w:r>
        <w:rPr/>
        <w:t>74</w:t>
      </w:r>
      <w:r>
        <w:rPr>
          <w:spacing w:val="-7"/>
        </w:rPr>
        <w:t> </w:t>
      </w:r>
      <w:r>
        <w:rPr/>
        <w:t>years</w:t>
      </w:r>
      <w:r>
        <w:rPr>
          <w:spacing w:val="-8"/>
        </w:rPr>
        <w:t> </w:t>
      </w:r>
      <w:r>
        <w:rPr/>
        <w:t>old,</w:t>
      </w:r>
      <w:r>
        <w:rPr>
          <w:spacing w:val="-6"/>
        </w:rPr>
        <w:t> </w:t>
      </w:r>
      <w:r>
        <w:rPr/>
        <w:t>represenfing</w:t>
      </w:r>
      <w:r>
        <w:rPr>
          <w:spacing w:val="-6"/>
        </w:rPr>
        <w:t> </w:t>
      </w:r>
      <w:r>
        <w:rPr/>
        <w:t>13.4%</w:t>
      </w:r>
      <w:r>
        <w:rPr>
          <w:spacing w:val="-5"/>
        </w:rPr>
        <w:t> </w:t>
      </w:r>
      <w:r>
        <w:rPr/>
        <w:t>of the total populafion. Aging populafions often require the ufilizafion of more health services, adding further strain to health infrastructure.</w:t>
      </w:r>
    </w:p>
    <w:p>
      <w:pPr>
        <w:pStyle w:val="Heading3"/>
        <w:spacing w:before="157"/>
      </w:pPr>
      <w:r>
        <w:rPr/>
        <w:t>Race</w:t>
      </w:r>
      <w:r>
        <w:rPr>
          <w:spacing w:val="-3"/>
        </w:rPr>
        <w:t> </w:t>
      </w:r>
      <w:r>
        <w:rPr/>
        <w:t>and </w:t>
      </w:r>
      <w:r>
        <w:rPr>
          <w:spacing w:val="-2"/>
        </w:rPr>
        <w:t>Ethnicity</w:t>
      </w:r>
    </w:p>
    <w:p>
      <w:pPr>
        <w:pStyle w:val="BodyText"/>
        <w:spacing w:before="66"/>
        <w:ind w:left="0"/>
        <w:rPr>
          <w:b/>
          <w:sz w:val="20"/>
        </w:rPr>
      </w:pPr>
      <w:r>
        <w:rPr/>
        <w:br w:type="column"/>
      </w:r>
      <w:r>
        <w:rPr>
          <w:b/>
          <w:sz w:val="20"/>
        </w:rPr>
      </w:r>
    </w:p>
    <w:p>
      <w:pPr>
        <w:spacing w:before="1"/>
        <w:ind w:left="175" w:right="0" w:firstLine="0"/>
        <w:jc w:val="left"/>
        <w:rPr>
          <w:i/>
          <w:sz w:val="20"/>
        </w:rPr>
      </w:pPr>
      <w:r>
        <w:rPr>
          <w:i/>
          <w:sz w:val="20"/>
        </w:rPr>
        <w:t>Figure</w:t>
      </w:r>
      <w:r>
        <w:rPr>
          <w:i/>
          <w:spacing w:val="-5"/>
          <w:sz w:val="20"/>
        </w:rPr>
        <w:t> </w:t>
      </w:r>
      <w:r>
        <w:rPr>
          <w:i/>
          <w:sz w:val="20"/>
        </w:rPr>
        <w:t>Y2:</w:t>
      </w:r>
      <w:r>
        <w:rPr>
          <w:i/>
          <w:spacing w:val="-4"/>
          <w:sz w:val="20"/>
        </w:rPr>
        <w:t> </w:t>
      </w:r>
      <w:r>
        <w:rPr>
          <w:i/>
          <w:sz w:val="20"/>
        </w:rPr>
        <w:t>Populafion</w:t>
      </w:r>
      <w:r>
        <w:rPr>
          <w:i/>
          <w:spacing w:val="-5"/>
          <w:sz w:val="20"/>
        </w:rPr>
        <w:t> </w:t>
      </w:r>
      <w:r>
        <w:rPr>
          <w:i/>
          <w:sz w:val="20"/>
        </w:rPr>
        <w:t>by</w:t>
      </w:r>
      <w:r>
        <w:rPr>
          <w:i/>
          <w:spacing w:val="-6"/>
          <w:sz w:val="20"/>
        </w:rPr>
        <w:t> </w:t>
      </w:r>
      <w:r>
        <w:rPr>
          <w:i/>
          <w:sz w:val="20"/>
        </w:rPr>
        <w:t>Age</w:t>
      </w:r>
      <w:r>
        <w:rPr>
          <w:i/>
          <w:spacing w:val="-6"/>
          <w:sz w:val="20"/>
        </w:rPr>
        <w:t> </w:t>
      </w:r>
      <w:r>
        <w:rPr>
          <w:i/>
          <w:sz w:val="20"/>
        </w:rPr>
        <w:t>and</w:t>
      </w:r>
      <w:r>
        <w:rPr>
          <w:i/>
          <w:spacing w:val="-5"/>
          <w:sz w:val="20"/>
        </w:rPr>
        <w:t> Sex</w:t>
      </w:r>
    </w:p>
    <w:p>
      <w:pPr>
        <w:pStyle w:val="BodyText"/>
        <w:spacing w:before="6"/>
        <w:ind w:left="0"/>
        <w:rPr>
          <w:i/>
          <w:sz w:val="8"/>
        </w:rPr>
      </w:pPr>
      <w:r>
        <w:rPr>
          <w:i/>
          <w:sz w:val="8"/>
        </w:rPr>
        <w:drawing>
          <wp:anchor distT="0" distB="0" distL="0" distR="0" allowOverlap="1" layoutInCell="1" locked="0" behindDoc="1" simplePos="0" relativeHeight="487593984">
            <wp:simplePos x="0" y="0"/>
            <wp:positionH relativeFrom="page">
              <wp:posOffset>3694150</wp:posOffset>
            </wp:positionH>
            <wp:positionV relativeFrom="paragraph">
              <wp:posOffset>81634</wp:posOffset>
            </wp:positionV>
            <wp:extent cx="4038036" cy="2857500"/>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7" cstate="print"/>
                    <a:stretch>
                      <a:fillRect/>
                    </a:stretch>
                  </pic:blipFill>
                  <pic:spPr>
                    <a:xfrm>
                      <a:off x="0" y="0"/>
                      <a:ext cx="4038036" cy="2857500"/>
                    </a:xfrm>
                    <a:prstGeom prst="rect">
                      <a:avLst/>
                    </a:prstGeom>
                  </pic:spPr>
                </pic:pic>
              </a:graphicData>
            </a:graphic>
          </wp:anchor>
        </w:drawing>
      </w:r>
    </w:p>
    <w:p>
      <w:pPr>
        <w:pStyle w:val="BodyText"/>
        <w:spacing w:before="83"/>
        <w:ind w:left="139"/>
      </w:pPr>
      <w:r>
        <w:rPr/>
        <w:t>Source:</w:t>
      </w:r>
      <w:r>
        <w:rPr>
          <w:spacing w:val="-7"/>
        </w:rPr>
        <w:t> </w:t>
      </w:r>
      <w:r>
        <w:rPr/>
        <w:t>U.S.</w:t>
      </w:r>
      <w:r>
        <w:rPr>
          <w:spacing w:val="-5"/>
        </w:rPr>
        <w:t> </w:t>
      </w:r>
      <w:r>
        <w:rPr/>
        <w:t>Census</w:t>
      </w:r>
      <w:r>
        <w:rPr>
          <w:spacing w:val="-7"/>
        </w:rPr>
        <w:t> </w:t>
      </w:r>
      <w:r>
        <w:rPr>
          <w:spacing w:val="-4"/>
        </w:rPr>
        <w:t>2020</w:t>
      </w:r>
    </w:p>
    <w:p>
      <w:pPr>
        <w:pStyle w:val="BodyText"/>
        <w:spacing w:after="0"/>
        <w:sectPr>
          <w:pgSz w:w="12240" w:h="15840"/>
          <w:pgMar w:header="161" w:footer="1223" w:top="1360" w:bottom="1420" w:left="0" w:right="0"/>
          <w:cols w:num="2" w:equalWidth="0">
            <w:col w:w="5641" w:space="40"/>
            <w:col w:w="6559"/>
          </w:cols>
        </w:sectPr>
      </w:pPr>
    </w:p>
    <w:p>
      <w:pPr>
        <w:pStyle w:val="BodyText"/>
        <w:spacing w:line="259" w:lineRule="auto" w:before="185"/>
        <w:ind w:right="1467"/>
      </w:pPr>
      <w:r>
        <w:rPr/>
        <w:t>Census data for Yates County indicate a largely white (93%) populafion followed by Hispanic or Lafino (2.6%),</w:t>
      </w:r>
      <w:r>
        <w:rPr>
          <w:spacing w:val="-3"/>
        </w:rPr>
        <w:t> </w:t>
      </w:r>
      <w:r>
        <w:rPr/>
        <w:t>Black</w:t>
      </w:r>
      <w:r>
        <w:rPr>
          <w:spacing w:val="-5"/>
        </w:rPr>
        <w:t> </w:t>
      </w:r>
      <w:r>
        <w:rPr/>
        <w:t>or</w:t>
      </w:r>
      <w:r>
        <w:rPr>
          <w:spacing w:val="-3"/>
        </w:rPr>
        <w:t> </w:t>
      </w:r>
      <w:r>
        <w:rPr/>
        <w:t>African</w:t>
      </w:r>
      <w:r>
        <w:rPr>
          <w:spacing w:val="-4"/>
        </w:rPr>
        <w:t> </w:t>
      </w:r>
      <w:r>
        <w:rPr/>
        <w:t>American</w:t>
      </w:r>
      <w:r>
        <w:rPr>
          <w:spacing w:val="-4"/>
        </w:rPr>
        <w:t> </w:t>
      </w:r>
      <w:r>
        <w:rPr/>
        <w:t>(0.7%),</w:t>
      </w:r>
      <w:r>
        <w:rPr>
          <w:spacing w:val="-2"/>
        </w:rPr>
        <w:t> </w:t>
      </w:r>
      <w:r>
        <w:rPr/>
        <w:t>Asian</w:t>
      </w:r>
      <w:r>
        <w:rPr>
          <w:spacing w:val="-4"/>
        </w:rPr>
        <w:t> </w:t>
      </w:r>
      <w:r>
        <w:rPr/>
        <w:t>(0.3%),</w:t>
      </w:r>
      <w:r>
        <w:rPr>
          <w:spacing w:val="-5"/>
        </w:rPr>
        <w:t> </w:t>
      </w:r>
      <w:r>
        <w:rPr/>
        <w:t>and</w:t>
      </w:r>
      <w:r>
        <w:rPr>
          <w:spacing w:val="-3"/>
        </w:rPr>
        <w:t> </w:t>
      </w:r>
      <w:r>
        <w:rPr/>
        <w:t>American</w:t>
      </w:r>
      <w:r>
        <w:rPr>
          <w:spacing w:val="-4"/>
        </w:rPr>
        <w:t> </w:t>
      </w:r>
      <w:r>
        <w:rPr/>
        <w:t>Indian</w:t>
      </w:r>
      <w:r>
        <w:rPr>
          <w:spacing w:val="-3"/>
        </w:rPr>
        <w:t> </w:t>
      </w:r>
      <w:r>
        <w:rPr/>
        <w:t>or</w:t>
      </w:r>
      <w:r>
        <w:rPr>
          <w:spacing w:val="-3"/>
        </w:rPr>
        <w:t> </w:t>
      </w:r>
      <w:r>
        <w:rPr/>
        <w:t>Alaska</w:t>
      </w:r>
      <w:r>
        <w:rPr>
          <w:spacing w:val="-3"/>
        </w:rPr>
        <w:t> </w:t>
      </w:r>
      <w:r>
        <w:rPr/>
        <w:t>Nafive</w:t>
      </w:r>
      <w:r>
        <w:rPr>
          <w:spacing w:val="-5"/>
        </w:rPr>
        <w:t> </w:t>
      </w:r>
      <w:r>
        <w:rPr/>
        <w:t>(0.1%).</w:t>
      </w:r>
      <w:r>
        <w:rPr>
          <w:spacing w:val="-5"/>
        </w:rPr>
        <w:t> </w:t>
      </w:r>
      <w:r>
        <w:rPr/>
        <w:t>The regional secfion of this CHA denotes addifional populafion considerafions, including Amish/Mennonite and migrant farmworkers.</w:t>
      </w:r>
    </w:p>
    <w:p>
      <w:pPr>
        <w:pStyle w:val="BodyText"/>
        <w:spacing w:line="259" w:lineRule="auto" w:before="157"/>
        <w:ind w:right="1467"/>
      </w:pPr>
      <w:r>
        <w:rPr/>
        <w:t>There is a large Mennonite community who reside in Yates County. The Groﬀdale Mennonites,</w:t>
      </w:r>
      <w:r>
        <w:rPr/>
        <w:t> commonly known as Horse-and-Buggy Mennonites, seftled in Yates County around 1974, coming from Lancaster County, Pennsylvania. The 2025 Old Groﬀdale and Midwest Horse and Buggy maps show that there are approximately 877 Mennonite households across Ontario, Schuyler, Steuben, and Yates Counfies, with the largest number residing in Yates County. Since 2022, the number of horse-and-buggy households</w:t>
      </w:r>
      <w:r>
        <w:rPr>
          <w:spacing w:val="-8"/>
        </w:rPr>
        <w:t> </w:t>
      </w:r>
      <w:r>
        <w:rPr/>
        <w:t>has</w:t>
      </w:r>
      <w:r>
        <w:rPr>
          <w:spacing w:val="-7"/>
        </w:rPr>
        <w:t> </w:t>
      </w:r>
      <w:r>
        <w:rPr/>
        <w:t>increased</w:t>
      </w:r>
      <w:r>
        <w:rPr>
          <w:spacing w:val="-9"/>
        </w:rPr>
        <w:t> </w:t>
      </w:r>
      <w:r>
        <w:rPr/>
        <w:t>by</w:t>
      </w:r>
      <w:r>
        <w:rPr>
          <w:spacing w:val="-6"/>
        </w:rPr>
        <w:t> </w:t>
      </w:r>
      <w:r>
        <w:rPr/>
        <w:t>97.</w:t>
      </w:r>
      <w:r>
        <w:rPr>
          <w:spacing w:val="-7"/>
        </w:rPr>
        <w:t> </w:t>
      </w:r>
      <w:r>
        <w:rPr/>
        <w:t>However,</w:t>
      </w:r>
      <w:r>
        <w:rPr>
          <w:spacing w:val="-7"/>
        </w:rPr>
        <w:t> </w:t>
      </w:r>
      <w:r>
        <w:rPr/>
        <w:t>since</w:t>
      </w:r>
      <w:r>
        <w:rPr>
          <w:spacing w:val="-6"/>
        </w:rPr>
        <w:t> </w:t>
      </w:r>
      <w:r>
        <w:rPr/>
        <w:t>their</w:t>
      </w:r>
      <w:r>
        <w:rPr>
          <w:spacing w:val="-7"/>
        </w:rPr>
        <w:t> </w:t>
      </w:r>
      <w:r>
        <w:rPr/>
        <w:t>seftlement,</w:t>
      </w:r>
      <w:r>
        <w:rPr>
          <w:spacing w:val="-8"/>
        </w:rPr>
        <w:t> </w:t>
      </w:r>
      <w:r>
        <w:rPr/>
        <w:t>Mennonites</w:t>
      </w:r>
      <w:r>
        <w:rPr>
          <w:spacing w:val="-6"/>
        </w:rPr>
        <w:t> </w:t>
      </w:r>
      <w:r>
        <w:rPr/>
        <w:t>confinued</w:t>
      </w:r>
      <w:r>
        <w:rPr>
          <w:spacing w:val="-7"/>
        </w:rPr>
        <w:t> </w:t>
      </w:r>
      <w:r>
        <w:rPr/>
        <w:t>to</w:t>
      </w:r>
      <w:r>
        <w:rPr>
          <w:spacing w:val="-6"/>
        </w:rPr>
        <w:t> </w:t>
      </w:r>
      <w:r>
        <w:rPr/>
        <w:t>diversify</w:t>
      </w:r>
      <w:r>
        <w:rPr>
          <w:spacing w:val="-6"/>
        </w:rPr>
        <w:t> </w:t>
      </w:r>
      <w:r>
        <w:rPr/>
        <w:t>into Driving Mennonites, expanding households even further around the Finger Lakes Region.</w:t>
      </w:r>
    </w:p>
    <w:p>
      <w:pPr>
        <w:pStyle w:val="BodyText"/>
        <w:spacing w:line="259" w:lineRule="auto" w:before="159"/>
        <w:ind w:right="1467"/>
      </w:pPr>
      <w:r>
        <w:rPr/>
        <w:t>Mennonites</w:t>
      </w:r>
      <w:r>
        <w:rPr>
          <w:spacing w:val="-10"/>
        </w:rPr>
        <w:t> </w:t>
      </w:r>
      <w:r>
        <w:rPr/>
        <w:t>make</w:t>
      </w:r>
      <w:r>
        <w:rPr>
          <w:spacing w:val="-7"/>
        </w:rPr>
        <w:t> </w:t>
      </w:r>
      <w:r>
        <w:rPr/>
        <w:t>a</w:t>
      </w:r>
      <w:r>
        <w:rPr>
          <w:spacing w:val="-10"/>
        </w:rPr>
        <w:t> </w:t>
      </w:r>
      <w:r>
        <w:rPr/>
        <w:t>signiﬁcant</w:t>
      </w:r>
      <w:r>
        <w:rPr>
          <w:spacing w:val="-7"/>
        </w:rPr>
        <w:t> </w:t>
      </w:r>
      <w:r>
        <w:rPr/>
        <w:t>contribufion</w:t>
      </w:r>
      <w:r>
        <w:rPr>
          <w:spacing w:val="-11"/>
        </w:rPr>
        <w:t> </w:t>
      </w:r>
      <w:r>
        <w:rPr/>
        <w:t>to</w:t>
      </w:r>
      <w:r>
        <w:rPr>
          <w:spacing w:val="-9"/>
        </w:rPr>
        <w:t> </w:t>
      </w:r>
      <w:r>
        <w:rPr/>
        <w:t>Yates</w:t>
      </w:r>
      <w:r>
        <w:rPr>
          <w:spacing w:val="-8"/>
        </w:rPr>
        <w:t> </w:t>
      </w:r>
      <w:r>
        <w:rPr/>
        <w:t>County’s</w:t>
      </w:r>
      <w:r>
        <w:rPr>
          <w:spacing w:val="-10"/>
        </w:rPr>
        <w:t> </w:t>
      </w:r>
      <w:r>
        <w:rPr/>
        <w:t>agriculture</w:t>
      </w:r>
      <w:r>
        <w:rPr>
          <w:spacing w:val="-9"/>
        </w:rPr>
        <w:t> </w:t>
      </w:r>
      <w:r>
        <w:rPr/>
        <w:t>and</w:t>
      </w:r>
      <w:r>
        <w:rPr>
          <w:spacing w:val="-8"/>
        </w:rPr>
        <w:t> </w:t>
      </w:r>
      <w:r>
        <w:rPr/>
        <w:t>economy.</w:t>
      </w:r>
      <w:r>
        <w:rPr>
          <w:spacing w:val="-8"/>
        </w:rPr>
        <w:t> </w:t>
      </w:r>
      <w:r>
        <w:rPr/>
        <w:t>Addifionally,</w:t>
      </w:r>
      <w:r>
        <w:rPr>
          <w:spacing w:val="-8"/>
        </w:rPr>
        <w:t> </w:t>
      </w:r>
      <w:r>
        <w:rPr/>
        <w:t>it</w:t>
      </w:r>
      <w:r>
        <w:rPr>
          <w:spacing w:val="-10"/>
        </w:rPr>
        <w:t> </w:t>
      </w:r>
      <w:r>
        <w:rPr/>
        <w:t>is important to note the cultural implicafions the populafion can have on local data, such as vaccinafion rates, uninsured rates, prenatal care, educafional aftainment, and unintenfional injuries (e.g.., motor vehicle and farm accidents). The Mennonite community often resorts to homeopathic medicine and relies on experienced community members for health care. Community organizafions and partners collaborate to host inclusive events that integrate Mennonite beliefs and values with evidence-based pracfices, providing the best opportunifies for meaningful learning.</w:t>
      </w:r>
    </w:p>
    <w:p>
      <w:pPr>
        <w:pStyle w:val="BodyText"/>
        <w:spacing w:after="0" w:line="259" w:lineRule="auto"/>
        <w:sectPr>
          <w:type w:val="continuous"/>
          <w:pgSz w:w="12240" w:h="15840"/>
          <w:pgMar w:header="161" w:footer="1223" w:top="1360" w:bottom="1420" w:left="0" w:right="0"/>
        </w:sectPr>
      </w:pPr>
    </w:p>
    <w:p>
      <w:pPr>
        <w:pStyle w:val="Heading3"/>
      </w:pPr>
      <w:r>
        <w:rPr/>
        <w:t>Veterans</w:t>
      </w:r>
      <w:r>
        <w:rPr>
          <w:spacing w:val="-8"/>
        </w:rPr>
        <w:t> </w:t>
      </w:r>
      <w:r>
        <w:rPr/>
        <w:t>and</w:t>
      </w:r>
      <w:r>
        <w:rPr>
          <w:spacing w:val="-8"/>
        </w:rPr>
        <w:t> </w:t>
      </w:r>
      <w:r>
        <w:rPr/>
        <w:t>People</w:t>
      </w:r>
      <w:r>
        <w:rPr>
          <w:spacing w:val="-12"/>
        </w:rPr>
        <w:t> </w:t>
      </w:r>
      <w:r>
        <w:rPr/>
        <w:t>with</w:t>
      </w:r>
      <w:r>
        <w:rPr>
          <w:spacing w:val="-7"/>
        </w:rPr>
        <w:t> </w:t>
      </w:r>
      <w:r>
        <w:rPr>
          <w:spacing w:val="-2"/>
        </w:rPr>
        <w:t>Disabilifies</w:t>
      </w:r>
    </w:p>
    <w:p>
      <w:pPr>
        <w:pStyle w:val="BodyText"/>
        <w:spacing w:line="259" w:lineRule="auto" w:before="182"/>
        <w:ind w:right="1467"/>
      </w:pPr>
      <w:r>
        <w:rPr/>
        <w:t>Veterans often have disfinct health needs, including higher rates of chronic condifions, mental health challenges,</w:t>
      </w:r>
      <w:r>
        <w:rPr>
          <w:spacing w:val="-6"/>
        </w:rPr>
        <w:t> </w:t>
      </w:r>
      <w:r>
        <w:rPr/>
        <w:t>and</w:t>
      </w:r>
      <w:r>
        <w:rPr>
          <w:spacing w:val="-7"/>
        </w:rPr>
        <w:t> </w:t>
      </w:r>
      <w:r>
        <w:rPr/>
        <w:t>service-related</w:t>
      </w:r>
      <w:r>
        <w:rPr>
          <w:spacing w:val="-7"/>
        </w:rPr>
        <w:t> </w:t>
      </w:r>
      <w:r>
        <w:rPr/>
        <w:t>injuries.</w:t>
      </w:r>
      <w:r>
        <w:rPr>
          <w:spacing w:val="-7"/>
        </w:rPr>
        <w:t> </w:t>
      </w:r>
      <w:r>
        <w:rPr/>
        <w:t>The</w:t>
      </w:r>
      <w:r>
        <w:rPr>
          <w:spacing w:val="-5"/>
        </w:rPr>
        <w:t> </w:t>
      </w:r>
      <w:r>
        <w:rPr/>
        <w:t>Veteran</w:t>
      </w:r>
      <w:r>
        <w:rPr>
          <w:spacing w:val="-6"/>
        </w:rPr>
        <w:t> </w:t>
      </w:r>
      <w:r>
        <w:rPr/>
        <w:t>populafion</w:t>
      </w:r>
      <w:r>
        <w:rPr>
          <w:spacing w:val="-9"/>
        </w:rPr>
        <w:t> </w:t>
      </w:r>
      <w:r>
        <w:rPr/>
        <w:t>of</w:t>
      </w:r>
      <w:r>
        <w:rPr>
          <w:spacing w:val="-6"/>
        </w:rPr>
        <w:t> </w:t>
      </w:r>
      <w:r>
        <w:rPr/>
        <w:t>Yates</w:t>
      </w:r>
      <w:r>
        <w:rPr>
          <w:spacing w:val="-6"/>
        </w:rPr>
        <w:t> </w:t>
      </w:r>
      <w:r>
        <w:rPr/>
        <w:t>County</w:t>
      </w:r>
      <w:r>
        <w:rPr>
          <w:spacing w:val="-7"/>
        </w:rPr>
        <w:t> </w:t>
      </w:r>
      <w:r>
        <w:rPr/>
        <w:t>accounts</w:t>
      </w:r>
      <w:r>
        <w:rPr>
          <w:spacing w:val="-6"/>
        </w:rPr>
        <w:t> </w:t>
      </w:r>
      <w:r>
        <w:rPr/>
        <w:t>for</w:t>
      </w:r>
      <w:r>
        <w:rPr>
          <w:spacing w:val="-9"/>
        </w:rPr>
        <w:t> </w:t>
      </w:r>
      <w:r>
        <w:rPr/>
        <w:t>7.2%</w:t>
      </w:r>
      <w:r>
        <w:rPr>
          <w:spacing w:val="-8"/>
        </w:rPr>
        <w:t> </w:t>
      </w:r>
      <w:r>
        <w:rPr/>
        <w:t>of</w:t>
      </w:r>
      <w:r>
        <w:rPr>
          <w:spacing w:val="-8"/>
        </w:rPr>
        <w:t> </w:t>
      </w:r>
      <w:r>
        <w:rPr/>
        <w:t>the total populafion, which is higher than the NYS average (3.9%)</w:t>
      </w:r>
      <w:hyperlink w:history="true" w:anchor="_bookmark1">
        <w:r>
          <w:rPr/>
          <w:t>.</w:t>
        </w:r>
        <w:r>
          <w:rPr>
            <w:vertAlign w:val="superscript"/>
          </w:rPr>
          <w:t>32</w:t>
        </w:r>
      </w:hyperlink>
      <w:r>
        <w:rPr>
          <w:vertAlign w:val="baseline"/>
        </w:rPr>
        <w:t> Of that number 94% are male, and 6% are female.</w:t>
      </w:r>
    </w:p>
    <w:p>
      <w:pPr>
        <w:pStyle w:val="BodyText"/>
        <w:spacing w:line="259" w:lineRule="auto" w:before="160"/>
        <w:ind w:right="1467"/>
      </w:pPr>
      <w:r>
        <w:rPr/>
        <w:t>People</w:t>
      </w:r>
      <w:r>
        <w:rPr>
          <w:spacing w:val="-5"/>
        </w:rPr>
        <w:t> </w:t>
      </w:r>
      <w:r>
        <w:rPr/>
        <w:t>with</w:t>
      </w:r>
      <w:r>
        <w:rPr>
          <w:spacing w:val="-7"/>
        </w:rPr>
        <w:t> </w:t>
      </w:r>
      <w:r>
        <w:rPr/>
        <w:t>disabilifies</w:t>
      </w:r>
      <w:r>
        <w:rPr>
          <w:spacing w:val="-8"/>
        </w:rPr>
        <w:t> </w:t>
      </w:r>
      <w:r>
        <w:rPr/>
        <w:t>may</w:t>
      </w:r>
      <w:r>
        <w:rPr>
          <w:spacing w:val="-5"/>
        </w:rPr>
        <w:t> </w:t>
      </w:r>
      <w:r>
        <w:rPr/>
        <w:t>face</w:t>
      </w:r>
      <w:r>
        <w:rPr>
          <w:spacing w:val="-8"/>
        </w:rPr>
        <w:t> </w:t>
      </w:r>
      <w:r>
        <w:rPr/>
        <w:t>heightened</w:t>
      </w:r>
      <w:r>
        <w:rPr>
          <w:spacing w:val="-6"/>
        </w:rPr>
        <w:t> </w:t>
      </w:r>
      <w:r>
        <w:rPr/>
        <w:t>barriers</w:t>
      </w:r>
      <w:r>
        <w:rPr>
          <w:spacing w:val="-6"/>
        </w:rPr>
        <w:t> </w:t>
      </w:r>
      <w:r>
        <w:rPr/>
        <w:t>to</w:t>
      </w:r>
      <w:r>
        <w:rPr>
          <w:spacing w:val="-4"/>
        </w:rPr>
        <w:t> </w:t>
      </w:r>
      <w:r>
        <w:rPr/>
        <w:t>care,</w:t>
      </w:r>
      <w:r>
        <w:rPr>
          <w:spacing w:val="-6"/>
        </w:rPr>
        <w:t> </w:t>
      </w:r>
      <w:r>
        <w:rPr/>
        <w:t>transportafion,</w:t>
      </w:r>
      <w:r>
        <w:rPr>
          <w:spacing w:val="-6"/>
        </w:rPr>
        <w:t> </w:t>
      </w:r>
      <w:r>
        <w:rPr/>
        <w:t>employment,</w:t>
      </w:r>
      <w:r>
        <w:rPr>
          <w:spacing w:val="-6"/>
        </w:rPr>
        <w:t> </w:t>
      </w:r>
      <w:r>
        <w:rPr/>
        <w:t>housing,</w:t>
      </w:r>
      <w:r>
        <w:rPr>
          <w:spacing w:val="-5"/>
        </w:rPr>
        <w:t> </w:t>
      </w:r>
      <w:r>
        <w:rPr/>
        <w:t>and healthy living.</w:t>
      </w:r>
      <w:r>
        <w:rPr>
          <w:spacing w:val="-2"/>
        </w:rPr>
        <w:t> </w:t>
      </w:r>
      <w:r>
        <w:rPr/>
        <w:t>There</w:t>
      </w:r>
      <w:r>
        <w:rPr>
          <w:spacing w:val="-1"/>
        </w:rPr>
        <w:t> </w:t>
      </w:r>
      <w:r>
        <w:rPr/>
        <w:t>are approximately 11.1%</w:t>
      </w:r>
      <w:r>
        <w:rPr>
          <w:spacing w:val="-1"/>
        </w:rPr>
        <w:t> </w:t>
      </w:r>
      <w:r>
        <w:rPr/>
        <w:t>of</w:t>
      </w:r>
      <w:r>
        <w:rPr>
          <w:spacing w:val="-2"/>
        </w:rPr>
        <w:t> </w:t>
      </w:r>
      <w:r>
        <w:rPr/>
        <w:t>the Yates County populafion</w:t>
      </w:r>
      <w:r>
        <w:rPr>
          <w:spacing w:val="-2"/>
        </w:rPr>
        <w:t> </w:t>
      </w:r>
      <w:r>
        <w:rPr/>
        <w:t>who live with a disability. Comparafively, there is about 13.5% of the New York State populafion that lives with a disability. The most common disabilifies are cognifive, independent living, and ambulatory diﬃculty.</w:t>
      </w:r>
    </w:p>
    <w:p>
      <w:pPr>
        <w:pStyle w:val="Heading3"/>
        <w:spacing w:before="160"/>
      </w:pPr>
      <w:r>
        <w:rPr/>
        <w:t>Language</w:t>
      </w:r>
      <w:r>
        <w:rPr>
          <w:spacing w:val="-11"/>
        </w:rPr>
        <w:t> </w:t>
      </w:r>
      <w:r>
        <w:rPr/>
        <w:t>Spoken</w:t>
      </w:r>
      <w:r>
        <w:rPr>
          <w:spacing w:val="-6"/>
        </w:rPr>
        <w:t> </w:t>
      </w:r>
      <w:r>
        <w:rPr/>
        <w:t>at</w:t>
      </w:r>
      <w:r>
        <w:rPr>
          <w:spacing w:val="-6"/>
        </w:rPr>
        <w:t> </w:t>
      </w:r>
      <w:r>
        <w:rPr>
          <w:spacing w:val="-4"/>
        </w:rPr>
        <w:t>Home</w:t>
      </w:r>
    </w:p>
    <w:p>
      <w:pPr>
        <w:pStyle w:val="BodyText"/>
        <w:spacing w:line="259" w:lineRule="auto" w:before="182"/>
        <w:ind w:right="1467"/>
      </w:pPr>
      <w:r>
        <w:rPr/>
        <w:t>In Yates County, according to the U.S. Census, 16.8% of people speak a language other than English at home. This includes: 1.6% who speak Spanish; 14.5% who speak Indo-European languages; 0.8% who speak Asian and Paciﬁc Island languages; and 0.2% percent who speak other languages. The notable share</w:t>
      </w:r>
      <w:r>
        <w:rPr>
          <w:spacing w:val="-6"/>
        </w:rPr>
        <w:t> </w:t>
      </w:r>
      <w:r>
        <w:rPr/>
        <w:t>of</w:t>
      </w:r>
      <w:r>
        <w:rPr>
          <w:spacing w:val="-5"/>
        </w:rPr>
        <w:t> </w:t>
      </w:r>
      <w:r>
        <w:rPr/>
        <w:t>Indo-European</w:t>
      </w:r>
      <w:r>
        <w:rPr>
          <w:spacing w:val="-5"/>
        </w:rPr>
        <w:t> </w:t>
      </w:r>
      <w:r>
        <w:rPr/>
        <w:t>language</w:t>
      </w:r>
      <w:r>
        <w:rPr>
          <w:spacing w:val="-4"/>
        </w:rPr>
        <w:t> </w:t>
      </w:r>
      <w:r>
        <w:rPr/>
        <w:t>speakers</w:t>
      </w:r>
      <w:r>
        <w:rPr>
          <w:spacing w:val="-5"/>
        </w:rPr>
        <w:t> </w:t>
      </w:r>
      <w:r>
        <w:rPr/>
        <w:t>is</w:t>
      </w:r>
      <w:r>
        <w:rPr>
          <w:spacing w:val="-7"/>
        </w:rPr>
        <w:t> </w:t>
      </w:r>
      <w:r>
        <w:rPr/>
        <w:t>likely</w:t>
      </w:r>
      <w:r>
        <w:rPr>
          <w:spacing w:val="-4"/>
        </w:rPr>
        <w:t> </w:t>
      </w:r>
      <w:r>
        <w:rPr/>
        <w:t>inﬂuenced</w:t>
      </w:r>
      <w:r>
        <w:rPr>
          <w:spacing w:val="-6"/>
        </w:rPr>
        <w:t> </w:t>
      </w:r>
      <w:r>
        <w:rPr/>
        <w:t>by</w:t>
      </w:r>
      <w:r>
        <w:rPr>
          <w:spacing w:val="-4"/>
        </w:rPr>
        <w:t> </w:t>
      </w:r>
      <w:r>
        <w:rPr/>
        <w:t>the</w:t>
      </w:r>
      <w:r>
        <w:rPr>
          <w:spacing w:val="-7"/>
        </w:rPr>
        <w:t> </w:t>
      </w:r>
      <w:r>
        <w:rPr/>
        <w:t>presence</w:t>
      </w:r>
      <w:r>
        <w:rPr>
          <w:spacing w:val="-6"/>
        </w:rPr>
        <w:t> </w:t>
      </w:r>
      <w:r>
        <w:rPr/>
        <w:t>of</w:t>
      </w:r>
      <w:r>
        <w:rPr>
          <w:spacing w:val="-8"/>
        </w:rPr>
        <w:t> </w:t>
      </w:r>
      <w:r>
        <w:rPr/>
        <w:t>Amish</w:t>
      </w:r>
      <w:r>
        <w:rPr>
          <w:spacing w:val="-6"/>
        </w:rPr>
        <w:t> </w:t>
      </w:r>
      <w:r>
        <w:rPr/>
        <w:t>and</w:t>
      </w:r>
      <w:r>
        <w:rPr>
          <w:spacing w:val="-8"/>
        </w:rPr>
        <w:t> </w:t>
      </w:r>
      <w:r>
        <w:rPr/>
        <w:t>Mennonite communifies. Providing language assistance in health care improves the quality of care for all populafions with limited English proﬁciency, thereby opfimizing overall health literacy.</w:t>
      </w:r>
    </w:p>
    <w:p>
      <w:pPr>
        <w:pStyle w:val="Heading3"/>
        <w:spacing w:before="158"/>
      </w:pPr>
      <w:r>
        <w:rPr/>
        <w:t>Leading</w:t>
      </w:r>
      <w:r>
        <w:rPr>
          <w:spacing w:val="-3"/>
        </w:rPr>
        <w:t> </w:t>
      </w:r>
      <w:r>
        <w:rPr/>
        <w:t>Cause</w:t>
      </w:r>
      <w:r>
        <w:rPr>
          <w:spacing w:val="-4"/>
        </w:rPr>
        <w:t> </w:t>
      </w:r>
      <w:r>
        <w:rPr/>
        <w:t>of</w:t>
      </w:r>
      <w:r>
        <w:rPr>
          <w:spacing w:val="-1"/>
        </w:rPr>
        <w:t> </w:t>
      </w:r>
      <w:r>
        <w:rPr/>
        <w:t>Death</w:t>
      </w:r>
      <w:r>
        <w:rPr>
          <w:spacing w:val="-3"/>
        </w:rPr>
        <w:t> </w:t>
      </w:r>
      <w:r>
        <w:rPr/>
        <w:t>and</w:t>
      </w:r>
      <w:r>
        <w:rPr>
          <w:spacing w:val="-2"/>
        </w:rPr>
        <w:t> </w:t>
      </w:r>
      <w:r>
        <w:rPr/>
        <w:t>Life</w:t>
      </w:r>
      <w:r>
        <w:rPr>
          <w:spacing w:val="-2"/>
        </w:rPr>
        <w:t> Expectancy</w:t>
      </w:r>
    </w:p>
    <w:p>
      <w:pPr>
        <w:pStyle w:val="BodyText"/>
        <w:spacing w:line="259" w:lineRule="auto" w:before="185"/>
        <w:ind w:right="1467"/>
      </w:pPr>
      <w:r>
        <w:rPr/>
        <w:t>The average number of years a person in Yates County may expect to live is 78.1</w:t>
      </w:r>
      <w:hyperlink w:history="true" w:anchor="_bookmark2">
        <w:r>
          <w:rPr>
            <w:vertAlign w:val="superscript"/>
          </w:rPr>
          <w:t>33</w:t>
        </w:r>
        <w:r>
          <w:rPr>
            <w:vertAlign w:val="baseline"/>
          </w:rPr>
          <w:t>,</w:t>
        </w:r>
      </w:hyperlink>
      <w:r>
        <w:rPr>
          <w:vertAlign w:val="baseline"/>
        </w:rPr>
        <w:t> with variafion throughout the county as seen in Map Y2. This number is lower than the state average of 80.4, but greater than the nafional average of</w:t>
      </w:r>
      <w:r>
        <w:rPr>
          <w:spacing w:val="-1"/>
          <w:vertAlign w:val="baseline"/>
        </w:rPr>
        <w:t> </w:t>
      </w:r>
      <w:r>
        <w:rPr>
          <w:vertAlign w:val="baseline"/>
        </w:rPr>
        <w:t>77.6</w:t>
      </w:r>
      <w:hyperlink w:history="true" w:anchor="_bookmark3">
        <w:r>
          <w:rPr>
            <w:vertAlign w:val="baseline"/>
          </w:rPr>
          <w:t>.</w:t>
        </w:r>
        <w:r>
          <w:rPr>
            <w:vertAlign w:val="superscript"/>
          </w:rPr>
          <w:t>34</w:t>
        </w:r>
      </w:hyperlink>
      <w:r>
        <w:rPr>
          <w:vertAlign w:val="baseline"/>
        </w:rPr>
        <w:t>Life expectancy in Yates County is greater than three of its confingent</w:t>
      </w:r>
      <w:r>
        <w:rPr>
          <w:spacing w:val="-4"/>
          <w:vertAlign w:val="baseline"/>
        </w:rPr>
        <w:t> </w:t>
      </w:r>
      <w:r>
        <w:rPr>
          <w:vertAlign w:val="baseline"/>
        </w:rPr>
        <w:t>counfies</w:t>
      </w:r>
      <w:r>
        <w:rPr>
          <w:spacing w:val="-4"/>
          <w:vertAlign w:val="baseline"/>
        </w:rPr>
        <w:t> </w:t>
      </w:r>
      <w:r>
        <w:rPr>
          <w:vertAlign w:val="baseline"/>
        </w:rPr>
        <w:t>(Steuben</w:t>
      </w:r>
      <w:r>
        <w:rPr>
          <w:spacing w:val="-4"/>
          <w:vertAlign w:val="baseline"/>
        </w:rPr>
        <w:t> </w:t>
      </w:r>
      <w:r>
        <w:rPr>
          <w:vertAlign w:val="baseline"/>
        </w:rPr>
        <w:t>76.6,</w:t>
      </w:r>
      <w:r>
        <w:rPr>
          <w:spacing w:val="-3"/>
          <w:vertAlign w:val="baseline"/>
        </w:rPr>
        <w:t> </w:t>
      </w:r>
      <w:r>
        <w:rPr>
          <w:vertAlign w:val="baseline"/>
        </w:rPr>
        <w:t>Seneca</w:t>
      </w:r>
      <w:r>
        <w:rPr>
          <w:spacing w:val="-5"/>
          <w:vertAlign w:val="baseline"/>
        </w:rPr>
        <w:t> </w:t>
      </w:r>
      <w:r>
        <w:rPr>
          <w:vertAlign w:val="baseline"/>
        </w:rPr>
        <w:t>77.5,</w:t>
      </w:r>
      <w:r>
        <w:rPr>
          <w:spacing w:val="-3"/>
          <w:vertAlign w:val="baseline"/>
        </w:rPr>
        <w:t> </w:t>
      </w:r>
      <w:r>
        <w:rPr>
          <w:vertAlign w:val="baseline"/>
        </w:rPr>
        <w:t>and</w:t>
      </w:r>
      <w:r>
        <w:rPr>
          <w:spacing w:val="-5"/>
          <w:vertAlign w:val="baseline"/>
        </w:rPr>
        <w:t> </w:t>
      </w:r>
      <w:r>
        <w:rPr>
          <w:vertAlign w:val="baseline"/>
        </w:rPr>
        <w:t>Schuyler</w:t>
      </w:r>
      <w:r>
        <w:rPr>
          <w:spacing w:val="-6"/>
          <w:vertAlign w:val="baseline"/>
        </w:rPr>
        <w:t> </w:t>
      </w:r>
      <w:r>
        <w:rPr>
          <w:vertAlign w:val="baseline"/>
        </w:rPr>
        <w:t>75.8)</w:t>
      </w:r>
      <w:r>
        <w:rPr>
          <w:spacing w:val="-4"/>
          <w:vertAlign w:val="baseline"/>
        </w:rPr>
        <w:t> </w:t>
      </w:r>
      <w:r>
        <w:rPr>
          <w:vertAlign w:val="baseline"/>
        </w:rPr>
        <w:t>and</w:t>
      </w:r>
      <w:r>
        <w:rPr>
          <w:spacing w:val="-4"/>
          <w:vertAlign w:val="baseline"/>
        </w:rPr>
        <w:t> </w:t>
      </w:r>
      <w:r>
        <w:rPr>
          <w:vertAlign w:val="baseline"/>
        </w:rPr>
        <w:t>lower</w:t>
      </w:r>
      <w:r>
        <w:rPr>
          <w:spacing w:val="-4"/>
          <w:vertAlign w:val="baseline"/>
        </w:rPr>
        <w:t> </w:t>
      </w:r>
      <w:r>
        <w:rPr>
          <w:vertAlign w:val="baseline"/>
        </w:rPr>
        <w:t>than</w:t>
      </w:r>
      <w:r>
        <w:rPr>
          <w:spacing w:val="-5"/>
          <w:vertAlign w:val="baseline"/>
        </w:rPr>
        <w:t> </w:t>
      </w:r>
      <w:r>
        <w:rPr>
          <w:vertAlign w:val="baseline"/>
        </w:rPr>
        <w:t>only</w:t>
      </w:r>
      <w:r>
        <w:rPr>
          <w:spacing w:val="-5"/>
          <w:vertAlign w:val="baseline"/>
        </w:rPr>
        <w:t> </w:t>
      </w:r>
      <w:r>
        <w:rPr>
          <w:vertAlign w:val="baseline"/>
        </w:rPr>
        <w:t>the</w:t>
      </w:r>
      <w:r>
        <w:rPr>
          <w:spacing w:val="-3"/>
          <w:vertAlign w:val="baseline"/>
        </w:rPr>
        <w:t> </w:t>
      </w:r>
      <w:r>
        <w:rPr>
          <w:vertAlign w:val="baseline"/>
        </w:rPr>
        <w:t>remaining confingent county of Ontario (79.6)</w:t>
      </w:r>
      <w:r>
        <w:rPr>
          <w:vertAlign w:val="superscript"/>
        </w:rPr>
        <w:t>33.</w:t>
      </w:r>
      <w:r>
        <w:rPr>
          <w:vertAlign w:val="baseline"/>
        </w:rPr>
        <w:t> Life expectancy in Yates County has remained relafively stable since 2018.</w:t>
      </w:r>
    </w:p>
    <w:p>
      <w:pPr>
        <w:pStyle w:val="BodyText"/>
        <w:spacing w:line="259" w:lineRule="auto" w:before="158"/>
        <w:ind w:right="1588"/>
      </w:pPr>
      <w:r>
        <w:rPr/>
        <w:t>Per NYSDOH 2025 data, the leading causes of death in Yates County are cancer, heart disease, and unintenfional injury, respecfively. The leading causes of cancer in the county include prostate, female breast, and lung cancers. At the state level, the leading causes of death are heart disease, cancer and COVID-19. The leading causes of premature death (before age 75) in Yates County are cancer, heart disease,</w:t>
      </w:r>
      <w:r>
        <w:rPr>
          <w:spacing w:val="-6"/>
        </w:rPr>
        <w:t> </w:t>
      </w:r>
      <w:r>
        <w:rPr/>
        <w:t>and</w:t>
      </w:r>
      <w:r>
        <w:rPr>
          <w:spacing w:val="-7"/>
        </w:rPr>
        <w:t> </w:t>
      </w:r>
      <w:r>
        <w:rPr/>
        <w:t>unintenfional</w:t>
      </w:r>
      <w:r>
        <w:rPr>
          <w:spacing w:val="-6"/>
        </w:rPr>
        <w:t> </w:t>
      </w:r>
      <w:r>
        <w:rPr/>
        <w:t>injury,</w:t>
      </w:r>
      <w:r>
        <w:rPr>
          <w:spacing w:val="-5"/>
        </w:rPr>
        <w:t> </w:t>
      </w:r>
      <w:r>
        <w:rPr/>
        <w:t>reﬂecfing</w:t>
      </w:r>
      <w:r>
        <w:rPr>
          <w:spacing w:val="-6"/>
        </w:rPr>
        <w:t> </w:t>
      </w:r>
      <w:r>
        <w:rPr/>
        <w:t>state</w:t>
      </w:r>
      <w:r>
        <w:rPr>
          <w:spacing w:val="-7"/>
        </w:rPr>
        <w:t> </w:t>
      </w:r>
      <w:r>
        <w:rPr/>
        <w:t>trends.</w:t>
      </w:r>
      <w:r>
        <w:rPr>
          <w:spacing w:val="-7"/>
        </w:rPr>
        <w:t> </w:t>
      </w:r>
      <w:r>
        <w:rPr/>
        <w:t>The</w:t>
      </w:r>
      <w:r>
        <w:rPr>
          <w:spacing w:val="-5"/>
        </w:rPr>
        <w:t> </w:t>
      </w:r>
      <w:r>
        <w:rPr/>
        <w:t>death</w:t>
      </w:r>
      <w:r>
        <w:rPr>
          <w:spacing w:val="-7"/>
        </w:rPr>
        <w:t> </w:t>
      </w:r>
      <w:r>
        <w:rPr/>
        <w:t>rates</w:t>
      </w:r>
      <w:r>
        <w:rPr>
          <w:spacing w:val="-7"/>
        </w:rPr>
        <w:t> </w:t>
      </w:r>
      <w:r>
        <w:rPr/>
        <w:t>for</w:t>
      </w:r>
      <w:r>
        <w:rPr>
          <w:spacing w:val="-8"/>
        </w:rPr>
        <w:t> </w:t>
      </w:r>
      <w:r>
        <w:rPr/>
        <w:t>each</w:t>
      </w:r>
      <w:r>
        <w:rPr>
          <w:spacing w:val="-8"/>
        </w:rPr>
        <w:t> </w:t>
      </w:r>
      <w:r>
        <w:rPr/>
        <w:t>indicator</w:t>
      </w:r>
      <w:r>
        <w:rPr>
          <w:spacing w:val="-6"/>
        </w:rPr>
        <w:t> </w:t>
      </w:r>
      <w:r>
        <w:rPr/>
        <w:t>are</w:t>
      </w:r>
      <w:r>
        <w:rPr>
          <w:spacing w:val="-7"/>
        </w:rPr>
        <w:t> </w:t>
      </w:r>
      <w:r>
        <w:rPr/>
        <w:t>noted</w:t>
      </w:r>
      <w:r>
        <w:rPr>
          <w:spacing w:val="-6"/>
        </w:rPr>
        <w:t> </w:t>
      </w:r>
      <w:r>
        <w:rPr/>
        <w:t>in Tables Y1a and Y1b, along with NYS ﬁgures.</w:t>
      </w:r>
    </w:p>
    <w:p>
      <w:pPr>
        <w:pStyle w:val="BodyText"/>
        <w:spacing w:line="259" w:lineRule="auto" w:before="158"/>
        <w:ind w:right="1436"/>
      </w:pPr>
      <w:r>
        <w:rPr/>
        <w:t>The total deaths per 100,000 Yates County residents exceed state rates for both overall death (839.3 vs 679.6</w:t>
      </w:r>
      <w:r>
        <w:rPr>
          <w:spacing w:val="-2"/>
        </w:rPr>
        <w:t> </w:t>
      </w:r>
      <w:r>
        <w:rPr/>
        <w:t>per</w:t>
      </w:r>
      <w:r>
        <w:rPr>
          <w:spacing w:val="-3"/>
        </w:rPr>
        <w:t> </w:t>
      </w:r>
      <w:r>
        <w:rPr/>
        <w:t>100,000)</w:t>
      </w:r>
      <w:r>
        <w:rPr>
          <w:spacing w:val="-5"/>
        </w:rPr>
        <w:t> </w:t>
      </w:r>
      <w:r>
        <w:rPr/>
        <w:t>and</w:t>
      </w:r>
      <w:r>
        <w:rPr>
          <w:spacing w:val="-4"/>
        </w:rPr>
        <w:t> </w:t>
      </w:r>
      <w:r>
        <w:rPr/>
        <w:t>premature</w:t>
      </w:r>
      <w:r>
        <w:rPr>
          <w:spacing w:val="-4"/>
        </w:rPr>
        <w:t> </w:t>
      </w:r>
      <w:r>
        <w:rPr/>
        <w:t>death</w:t>
      </w:r>
      <w:r>
        <w:rPr>
          <w:spacing w:val="-6"/>
        </w:rPr>
        <w:t> </w:t>
      </w:r>
      <w:r>
        <w:rPr/>
        <w:t>(334.4</w:t>
      </w:r>
      <w:r>
        <w:rPr>
          <w:spacing w:val="-4"/>
        </w:rPr>
        <w:t> </w:t>
      </w:r>
      <w:r>
        <w:rPr/>
        <w:t>vs</w:t>
      </w:r>
      <w:r>
        <w:rPr>
          <w:spacing w:val="-5"/>
        </w:rPr>
        <w:t> </w:t>
      </w:r>
      <w:r>
        <w:rPr/>
        <w:t>309.3</w:t>
      </w:r>
      <w:r>
        <w:rPr>
          <w:spacing w:val="-2"/>
        </w:rPr>
        <w:t> </w:t>
      </w:r>
      <w:r>
        <w:rPr/>
        <w:t>per</w:t>
      </w:r>
      <w:r>
        <w:rPr>
          <w:spacing w:val="-5"/>
        </w:rPr>
        <w:t> </w:t>
      </w:r>
      <w:r>
        <w:rPr/>
        <w:t>100,000).</w:t>
      </w:r>
      <w:r>
        <w:rPr>
          <w:spacing w:val="-3"/>
        </w:rPr>
        <w:t> </w:t>
      </w:r>
      <w:r>
        <w:rPr/>
        <w:t>This</w:t>
      </w:r>
      <w:r>
        <w:rPr>
          <w:spacing w:val="-3"/>
        </w:rPr>
        <w:t> </w:t>
      </w:r>
      <w:r>
        <w:rPr/>
        <w:t>is</w:t>
      </w:r>
      <w:r>
        <w:rPr>
          <w:spacing w:val="-3"/>
        </w:rPr>
        <w:t> </w:t>
      </w:r>
      <w:r>
        <w:rPr/>
        <w:t>largely</w:t>
      </w:r>
      <w:r>
        <w:rPr>
          <w:spacing w:val="-2"/>
        </w:rPr>
        <w:t> </w:t>
      </w:r>
      <w:r>
        <w:rPr/>
        <w:t>due</w:t>
      </w:r>
      <w:r>
        <w:rPr>
          <w:spacing w:val="-4"/>
        </w:rPr>
        <w:t> </w:t>
      </w:r>
      <w:r>
        <w:rPr/>
        <w:t>to</w:t>
      </w:r>
      <w:r>
        <w:rPr>
          <w:spacing w:val="-4"/>
        </w:rPr>
        <w:t> </w:t>
      </w:r>
      <w:r>
        <w:rPr/>
        <w:t>a</w:t>
      </w:r>
      <w:r>
        <w:rPr>
          <w:spacing w:val="-3"/>
        </w:rPr>
        <w:t> </w:t>
      </w:r>
      <w:r>
        <w:rPr/>
        <w:t>substanfial increase in unintenfional injury deaths. At the state level, unintenfional injury accounts for 50.6 per 100,000 deaths and is the fourth leading cause of death. In Yates County, this rises to 86.8 per 100,000 and is the third leading cause of death. Rates of premature death due to unintenfional injury show a</w:t>
      </w:r>
    </w:p>
    <w:p>
      <w:pPr>
        <w:pStyle w:val="BodyText"/>
        <w:ind w:left="0"/>
        <w:rPr>
          <w:sz w:val="20"/>
        </w:rPr>
      </w:pPr>
    </w:p>
    <w:p>
      <w:pPr>
        <w:pStyle w:val="BodyText"/>
        <w:spacing w:before="71"/>
        <w:ind w:left="0"/>
        <w:rPr>
          <w:sz w:val="20"/>
        </w:rPr>
      </w:pPr>
      <w:r>
        <w:rPr>
          <w:sz w:val="20"/>
        </w:rPr>
        <mc:AlternateContent>
          <mc:Choice Requires="wps">
            <w:drawing>
              <wp:anchor distT="0" distB="0" distL="0" distR="0" allowOverlap="1" layoutInCell="1" locked="0" behindDoc="1" simplePos="0" relativeHeight="487594496">
                <wp:simplePos x="0" y="0"/>
                <wp:positionH relativeFrom="page">
                  <wp:posOffset>914400</wp:posOffset>
                </wp:positionH>
                <wp:positionV relativeFrom="paragraph">
                  <wp:posOffset>215609</wp:posOffset>
                </wp:positionV>
                <wp:extent cx="1828800" cy="9525"/>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97711pt;width:144pt;height:.71pt;mso-position-horizontal-relative:page;mso-position-vertical-relative:paragraph;z-index:-15721984;mso-wrap-distance-left:0;mso-wrap-distance-right:0" id="docshape28" filled="true" fillcolor="#000000" stroked="false">
                <v:fill type="solid"/>
                <w10:wrap type="topAndBottom"/>
              </v:rect>
            </w:pict>
          </mc:Fallback>
        </mc:AlternateContent>
      </w:r>
    </w:p>
    <w:p>
      <w:pPr>
        <w:spacing w:before="102"/>
        <w:ind w:left="1440" w:right="0" w:firstLine="0"/>
        <w:jc w:val="left"/>
        <w:rPr>
          <w:sz w:val="20"/>
        </w:rPr>
      </w:pPr>
      <w:bookmarkStart w:name="_bookmark2" w:id="2"/>
      <w:bookmarkEnd w:id="2"/>
      <w:r>
        <w:rPr/>
      </w:r>
      <w:r>
        <w:rPr>
          <w:sz w:val="20"/>
          <w:vertAlign w:val="superscript"/>
        </w:rPr>
        <w:t>32</w:t>
      </w:r>
      <w:r>
        <w:rPr>
          <w:spacing w:val="-9"/>
          <w:sz w:val="20"/>
          <w:vertAlign w:val="baseline"/>
        </w:rPr>
        <w:t> </w:t>
      </w:r>
      <w:bookmarkStart w:name="_bookmark1" w:id="3"/>
      <w:bookmarkEnd w:id="3"/>
      <w:r>
        <w:rPr>
          <w:spacing w:val="-1"/>
          <w:sz w:val="20"/>
          <w:vertAlign w:val="baseline"/>
        </w:rPr>
      </w:r>
      <w:bookmarkStart w:name="_bookmark3" w:id="4"/>
      <w:bookmarkEnd w:id="4"/>
      <w:r>
        <w:rPr>
          <w:sz w:val="20"/>
          <w:vertAlign w:val="baseline"/>
        </w:rPr>
        <w:t>S</w:t>
      </w:r>
      <w:r>
        <w:rPr>
          <w:sz w:val="20"/>
          <w:vertAlign w:val="baseline"/>
        </w:rPr>
        <w:t>ource:</w:t>
      </w:r>
      <w:r>
        <w:rPr>
          <w:spacing w:val="-8"/>
          <w:sz w:val="20"/>
          <w:vertAlign w:val="baseline"/>
        </w:rPr>
        <w:t> </w:t>
      </w:r>
      <w:r>
        <w:rPr>
          <w:sz w:val="20"/>
          <w:vertAlign w:val="baseline"/>
        </w:rPr>
        <w:t>U.S.</w:t>
      </w:r>
      <w:r>
        <w:rPr>
          <w:spacing w:val="-7"/>
          <w:sz w:val="20"/>
          <w:vertAlign w:val="baseline"/>
        </w:rPr>
        <w:t> </w:t>
      </w:r>
      <w:r>
        <w:rPr>
          <w:sz w:val="20"/>
          <w:vertAlign w:val="baseline"/>
        </w:rPr>
        <w:t>Census,</w:t>
      </w:r>
      <w:r>
        <w:rPr>
          <w:spacing w:val="-7"/>
          <w:sz w:val="20"/>
          <w:vertAlign w:val="baseline"/>
        </w:rPr>
        <w:t> </w:t>
      </w:r>
      <w:r>
        <w:rPr>
          <w:spacing w:val="-4"/>
          <w:sz w:val="20"/>
          <w:vertAlign w:val="baseline"/>
        </w:rPr>
        <w:t>2023</w:t>
      </w:r>
    </w:p>
    <w:p>
      <w:pPr>
        <w:pStyle w:val="BodyText"/>
        <w:spacing w:before="205"/>
        <w:ind w:left="0"/>
        <w:rPr>
          <w:sz w:val="20"/>
        </w:rPr>
      </w:pPr>
    </w:p>
    <w:p>
      <w:pPr>
        <w:spacing w:before="0"/>
        <w:ind w:left="1440" w:right="0" w:firstLine="0"/>
        <w:jc w:val="left"/>
        <w:rPr>
          <w:sz w:val="20"/>
        </w:rPr>
      </w:pPr>
      <w:r>
        <w:rPr>
          <w:sz w:val="20"/>
          <w:vertAlign w:val="superscript"/>
        </w:rPr>
        <w:t>34</w:t>
      </w:r>
      <w:r>
        <w:rPr>
          <w:spacing w:val="-9"/>
          <w:sz w:val="20"/>
          <w:vertAlign w:val="baseline"/>
        </w:rPr>
        <w:t> </w:t>
      </w:r>
      <w:r>
        <w:rPr>
          <w:sz w:val="20"/>
          <w:vertAlign w:val="baseline"/>
        </w:rPr>
        <w:t>Source:</w:t>
      </w:r>
      <w:r>
        <w:rPr>
          <w:spacing w:val="-8"/>
          <w:sz w:val="20"/>
          <w:vertAlign w:val="baseline"/>
        </w:rPr>
        <w:t> </w:t>
      </w:r>
      <w:r>
        <w:rPr>
          <w:sz w:val="20"/>
          <w:vertAlign w:val="baseline"/>
        </w:rPr>
        <w:t>County</w:t>
      </w:r>
      <w:r>
        <w:rPr>
          <w:spacing w:val="-7"/>
          <w:sz w:val="20"/>
          <w:vertAlign w:val="baseline"/>
        </w:rPr>
        <w:t> </w:t>
      </w:r>
      <w:r>
        <w:rPr>
          <w:sz w:val="20"/>
          <w:vertAlign w:val="baseline"/>
        </w:rPr>
        <w:t>Health</w:t>
      </w:r>
      <w:r>
        <w:rPr>
          <w:spacing w:val="-7"/>
          <w:sz w:val="20"/>
          <w:vertAlign w:val="baseline"/>
        </w:rPr>
        <w:t> </w:t>
      </w:r>
      <w:r>
        <w:rPr>
          <w:spacing w:val="-2"/>
          <w:sz w:val="20"/>
          <w:vertAlign w:val="baseline"/>
        </w:rPr>
        <w:t>Rankings</w:t>
      </w:r>
    </w:p>
    <w:p>
      <w:pPr>
        <w:spacing w:after="0"/>
        <w:jc w:val="left"/>
        <w:rPr>
          <w:sz w:val="20"/>
        </w:rPr>
        <w:sectPr>
          <w:pgSz w:w="12240" w:h="15840"/>
          <w:pgMar w:header="161" w:footer="1223" w:top="1360" w:bottom="1420" w:left="0" w:right="0"/>
        </w:sectPr>
      </w:pPr>
    </w:p>
    <w:p>
      <w:pPr>
        <w:pStyle w:val="BodyText"/>
        <w:spacing w:before="64"/>
      </w:pPr>
      <w:r>
        <w:rPr/>
        <w:t>similar</w:t>
      </w:r>
      <w:r>
        <w:rPr>
          <w:spacing w:val="-8"/>
        </w:rPr>
        <w:t> </w:t>
      </w:r>
      <w:r>
        <w:rPr/>
        <w:t>trend.</w:t>
      </w:r>
      <w:r>
        <w:rPr>
          <w:spacing w:val="-8"/>
        </w:rPr>
        <w:t> </w:t>
      </w:r>
      <w:r>
        <w:rPr/>
        <w:t>Statewide,</w:t>
      </w:r>
      <w:r>
        <w:rPr>
          <w:spacing w:val="-7"/>
        </w:rPr>
        <w:t> </w:t>
      </w:r>
      <w:r>
        <w:rPr/>
        <w:t>unintenfional</w:t>
      </w:r>
      <w:r>
        <w:rPr>
          <w:spacing w:val="-7"/>
        </w:rPr>
        <w:t> </w:t>
      </w:r>
      <w:r>
        <w:rPr/>
        <w:t>injury</w:t>
      </w:r>
      <w:r>
        <w:rPr>
          <w:spacing w:val="-6"/>
        </w:rPr>
        <w:t> </w:t>
      </w:r>
      <w:r>
        <w:rPr/>
        <w:t>accounts</w:t>
      </w:r>
      <w:r>
        <w:rPr>
          <w:spacing w:val="-7"/>
        </w:rPr>
        <w:t> </w:t>
      </w:r>
      <w:r>
        <w:rPr/>
        <w:t>for</w:t>
      </w:r>
      <w:r>
        <w:rPr>
          <w:spacing w:val="-10"/>
        </w:rPr>
        <w:t> </w:t>
      </w:r>
      <w:r>
        <w:rPr/>
        <w:t>44.8</w:t>
      </w:r>
      <w:r>
        <w:rPr>
          <w:spacing w:val="-6"/>
        </w:rPr>
        <w:t> </w:t>
      </w:r>
      <w:r>
        <w:rPr/>
        <w:t>premature</w:t>
      </w:r>
      <w:r>
        <w:rPr>
          <w:spacing w:val="-6"/>
        </w:rPr>
        <w:t> </w:t>
      </w:r>
      <w:r>
        <w:rPr/>
        <w:t>deaths</w:t>
      </w:r>
      <w:r>
        <w:rPr>
          <w:spacing w:val="-7"/>
        </w:rPr>
        <w:t> </w:t>
      </w:r>
      <w:r>
        <w:rPr/>
        <w:t>per</w:t>
      </w:r>
      <w:r>
        <w:rPr>
          <w:spacing w:val="-8"/>
        </w:rPr>
        <w:t> </w:t>
      </w:r>
      <w:r>
        <w:rPr/>
        <w:t>100,000</w:t>
      </w:r>
      <w:r>
        <w:rPr>
          <w:spacing w:val="-8"/>
        </w:rPr>
        <w:t> </w:t>
      </w:r>
      <w:r>
        <w:rPr/>
        <w:t>while</w:t>
      </w:r>
      <w:r>
        <w:rPr>
          <w:spacing w:val="-6"/>
        </w:rPr>
        <w:t> </w:t>
      </w:r>
      <w:r>
        <w:rPr>
          <w:spacing w:val="-5"/>
        </w:rPr>
        <w:t>in</w:t>
      </w:r>
    </w:p>
    <w:p>
      <w:pPr>
        <w:pStyle w:val="BodyText"/>
        <w:spacing w:before="22"/>
      </w:pPr>
      <w:r>
        <w:rPr/>
        <w:t>Yates</w:t>
      </w:r>
      <w:r>
        <w:rPr>
          <w:spacing w:val="-6"/>
        </w:rPr>
        <w:t> </w:t>
      </w:r>
      <w:r>
        <w:rPr/>
        <w:t>County</w:t>
      </w:r>
      <w:r>
        <w:rPr>
          <w:spacing w:val="-7"/>
        </w:rPr>
        <w:t> </w:t>
      </w:r>
      <w:r>
        <w:rPr/>
        <w:t>this</w:t>
      </w:r>
      <w:r>
        <w:rPr>
          <w:spacing w:val="-8"/>
        </w:rPr>
        <w:t> </w:t>
      </w:r>
      <w:r>
        <w:rPr/>
        <w:t>ﬁgure</w:t>
      </w:r>
      <w:r>
        <w:rPr>
          <w:spacing w:val="-4"/>
        </w:rPr>
        <w:t> </w:t>
      </w:r>
      <w:r>
        <w:rPr/>
        <w:t>jumps</w:t>
      </w:r>
      <w:r>
        <w:rPr>
          <w:spacing w:val="-8"/>
        </w:rPr>
        <w:t> </w:t>
      </w:r>
      <w:r>
        <w:rPr/>
        <w:t>to</w:t>
      </w:r>
      <w:r>
        <w:rPr>
          <w:spacing w:val="-7"/>
        </w:rPr>
        <w:t> </w:t>
      </w:r>
      <w:r>
        <w:rPr/>
        <w:t>70.4</w:t>
      </w:r>
      <w:r>
        <w:rPr>
          <w:spacing w:val="-5"/>
        </w:rPr>
        <w:t> </w:t>
      </w:r>
      <w:r>
        <w:rPr/>
        <w:t>per</w:t>
      </w:r>
      <w:r>
        <w:rPr>
          <w:spacing w:val="-5"/>
        </w:rPr>
        <w:t> </w:t>
      </w:r>
      <w:r>
        <w:rPr>
          <w:spacing w:val="-2"/>
        </w:rPr>
        <w:t>100,000.</w:t>
      </w:r>
    </w:p>
    <w:p>
      <w:pPr>
        <w:spacing w:before="180"/>
        <w:ind w:left="1440" w:right="0" w:firstLine="0"/>
        <w:jc w:val="left"/>
        <w:rPr>
          <w:i/>
          <w:sz w:val="18"/>
        </w:rPr>
      </w:pPr>
      <w:r>
        <w:rPr>
          <w:i/>
          <w:sz w:val="18"/>
        </w:rPr>
        <w:t>Table</w:t>
      </w:r>
      <w:r>
        <w:rPr>
          <w:i/>
          <w:spacing w:val="-4"/>
          <w:sz w:val="18"/>
        </w:rPr>
        <w:t> </w:t>
      </w:r>
      <w:r>
        <w:rPr>
          <w:i/>
          <w:sz w:val="18"/>
        </w:rPr>
        <w:t>Y1a:</w:t>
      </w:r>
      <w:r>
        <w:rPr>
          <w:i/>
          <w:spacing w:val="-5"/>
          <w:sz w:val="18"/>
        </w:rPr>
        <w:t> </w:t>
      </w:r>
      <w:r>
        <w:rPr>
          <w:i/>
          <w:sz w:val="18"/>
        </w:rPr>
        <w:t>Causes</w:t>
      </w:r>
      <w:r>
        <w:rPr>
          <w:i/>
          <w:spacing w:val="-4"/>
          <w:sz w:val="18"/>
        </w:rPr>
        <w:t> </w:t>
      </w:r>
      <w:r>
        <w:rPr>
          <w:i/>
          <w:sz w:val="18"/>
        </w:rPr>
        <w:t>of</w:t>
      </w:r>
      <w:r>
        <w:rPr>
          <w:i/>
          <w:spacing w:val="-4"/>
          <w:sz w:val="18"/>
        </w:rPr>
        <w:t> </w:t>
      </w:r>
      <w:r>
        <w:rPr>
          <w:i/>
          <w:sz w:val="18"/>
        </w:rPr>
        <w:t>Death</w:t>
      </w:r>
      <w:r>
        <w:rPr>
          <w:i/>
          <w:spacing w:val="-4"/>
          <w:sz w:val="18"/>
        </w:rPr>
        <w:t> </w:t>
      </w:r>
      <w:r>
        <w:rPr>
          <w:i/>
          <w:sz w:val="18"/>
        </w:rPr>
        <w:t>(measured</w:t>
      </w:r>
      <w:r>
        <w:rPr>
          <w:i/>
          <w:spacing w:val="-5"/>
          <w:sz w:val="18"/>
        </w:rPr>
        <w:t> </w:t>
      </w:r>
      <w:r>
        <w:rPr>
          <w:i/>
          <w:sz w:val="18"/>
        </w:rPr>
        <w:t>per</w:t>
      </w:r>
      <w:r>
        <w:rPr>
          <w:i/>
          <w:spacing w:val="-4"/>
          <w:sz w:val="18"/>
        </w:rPr>
        <w:t> </w:t>
      </w:r>
      <w:r>
        <w:rPr>
          <w:i/>
          <w:sz w:val="18"/>
        </w:rPr>
        <w:t>100,000</w:t>
      </w:r>
      <w:r>
        <w:rPr>
          <w:i/>
          <w:spacing w:val="-3"/>
          <w:sz w:val="18"/>
        </w:rPr>
        <w:t> </w:t>
      </w:r>
      <w:r>
        <w:rPr>
          <w:i/>
          <w:spacing w:val="-2"/>
          <w:sz w:val="18"/>
        </w:rPr>
        <w:t>populafion)</w:t>
      </w:r>
    </w:p>
    <w:p>
      <w:pPr>
        <w:pStyle w:val="BodyText"/>
        <w:spacing w:before="8"/>
        <w:ind w:left="0"/>
        <w:rPr>
          <w:i/>
          <w:sz w:val="14"/>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6"/>
        <w:gridCol w:w="3328"/>
        <w:gridCol w:w="4051"/>
      </w:tblGrid>
      <w:tr>
        <w:trPr>
          <w:trHeight w:val="537" w:hRule="atLeast"/>
        </w:trPr>
        <w:tc>
          <w:tcPr>
            <w:tcW w:w="2606" w:type="dxa"/>
            <w:shd w:val="clear" w:color="auto" w:fill="145F82"/>
          </w:tcPr>
          <w:p>
            <w:pPr>
              <w:pStyle w:val="TableParagraph"/>
              <w:spacing w:line="240" w:lineRule="auto" w:before="133"/>
              <w:ind w:left="9" w:right="2"/>
              <w:jc w:val="center"/>
              <w:rPr>
                <w:b/>
                <w:sz w:val="22"/>
              </w:rPr>
            </w:pPr>
            <w:r>
              <w:rPr>
                <w:b/>
                <w:color w:val="FFFFFF"/>
                <w:sz w:val="22"/>
              </w:rPr>
              <w:t>Cause</w:t>
            </w:r>
            <w:r>
              <w:rPr>
                <w:b/>
                <w:color w:val="FFFFFF"/>
                <w:spacing w:val="-2"/>
                <w:sz w:val="22"/>
              </w:rPr>
              <w:t> </w:t>
            </w:r>
            <w:r>
              <w:rPr>
                <w:b/>
                <w:color w:val="FFFFFF"/>
                <w:sz w:val="22"/>
              </w:rPr>
              <w:t>of</w:t>
            </w:r>
            <w:r>
              <w:rPr>
                <w:b/>
                <w:color w:val="FFFFFF"/>
                <w:spacing w:val="-2"/>
                <w:sz w:val="22"/>
              </w:rPr>
              <w:t> Death</w:t>
            </w:r>
          </w:p>
        </w:tc>
        <w:tc>
          <w:tcPr>
            <w:tcW w:w="3328" w:type="dxa"/>
            <w:shd w:val="clear" w:color="auto" w:fill="145F82"/>
          </w:tcPr>
          <w:p>
            <w:pPr>
              <w:pStyle w:val="TableParagraph"/>
              <w:ind w:left="7" w:right="2"/>
              <w:jc w:val="center"/>
              <w:rPr>
                <w:b/>
                <w:sz w:val="22"/>
              </w:rPr>
            </w:pPr>
            <w:r>
              <w:rPr>
                <w:b/>
                <w:color w:val="FFFFFF"/>
                <w:sz w:val="22"/>
              </w:rPr>
              <w:t>All</w:t>
            </w:r>
            <w:r>
              <w:rPr>
                <w:b/>
                <w:color w:val="FFFFFF"/>
                <w:spacing w:val="-8"/>
                <w:sz w:val="22"/>
              </w:rPr>
              <w:t> </w:t>
            </w:r>
            <w:r>
              <w:rPr>
                <w:b/>
                <w:color w:val="FFFFFF"/>
                <w:sz w:val="22"/>
              </w:rPr>
              <w:t>Ages,</w:t>
            </w:r>
            <w:r>
              <w:rPr>
                <w:b/>
                <w:color w:val="FFFFFF"/>
                <w:spacing w:val="-7"/>
                <w:sz w:val="22"/>
              </w:rPr>
              <w:t> </w:t>
            </w:r>
            <w:r>
              <w:rPr>
                <w:b/>
                <w:color w:val="FFFFFF"/>
                <w:sz w:val="22"/>
              </w:rPr>
              <w:t>Age-Sex</w:t>
            </w:r>
            <w:r>
              <w:rPr>
                <w:b/>
                <w:color w:val="FFFFFF"/>
                <w:spacing w:val="-7"/>
                <w:sz w:val="22"/>
              </w:rPr>
              <w:t> </w:t>
            </w:r>
            <w:r>
              <w:rPr>
                <w:b/>
                <w:color w:val="FFFFFF"/>
                <w:sz w:val="22"/>
              </w:rPr>
              <w:t>Adjusted</w:t>
            </w:r>
            <w:r>
              <w:rPr>
                <w:b/>
                <w:color w:val="FFFFFF"/>
                <w:spacing w:val="-8"/>
                <w:sz w:val="22"/>
              </w:rPr>
              <w:t> </w:t>
            </w:r>
            <w:r>
              <w:rPr>
                <w:b/>
                <w:color w:val="FFFFFF"/>
                <w:spacing w:val="-4"/>
                <w:sz w:val="22"/>
              </w:rPr>
              <w:t>Yates</w:t>
            </w:r>
          </w:p>
          <w:p>
            <w:pPr>
              <w:pStyle w:val="TableParagraph"/>
              <w:spacing w:line="249" w:lineRule="exact"/>
              <w:ind w:left="7" w:right="2"/>
              <w:jc w:val="center"/>
              <w:rPr>
                <w:b/>
                <w:sz w:val="22"/>
              </w:rPr>
            </w:pPr>
            <w:r>
              <w:rPr>
                <w:b/>
                <w:color w:val="FFFFFF"/>
                <w:spacing w:val="-2"/>
                <w:sz w:val="22"/>
              </w:rPr>
              <w:t>County</w:t>
            </w:r>
          </w:p>
        </w:tc>
        <w:tc>
          <w:tcPr>
            <w:tcW w:w="4051" w:type="dxa"/>
            <w:shd w:val="clear" w:color="auto" w:fill="145F82"/>
          </w:tcPr>
          <w:p>
            <w:pPr>
              <w:pStyle w:val="TableParagraph"/>
              <w:spacing w:line="240" w:lineRule="auto" w:before="133"/>
              <w:ind w:left="11" w:right="3"/>
              <w:jc w:val="center"/>
              <w:rPr>
                <w:b/>
                <w:sz w:val="22"/>
              </w:rPr>
            </w:pPr>
            <w:r>
              <w:rPr>
                <w:b/>
                <w:color w:val="FFFFFF"/>
                <w:sz w:val="22"/>
              </w:rPr>
              <w:t>All</w:t>
            </w:r>
            <w:r>
              <w:rPr>
                <w:b/>
                <w:color w:val="FFFFFF"/>
                <w:spacing w:val="-6"/>
                <w:sz w:val="22"/>
              </w:rPr>
              <w:t> </w:t>
            </w:r>
            <w:r>
              <w:rPr>
                <w:b/>
                <w:color w:val="FFFFFF"/>
                <w:sz w:val="22"/>
              </w:rPr>
              <w:t>Ages</w:t>
            </w:r>
            <w:r>
              <w:rPr>
                <w:b/>
                <w:color w:val="FFFFFF"/>
                <w:spacing w:val="-6"/>
                <w:sz w:val="22"/>
              </w:rPr>
              <w:t> </w:t>
            </w:r>
            <w:r>
              <w:rPr>
                <w:b/>
                <w:color w:val="FFFFFF"/>
                <w:sz w:val="22"/>
              </w:rPr>
              <w:t>–</w:t>
            </w:r>
            <w:r>
              <w:rPr>
                <w:b/>
                <w:color w:val="FFFFFF"/>
                <w:spacing w:val="-3"/>
                <w:sz w:val="22"/>
              </w:rPr>
              <w:t> </w:t>
            </w:r>
            <w:r>
              <w:rPr>
                <w:b/>
                <w:color w:val="FFFFFF"/>
                <w:sz w:val="22"/>
              </w:rPr>
              <w:t>NYS</w:t>
            </w:r>
            <w:r>
              <w:rPr>
                <w:b/>
                <w:color w:val="FFFFFF"/>
                <w:spacing w:val="-6"/>
                <w:sz w:val="22"/>
              </w:rPr>
              <w:t> </w:t>
            </w:r>
            <w:r>
              <w:rPr>
                <w:b/>
                <w:color w:val="FFFFFF"/>
                <w:sz w:val="22"/>
              </w:rPr>
              <w:t>excluding</w:t>
            </w:r>
            <w:r>
              <w:rPr>
                <w:b/>
                <w:color w:val="FFFFFF"/>
                <w:spacing w:val="-5"/>
                <w:sz w:val="22"/>
              </w:rPr>
              <w:t> NYC</w:t>
            </w:r>
          </w:p>
        </w:tc>
      </w:tr>
      <w:tr>
        <w:trPr>
          <w:trHeight w:val="299" w:hRule="atLeast"/>
        </w:trPr>
        <w:tc>
          <w:tcPr>
            <w:tcW w:w="2606" w:type="dxa"/>
          </w:tcPr>
          <w:p>
            <w:pPr>
              <w:pStyle w:val="TableParagraph"/>
              <w:spacing w:line="266" w:lineRule="exact" w:before="13"/>
              <w:ind w:left="9"/>
              <w:jc w:val="center"/>
              <w:rPr>
                <w:sz w:val="22"/>
              </w:rPr>
            </w:pPr>
            <w:r>
              <w:rPr>
                <w:spacing w:val="-2"/>
                <w:sz w:val="22"/>
              </w:rPr>
              <w:t>Cancer</w:t>
            </w:r>
          </w:p>
        </w:tc>
        <w:tc>
          <w:tcPr>
            <w:tcW w:w="3328" w:type="dxa"/>
          </w:tcPr>
          <w:p>
            <w:pPr>
              <w:pStyle w:val="TableParagraph"/>
              <w:spacing w:line="266" w:lineRule="exact" w:before="13"/>
              <w:ind w:left="7"/>
              <w:jc w:val="center"/>
              <w:rPr>
                <w:sz w:val="22"/>
              </w:rPr>
            </w:pPr>
            <w:r>
              <w:rPr>
                <w:spacing w:val="-2"/>
                <w:sz w:val="22"/>
              </w:rPr>
              <w:t>142.6</w:t>
            </w:r>
          </w:p>
        </w:tc>
        <w:tc>
          <w:tcPr>
            <w:tcW w:w="4051" w:type="dxa"/>
          </w:tcPr>
          <w:p>
            <w:pPr>
              <w:pStyle w:val="TableParagraph"/>
              <w:spacing w:line="266" w:lineRule="exact" w:before="13"/>
              <w:ind w:left="11"/>
              <w:jc w:val="center"/>
              <w:rPr>
                <w:sz w:val="22"/>
              </w:rPr>
            </w:pPr>
            <w:r>
              <w:rPr>
                <w:spacing w:val="-2"/>
                <w:sz w:val="22"/>
              </w:rPr>
              <w:t>129.23</w:t>
            </w:r>
          </w:p>
        </w:tc>
      </w:tr>
      <w:tr>
        <w:trPr>
          <w:trHeight w:val="299" w:hRule="atLeast"/>
        </w:trPr>
        <w:tc>
          <w:tcPr>
            <w:tcW w:w="2606" w:type="dxa"/>
          </w:tcPr>
          <w:p>
            <w:pPr>
              <w:pStyle w:val="TableParagraph"/>
              <w:spacing w:line="266" w:lineRule="exact" w:before="13"/>
              <w:ind w:left="9" w:right="3"/>
              <w:jc w:val="center"/>
              <w:rPr>
                <w:sz w:val="22"/>
              </w:rPr>
            </w:pPr>
            <w:r>
              <w:rPr>
                <w:sz w:val="22"/>
              </w:rPr>
              <w:t>Heart</w:t>
            </w:r>
            <w:r>
              <w:rPr>
                <w:spacing w:val="-4"/>
                <w:sz w:val="22"/>
              </w:rPr>
              <w:t> </w:t>
            </w:r>
            <w:r>
              <w:rPr>
                <w:spacing w:val="-2"/>
                <w:sz w:val="22"/>
              </w:rPr>
              <w:t>Disease</w:t>
            </w:r>
          </w:p>
        </w:tc>
        <w:tc>
          <w:tcPr>
            <w:tcW w:w="3328" w:type="dxa"/>
          </w:tcPr>
          <w:p>
            <w:pPr>
              <w:pStyle w:val="TableParagraph"/>
              <w:spacing w:line="266" w:lineRule="exact" w:before="13"/>
              <w:ind w:left="7"/>
              <w:jc w:val="center"/>
              <w:rPr>
                <w:sz w:val="22"/>
              </w:rPr>
            </w:pPr>
            <w:r>
              <w:rPr>
                <w:spacing w:val="-2"/>
                <w:sz w:val="22"/>
              </w:rPr>
              <w:t>141.1</w:t>
            </w:r>
          </w:p>
        </w:tc>
        <w:tc>
          <w:tcPr>
            <w:tcW w:w="4051" w:type="dxa"/>
          </w:tcPr>
          <w:p>
            <w:pPr>
              <w:pStyle w:val="TableParagraph"/>
              <w:spacing w:line="266" w:lineRule="exact" w:before="13"/>
              <w:ind w:left="11"/>
              <w:jc w:val="center"/>
              <w:rPr>
                <w:sz w:val="22"/>
              </w:rPr>
            </w:pPr>
            <w:r>
              <w:rPr>
                <w:spacing w:val="-2"/>
                <w:sz w:val="22"/>
              </w:rPr>
              <w:t>159.82</w:t>
            </w:r>
          </w:p>
        </w:tc>
      </w:tr>
      <w:tr>
        <w:trPr>
          <w:trHeight w:val="299" w:hRule="atLeast"/>
        </w:trPr>
        <w:tc>
          <w:tcPr>
            <w:tcW w:w="2606" w:type="dxa"/>
          </w:tcPr>
          <w:p>
            <w:pPr>
              <w:pStyle w:val="TableParagraph"/>
              <w:spacing w:line="263" w:lineRule="exact" w:before="16"/>
              <w:ind w:left="9" w:right="3"/>
              <w:jc w:val="center"/>
              <w:rPr>
                <w:sz w:val="22"/>
              </w:rPr>
            </w:pPr>
            <w:r>
              <w:rPr>
                <w:sz w:val="22"/>
              </w:rPr>
              <w:t>Unintenfional</w:t>
            </w:r>
            <w:r>
              <w:rPr>
                <w:spacing w:val="-9"/>
                <w:sz w:val="22"/>
              </w:rPr>
              <w:t> </w:t>
            </w:r>
            <w:r>
              <w:rPr>
                <w:spacing w:val="-2"/>
                <w:sz w:val="22"/>
              </w:rPr>
              <w:t>Injury</w:t>
            </w:r>
          </w:p>
        </w:tc>
        <w:tc>
          <w:tcPr>
            <w:tcW w:w="3328" w:type="dxa"/>
          </w:tcPr>
          <w:p>
            <w:pPr>
              <w:pStyle w:val="TableParagraph"/>
              <w:spacing w:line="263" w:lineRule="exact" w:before="16"/>
              <w:ind w:left="7"/>
              <w:jc w:val="center"/>
              <w:rPr>
                <w:sz w:val="22"/>
              </w:rPr>
            </w:pPr>
            <w:r>
              <w:rPr>
                <w:spacing w:val="-4"/>
                <w:sz w:val="22"/>
              </w:rPr>
              <w:t>86.8</w:t>
            </w:r>
          </w:p>
        </w:tc>
        <w:tc>
          <w:tcPr>
            <w:tcW w:w="4051" w:type="dxa"/>
          </w:tcPr>
          <w:p>
            <w:pPr>
              <w:pStyle w:val="TableParagraph"/>
              <w:spacing w:line="263" w:lineRule="exact" w:before="16"/>
              <w:ind w:left="11"/>
              <w:jc w:val="center"/>
              <w:rPr>
                <w:sz w:val="22"/>
              </w:rPr>
            </w:pPr>
            <w:r>
              <w:rPr>
                <w:spacing w:val="-4"/>
                <w:sz w:val="22"/>
              </w:rPr>
              <w:t>50.6</w:t>
            </w:r>
          </w:p>
        </w:tc>
      </w:tr>
      <w:tr>
        <w:trPr>
          <w:trHeight w:val="299" w:hRule="atLeast"/>
        </w:trPr>
        <w:tc>
          <w:tcPr>
            <w:tcW w:w="2606" w:type="dxa"/>
          </w:tcPr>
          <w:p>
            <w:pPr>
              <w:pStyle w:val="TableParagraph"/>
              <w:spacing w:line="264" w:lineRule="exact" w:before="16"/>
              <w:ind w:left="9"/>
              <w:jc w:val="center"/>
              <w:rPr>
                <w:sz w:val="22"/>
              </w:rPr>
            </w:pPr>
            <w:r>
              <w:rPr>
                <w:sz w:val="22"/>
              </w:rPr>
              <w:t>Death</w:t>
            </w:r>
            <w:r>
              <w:rPr>
                <w:spacing w:val="-7"/>
                <w:sz w:val="22"/>
              </w:rPr>
              <w:t> </w:t>
            </w:r>
            <w:r>
              <w:rPr>
                <w:spacing w:val="-4"/>
                <w:sz w:val="22"/>
              </w:rPr>
              <w:t>Rate</w:t>
            </w:r>
          </w:p>
        </w:tc>
        <w:tc>
          <w:tcPr>
            <w:tcW w:w="3328" w:type="dxa"/>
          </w:tcPr>
          <w:p>
            <w:pPr>
              <w:pStyle w:val="TableParagraph"/>
              <w:spacing w:line="264" w:lineRule="exact" w:before="16"/>
              <w:ind w:left="7"/>
              <w:jc w:val="center"/>
              <w:rPr>
                <w:sz w:val="22"/>
              </w:rPr>
            </w:pPr>
            <w:r>
              <w:rPr>
                <w:spacing w:val="-2"/>
                <w:sz w:val="22"/>
              </w:rPr>
              <w:t>814.47</w:t>
            </w:r>
          </w:p>
        </w:tc>
        <w:tc>
          <w:tcPr>
            <w:tcW w:w="4051" w:type="dxa"/>
          </w:tcPr>
          <w:p>
            <w:pPr>
              <w:pStyle w:val="TableParagraph"/>
              <w:spacing w:line="264" w:lineRule="exact" w:before="16"/>
              <w:ind w:left="11" w:right="1"/>
              <w:jc w:val="center"/>
              <w:rPr>
                <w:sz w:val="22"/>
              </w:rPr>
            </w:pPr>
            <w:r>
              <w:rPr>
                <w:spacing w:val="-2"/>
                <w:sz w:val="22"/>
              </w:rPr>
              <w:t>679.6</w:t>
            </w:r>
          </w:p>
        </w:tc>
      </w:tr>
    </w:tbl>
    <w:p>
      <w:pPr>
        <w:spacing w:before="3"/>
        <w:ind w:left="1440" w:right="1467" w:firstLine="0"/>
        <w:jc w:val="left"/>
        <w:rPr>
          <w:i/>
          <w:sz w:val="20"/>
        </w:rPr>
      </w:pPr>
      <w:r>
        <w:rPr>
          <w:sz w:val="20"/>
        </w:rPr>
        <w:t>Source</w:t>
      </w:r>
      <w:r>
        <w:rPr>
          <w:spacing w:val="-5"/>
          <w:sz w:val="20"/>
        </w:rPr>
        <w:t> </w:t>
      </w:r>
      <w:r>
        <w:rPr>
          <w:sz w:val="20"/>
        </w:rPr>
        <w:t>for</w:t>
      </w:r>
      <w:r>
        <w:rPr>
          <w:spacing w:val="-4"/>
          <w:sz w:val="20"/>
        </w:rPr>
        <w:t> </w:t>
      </w:r>
      <w:r>
        <w:rPr>
          <w:sz w:val="20"/>
        </w:rPr>
        <w:t>Age-Sex</w:t>
      </w:r>
      <w:r>
        <w:rPr>
          <w:spacing w:val="-4"/>
          <w:sz w:val="20"/>
        </w:rPr>
        <w:t> </w:t>
      </w:r>
      <w:r>
        <w:rPr>
          <w:sz w:val="20"/>
        </w:rPr>
        <w:t>Adjusted</w:t>
      </w:r>
      <w:r>
        <w:rPr>
          <w:spacing w:val="-3"/>
          <w:sz w:val="20"/>
        </w:rPr>
        <w:t> </w:t>
      </w:r>
      <w:r>
        <w:rPr>
          <w:sz w:val="20"/>
        </w:rPr>
        <w:t>Leading</w:t>
      </w:r>
      <w:r>
        <w:rPr>
          <w:spacing w:val="-4"/>
          <w:sz w:val="20"/>
        </w:rPr>
        <w:t> </w:t>
      </w:r>
      <w:r>
        <w:rPr>
          <w:sz w:val="20"/>
        </w:rPr>
        <w:t>Causes</w:t>
      </w:r>
      <w:r>
        <w:rPr>
          <w:spacing w:val="-5"/>
          <w:sz w:val="20"/>
        </w:rPr>
        <w:t> </w:t>
      </w:r>
      <w:r>
        <w:rPr>
          <w:sz w:val="20"/>
        </w:rPr>
        <w:t>of</w:t>
      </w:r>
      <w:r>
        <w:rPr>
          <w:spacing w:val="-5"/>
          <w:sz w:val="20"/>
        </w:rPr>
        <w:t> </w:t>
      </w:r>
      <w:r>
        <w:rPr>
          <w:sz w:val="20"/>
        </w:rPr>
        <w:t>Death:</w:t>
      </w:r>
      <w:r>
        <w:rPr>
          <w:spacing w:val="-5"/>
          <w:sz w:val="20"/>
        </w:rPr>
        <w:t> </w:t>
      </w:r>
      <w:r>
        <w:rPr>
          <w:sz w:val="20"/>
        </w:rPr>
        <w:t>Source:</w:t>
      </w:r>
      <w:r>
        <w:rPr>
          <w:spacing w:val="-5"/>
          <w:sz w:val="20"/>
        </w:rPr>
        <w:t> </w:t>
      </w:r>
      <w:r>
        <w:rPr>
          <w:sz w:val="20"/>
        </w:rPr>
        <w:t>NYS</w:t>
      </w:r>
      <w:r>
        <w:rPr>
          <w:spacing w:val="-4"/>
          <w:sz w:val="20"/>
        </w:rPr>
        <w:t> </w:t>
      </w:r>
      <w:r>
        <w:rPr>
          <w:sz w:val="20"/>
        </w:rPr>
        <w:t>DOH</w:t>
      </w:r>
      <w:r>
        <w:rPr>
          <w:spacing w:val="-3"/>
          <w:sz w:val="20"/>
        </w:rPr>
        <w:t> </w:t>
      </w:r>
      <w:r>
        <w:rPr>
          <w:sz w:val="20"/>
        </w:rPr>
        <w:t>Vital</w:t>
      </w:r>
      <w:r>
        <w:rPr>
          <w:spacing w:val="-4"/>
          <w:sz w:val="20"/>
        </w:rPr>
        <w:t> </w:t>
      </w:r>
      <w:r>
        <w:rPr>
          <w:sz w:val="20"/>
        </w:rPr>
        <w:t>Stafisfics,</w:t>
      </w:r>
      <w:r>
        <w:rPr>
          <w:spacing w:val="-3"/>
          <w:sz w:val="20"/>
        </w:rPr>
        <w:t> </w:t>
      </w:r>
      <w:r>
        <w:rPr>
          <w:sz w:val="20"/>
        </w:rPr>
        <w:t>2022</w:t>
      </w:r>
      <w:r>
        <w:rPr>
          <w:i/>
          <w:sz w:val="20"/>
        </w:rPr>
        <w:t>.Analysis</w:t>
      </w:r>
      <w:r>
        <w:rPr>
          <w:i/>
          <w:spacing w:val="-5"/>
          <w:sz w:val="20"/>
        </w:rPr>
        <w:t> </w:t>
      </w:r>
      <w:r>
        <w:rPr>
          <w:i/>
          <w:sz w:val="20"/>
        </w:rPr>
        <w:t>by</w:t>
      </w:r>
      <w:r>
        <w:rPr>
          <w:i/>
          <w:spacing w:val="-5"/>
          <w:sz w:val="20"/>
        </w:rPr>
        <w:t> </w:t>
      </w:r>
      <w:r>
        <w:rPr>
          <w:i/>
          <w:sz w:val="20"/>
        </w:rPr>
        <w:t>Common</w:t>
      </w:r>
      <w:r>
        <w:rPr>
          <w:i/>
          <w:sz w:val="20"/>
        </w:rPr>
        <w:t> Ground Health</w:t>
      </w:r>
    </w:p>
    <w:p>
      <w:pPr>
        <w:pStyle w:val="BodyText"/>
        <w:ind w:left="0"/>
        <w:rPr>
          <w:i/>
          <w:sz w:val="20"/>
        </w:rPr>
      </w:pPr>
    </w:p>
    <w:p>
      <w:pPr>
        <w:spacing w:before="0"/>
        <w:ind w:left="1440" w:right="0" w:firstLine="0"/>
        <w:jc w:val="left"/>
        <w:rPr>
          <w:i/>
          <w:sz w:val="18"/>
        </w:rPr>
      </w:pPr>
      <w:r>
        <w:rPr>
          <w:i/>
          <w:sz w:val="18"/>
        </w:rPr>
        <w:t>Table</w:t>
      </w:r>
      <w:r>
        <w:rPr>
          <w:i/>
          <w:spacing w:val="-6"/>
          <w:sz w:val="18"/>
        </w:rPr>
        <w:t> </w:t>
      </w:r>
      <w:r>
        <w:rPr>
          <w:i/>
          <w:sz w:val="18"/>
        </w:rPr>
        <w:t>Y1b:</w:t>
      </w:r>
      <w:r>
        <w:rPr>
          <w:i/>
          <w:spacing w:val="-5"/>
          <w:sz w:val="18"/>
        </w:rPr>
        <w:t> </w:t>
      </w:r>
      <w:r>
        <w:rPr>
          <w:i/>
          <w:sz w:val="18"/>
        </w:rPr>
        <w:t>Premature</w:t>
      </w:r>
      <w:r>
        <w:rPr>
          <w:i/>
          <w:spacing w:val="-3"/>
          <w:sz w:val="18"/>
        </w:rPr>
        <w:t> </w:t>
      </w:r>
      <w:r>
        <w:rPr>
          <w:i/>
          <w:sz w:val="18"/>
        </w:rPr>
        <w:t>Causes</w:t>
      </w:r>
      <w:r>
        <w:rPr>
          <w:i/>
          <w:spacing w:val="-5"/>
          <w:sz w:val="18"/>
        </w:rPr>
        <w:t> </w:t>
      </w:r>
      <w:r>
        <w:rPr>
          <w:i/>
          <w:sz w:val="18"/>
        </w:rPr>
        <w:t>of</w:t>
      </w:r>
      <w:r>
        <w:rPr>
          <w:i/>
          <w:spacing w:val="-3"/>
          <w:sz w:val="18"/>
        </w:rPr>
        <w:t> </w:t>
      </w:r>
      <w:r>
        <w:rPr>
          <w:i/>
          <w:sz w:val="18"/>
        </w:rPr>
        <w:t>Death</w:t>
      </w:r>
      <w:r>
        <w:rPr>
          <w:i/>
          <w:spacing w:val="-3"/>
          <w:sz w:val="18"/>
        </w:rPr>
        <w:t> </w:t>
      </w:r>
      <w:r>
        <w:rPr>
          <w:i/>
          <w:sz w:val="18"/>
        </w:rPr>
        <w:t>(Before</w:t>
      </w:r>
      <w:r>
        <w:rPr>
          <w:i/>
          <w:spacing w:val="-4"/>
          <w:sz w:val="18"/>
        </w:rPr>
        <w:t> </w:t>
      </w:r>
      <w:r>
        <w:rPr>
          <w:i/>
          <w:sz w:val="18"/>
        </w:rPr>
        <w:t>age</w:t>
      </w:r>
      <w:r>
        <w:rPr>
          <w:i/>
          <w:spacing w:val="-3"/>
          <w:sz w:val="18"/>
        </w:rPr>
        <w:t> </w:t>
      </w:r>
      <w:r>
        <w:rPr>
          <w:i/>
          <w:sz w:val="18"/>
        </w:rPr>
        <w:t>75;</w:t>
      </w:r>
      <w:r>
        <w:rPr>
          <w:i/>
          <w:spacing w:val="-5"/>
          <w:sz w:val="18"/>
        </w:rPr>
        <w:t> </w:t>
      </w:r>
      <w:r>
        <w:rPr>
          <w:i/>
          <w:sz w:val="18"/>
        </w:rPr>
        <w:t>measured</w:t>
      </w:r>
      <w:r>
        <w:rPr>
          <w:i/>
          <w:spacing w:val="-5"/>
          <w:sz w:val="18"/>
        </w:rPr>
        <w:t> </w:t>
      </w:r>
      <w:r>
        <w:rPr>
          <w:i/>
          <w:sz w:val="18"/>
        </w:rPr>
        <w:t>per</w:t>
      </w:r>
      <w:r>
        <w:rPr>
          <w:i/>
          <w:spacing w:val="-4"/>
          <w:sz w:val="18"/>
        </w:rPr>
        <w:t> </w:t>
      </w:r>
      <w:r>
        <w:rPr>
          <w:i/>
          <w:sz w:val="18"/>
        </w:rPr>
        <w:t>100,000</w:t>
      </w:r>
      <w:r>
        <w:rPr>
          <w:i/>
          <w:spacing w:val="-4"/>
          <w:sz w:val="18"/>
        </w:rPr>
        <w:t> </w:t>
      </w:r>
      <w:r>
        <w:rPr>
          <w:i/>
          <w:spacing w:val="-2"/>
          <w:sz w:val="18"/>
        </w:rPr>
        <w:t>populafion)</w:t>
      </w:r>
    </w:p>
    <w:p>
      <w:pPr>
        <w:pStyle w:val="BodyText"/>
        <w:spacing w:before="6"/>
        <w:ind w:left="0"/>
        <w:rPr>
          <w:i/>
          <w:sz w:val="14"/>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06"/>
        <w:gridCol w:w="3328"/>
        <w:gridCol w:w="4051"/>
      </w:tblGrid>
      <w:tr>
        <w:trPr>
          <w:trHeight w:val="537" w:hRule="atLeast"/>
        </w:trPr>
        <w:tc>
          <w:tcPr>
            <w:tcW w:w="2606" w:type="dxa"/>
            <w:shd w:val="clear" w:color="auto" w:fill="145F82"/>
          </w:tcPr>
          <w:p>
            <w:pPr>
              <w:pStyle w:val="TableParagraph"/>
              <w:spacing w:line="240" w:lineRule="auto" w:before="133"/>
              <w:ind w:left="9" w:right="2"/>
              <w:jc w:val="center"/>
              <w:rPr>
                <w:b/>
                <w:sz w:val="22"/>
              </w:rPr>
            </w:pPr>
            <w:r>
              <w:rPr>
                <w:b/>
                <w:color w:val="FFFFFF"/>
                <w:sz w:val="22"/>
              </w:rPr>
              <w:t>Cause</w:t>
            </w:r>
            <w:r>
              <w:rPr>
                <w:b/>
                <w:color w:val="FFFFFF"/>
                <w:spacing w:val="-2"/>
                <w:sz w:val="22"/>
              </w:rPr>
              <w:t> </w:t>
            </w:r>
            <w:r>
              <w:rPr>
                <w:b/>
                <w:color w:val="FFFFFF"/>
                <w:sz w:val="22"/>
              </w:rPr>
              <w:t>of</w:t>
            </w:r>
            <w:r>
              <w:rPr>
                <w:b/>
                <w:color w:val="FFFFFF"/>
                <w:spacing w:val="-2"/>
                <w:sz w:val="22"/>
              </w:rPr>
              <w:t> Death</w:t>
            </w:r>
          </w:p>
        </w:tc>
        <w:tc>
          <w:tcPr>
            <w:tcW w:w="3328" w:type="dxa"/>
            <w:shd w:val="clear" w:color="auto" w:fill="145F82"/>
          </w:tcPr>
          <w:p>
            <w:pPr>
              <w:pStyle w:val="TableParagraph"/>
              <w:spacing w:line="267" w:lineRule="exact"/>
              <w:ind w:left="122"/>
              <w:rPr>
                <w:b/>
                <w:sz w:val="22"/>
              </w:rPr>
            </w:pPr>
            <w:r>
              <w:rPr>
                <w:b/>
                <w:color w:val="FFFFFF"/>
                <w:sz w:val="22"/>
              </w:rPr>
              <w:t>Premature</w:t>
            </w:r>
            <w:r>
              <w:rPr>
                <w:b/>
                <w:color w:val="FFFFFF"/>
                <w:spacing w:val="-13"/>
                <w:sz w:val="22"/>
              </w:rPr>
              <w:t> </w:t>
            </w:r>
            <w:r>
              <w:rPr>
                <w:b/>
                <w:color w:val="FFFFFF"/>
                <w:sz w:val="22"/>
              </w:rPr>
              <w:t>Death</w:t>
            </w:r>
            <w:r>
              <w:rPr>
                <w:b/>
                <w:color w:val="FFFFFF"/>
                <w:spacing w:val="-10"/>
                <w:sz w:val="22"/>
              </w:rPr>
              <w:t> </w:t>
            </w:r>
            <w:r>
              <w:rPr>
                <w:b/>
                <w:color w:val="FFFFFF"/>
                <w:sz w:val="22"/>
              </w:rPr>
              <w:t>rate</w:t>
            </w:r>
            <w:r>
              <w:rPr>
                <w:b/>
                <w:color w:val="FFFFFF"/>
                <w:spacing w:val="-13"/>
                <w:sz w:val="22"/>
              </w:rPr>
              <w:t> </w:t>
            </w:r>
            <w:r>
              <w:rPr>
                <w:b/>
                <w:color w:val="FFFFFF"/>
                <w:sz w:val="22"/>
              </w:rPr>
              <w:t>(Before</w:t>
            </w:r>
            <w:r>
              <w:rPr>
                <w:b/>
                <w:color w:val="FFFFFF"/>
                <w:spacing w:val="-10"/>
                <w:sz w:val="22"/>
              </w:rPr>
              <w:t> </w:t>
            </w:r>
            <w:r>
              <w:rPr>
                <w:b/>
                <w:color w:val="FFFFFF"/>
                <w:spacing w:val="-5"/>
                <w:sz w:val="22"/>
              </w:rPr>
              <w:t>age</w:t>
            </w:r>
          </w:p>
          <w:p>
            <w:pPr>
              <w:pStyle w:val="TableParagraph"/>
              <w:spacing w:line="249" w:lineRule="exact"/>
              <w:ind w:left="902"/>
              <w:rPr>
                <w:b/>
                <w:sz w:val="22"/>
              </w:rPr>
            </w:pPr>
            <w:r>
              <w:rPr>
                <w:b/>
                <w:color w:val="FFFFFF"/>
                <w:sz w:val="22"/>
              </w:rPr>
              <w:t>75)</w:t>
            </w:r>
            <w:r>
              <w:rPr>
                <w:b/>
                <w:color w:val="FFFFFF"/>
                <w:spacing w:val="-12"/>
                <w:sz w:val="22"/>
              </w:rPr>
              <w:t> </w:t>
            </w:r>
            <w:r>
              <w:rPr>
                <w:b/>
                <w:color w:val="FFFFFF"/>
                <w:sz w:val="22"/>
              </w:rPr>
              <w:t>Yates</w:t>
            </w:r>
            <w:r>
              <w:rPr>
                <w:b/>
                <w:color w:val="FFFFFF"/>
                <w:spacing w:val="-11"/>
                <w:sz w:val="22"/>
              </w:rPr>
              <w:t> </w:t>
            </w:r>
            <w:r>
              <w:rPr>
                <w:b/>
                <w:color w:val="FFFFFF"/>
                <w:spacing w:val="-2"/>
                <w:sz w:val="22"/>
              </w:rPr>
              <w:t>County</w:t>
            </w:r>
          </w:p>
        </w:tc>
        <w:tc>
          <w:tcPr>
            <w:tcW w:w="4051" w:type="dxa"/>
            <w:shd w:val="clear" w:color="auto" w:fill="145F82"/>
          </w:tcPr>
          <w:p>
            <w:pPr>
              <w:pStyle w:val="TableParagraph"/>
              <w:spacing w:line="267" w:lineRule="exact"/>
              <w:ind w:left="11" w:right="1"/>
              <w:jc w:val="center"/>
              <w:rPr>
                <w:b/>
                <w:sz w:val="22"/>
              </w:rPr>
            </w:pPr>
            <w:r>
              <w:rPr>
                <w:b/>
                <w:color w:val="FFFFFF"/>
                <w:sz w:val="22"/>
              </w:rPr>
              <w:t>Premature</w:t>
            </w:r>
            <w:r>
              <w:rPr>
                <w:b/>
                <w:color w:val="FFFFFF"/>
                <w:spacing w:val="-9"/>
                <w:sz w:val="22"/>
              </w:rPr>
              <w:t> </w:t>
            </w:r>
            <w:r>
              <w:rPr>
                <w:b/>
                <w:color w:val="FFFFFF"/>
                <w:sz w:val="22"/>
              </w:rPr>
              <w:t>Death</w:t>
            </w:r>
            <w:r>
              <w:rPr>
                <w:b/>
                <w:color w:val="FFFFFF"/>
                <w:spacing w:val="-8"/>
                <w:sz w:val="22"/>
              </w:rPr>
              <w:t> </w:t>
            </w:r>
            <w:r>
              <w:rPr>
                <w:b/>
                <w:color w:val="FFFFFF"/>
                <w:sz w:val="22"/>
              </w:rPr>
              <w:t>rate</w:t>
            </w:r>
            <w:r>
              <w:rPr>
                <w:b/>
                <w:color w:val="FFFFFF"/>
                <w:spacing w:val="-11"/>
                <w:sz w:val="22"/>
              </w:rPr>
              <w:t> </w:t>
            </w:r>
            <w:r>
              <w:rPr>
                <w:b/>
                <w:color w:val="FFFFFF"/>
                <w:sz w:val="22"/>
              </w:rPr>
              <w:t>(Before</w:t>
            </w:r>
            <w:r>
              <w:rPr>
                <w:b/>
                <w:color w:val="FFFFFF"/>
                <w:spacing w:val="-8"/>
                <w:sz w:val="22"/>
              </w:rPr>
              <w:t> </w:t>
            </w:r>
            <w:r>
              <w:rPr>
                <w:b/>
                <w:color w:val="FFFFFF"/>
                <w:sz w:val="22"/>
              </w:rPr>
              <w:t>age</w:t>
            </w:r>
            <w:r>
              <w:rPr>
                <w:b/>
                <w:color w:val="FFFFFF"/>
                <w:spacing w:val="-8"/>
                <w:sz w:val="22"/>
              </w:rPr>
              <w:t> </w:t>
            </w:r>
            <w:r>
              <w:rPr>
                <w:b/>
                <w:color w:val="FFFFFF"/>
                <w:sz w:val="22"/>
              </w:rPr>
              <w:t>75)</w:t>
            </w:r>
            <w:r>
              <w:rPr>
                <w:b/>
                <w:color w:val="FFFFFF"/>
                <w:spacing w:val="-8"/>
                <w:sz w:val="22"/>
              </w:rPr>
              <w:t> </w:t>
            </w:r>
            <w:r>
              <w:rPr>
                <w:b/>
                <w:color w:val="FFFFFF"/>
                <w:spacing w:val="-5"/>
                <w:sz w:val="22"/>
              </w:rPr>
              <w:t>NYS</w:t>
            </w:r>
          </w:p>
          <w:p>
            <w:pPr>
              <w:pStyle w:val="TableParagraph"/>
              <w:spacing w:line="249" w:lineRule="exact"/>
              <w:ind w:left="11"/>
              <w:jc w:val="center"/>
              <w:rPr>
                <w:b/>
                <w:sz w:val="22"/>
              </w:rPr>
            </w:pPr>
            <w:r>
              <w:rPr>
                <w:b/>
                <w:color w:val="FFFFFF"/>
                <w:spacing w:val="-2"/>
                <w:sz w:val="22"/>
              </w:rPr>
              <w:t>excluding</w:t>
            </w:r>
            <w:r>
              <w:rPr>
                <w:b/>
                <w:color w:val="FFFFFF"/>
                <w:spacing w:val="4"/>
                <w:sz w:val="22"/>
              </w:rPr>
              <w:t> </w:t>
            </w:r>
            <w:r>
              <w:rPr>
                <w:b/>
                <w:color w:val="FFFFFF"/>
                <w:spacing w:val="-5"/>
                <w:sz w:val="22"/>
              </w:rPr>
              <w:t>NYC</w:t>
            </w:r>
          </w:p>
        </w:tc>
      </w:tr>
      <w:tr>
        <w:trPr>
          <w:trHeight w:val="299" w:hRule="atLeast"/>
        </w:trPr>
        <w:tc>
          <w:tcPr>
            <w:tcW w:w="2606" w:type="dxa"/>
          </w:tcPr>
          <w:p>
            <w:pPr>
              <w:pStyle w:val="TableParagraph"/>
              <w:spacing w:line="263" w:lineRule="exact" w:before="16"/>
              <w:ind w:left="9"/>
              <w:jc w:val="center"/>
              <w:rPr>
                <w:sz w:val="22"/>
              </w:rPr>
            </w:pPr>
            <w:r>
              <w:rPr>
                <w:spacing w:val="-2"/>
                <w:sz w:val="22"/>
              </w:rPr>
              <w:t>Cancer</w:t>
            </w:r>
          </w:p>
        </w:tc>
        <w:tc>
          <w:tcPr>
            <w:tcW w:w="3328" w:type="dxa"/>
          </w:tcPr>
          <w:p>
            <w:pPr>
              <w:pStyle w:val="TableParagraph"/>
              <w:spacing w:line="263" w:lineRule="exact" w:before="16"/>
              <w:ind w:left="7"/>
              <w:jc w:val="center"/>
              <w:rPr>
                <w:sz w:val="22"/>
              </w:rPr>
            </w:pPr>
            <w:r>
              <w:rPr>
                <w:spacing w:val="-4"/>
                <w:sz w:val="22"/>
              </w:rPr>
              <w:t>61.4</w:t>
            </w:r>
          </w:p>
        </w:tc>
        <w:tc>
          <w:tcPr>
            <w:tcW w:w="4051" w:type="dxa"/>
          </w:tcPr>
          <w:p>
            <w:pPr>
              <w:pStyle w:val="TableParagraph"/>
              <w:spacing w:line="263" w:lineRule="exact" w:before="16"/>
              <w:ind w:left="11"/>
              <w:jc w:val="center"/>
              <w:rPr>
                <w:sz w:val="22"/>
              </w:rPr>
            </w:pPr>
            <w:r>
              <w:rPr>
                <w:spacing w:val="-4"/>
                <w:sz w:val="22"/>
              </w:rPr>
              <w:t>67.1</w:t>
            </w:r>
          </w:p>
        </w:tc>
      </w:tr>
      <w:tr>
        <w:trPr>
          <w:trHeight w:val="299" w:hRule="atLeast"/>
        </w:trPr>
        <w:tc>
          <w:tcPr>
            <w:tcW w:w="2606" w:type="dxa"/>
          </w:tcPr>
          <w:p>
            <w:pPr>
              <w:pStyle w:val="TableParagraph"/>
              <w:spacing w:line="264" w:lineRule="exact" w:before="16"/>
              <w:ind w:left="9" w:right="3"/>
              <w:jc w:val="center"/>
              <w:rPr>
                <w:sz w:val="22"/>
              </w:rPr>
            </w:pPr>
            <w:r>
              <w:rPr>
                <w:sz w:val="22"/>
              </w:rPr>
              <w:t>Heart</w:t>
            </w:r>
            <w:r>
              <w:rPr>
                <w:spacing w:val="-4"/>
                <w:sz w:val="22"/>
              </w:rPr>
              <w:t> </w:t>
            </w:r>
            <w:r>
              <w:rPr>
                <w:spacing w:val="-2"/>
                <w:sz w:val="22"/>
              </w:rPr>
              <w:t>Disease</w:t>
            </w:r>
          </w:p>
        </w:tc>
        <w:tc>
          <w:tcPr>
            <w:tcW w:w="3328" w:type="dxa"/>
          </w:tcPr>
          <w:p>
            <w:pPr>
              <w:pStyle w:val="TableParagraph"/>
              <w:spacing w:line="264" w:lineRule="exact" w:before="16"/>
              <w:ind w:left="7"/>
              <w:jc w:val="center"/>
              <w:rPr>
                <w:sz w:val="22"/>
              </w:rPr>
            </w:pPr>
            <w:r>
              <w:rPr>
                <w:spacing w:val="-4"/>
                <w:sz w:val="22"/>
              </w:rPr>
              <w:t>46.0</w:t>
            </w:r>
          </w:p>
        </w:tc>
        <w:tc>
          <w:tcPr>
            <w:tcW w:w="4051" w:type="dxa"/>
          </w:tcPr>
          <w:p>
            <w:pPr>
              <w:pStyle w:val="TableParagraph"/>
              <w:spacing w:line="264" w:lineRule="exact" w:before="16"/>
              <w:ind w:left="11"/>
              <w:jc w:val="center"/>
              <w:rPr>
                <w:sz w:val="22"/>
              </w:rPr>
            </w:pPr>
            <w:r>
              <w:rPr>
                <w:spacing w:val="-4"/>
                <w:sz w:val="22"/>
              </w:rPr>
              <w:t>57.4</w:t>
            </w:r>
          </w:p>
        </w:tc>
      </w:tr>
      <w:tr>
        <w:trPr>
          <w:trHeight w:val="301" w:hRule="atLeast"/>
        </w:trPr>
        <w:tc>
          <w:tcPr>
            <w:tcW w:w="2606" w:type="dxa"/>
          </w:tcPr>
          <w:p>
            <w:pPr>
              <w:pStyle w:val="TableParagraph"/>
              <w:spacing w:line="266" w:lineRule="exact" w:before="15"/>
              <w:ind w:left="9" w:right="3"/>
              <w:jc w:val="center"/>
              <w:rPr>
                <w:sz w:val="22"/>
              </w:rPr>
            </w:pPr>
            <w:r>
              <w:rPr>
                <w:sz w:val="22"/>
              </w:rPr>
              <w:t>Unintenfional</w:t>
            </w:r>
            <w:r>
              <w:rPr>
                <w:spacing w:val="-9"/>
                <w:sz w:val="22"/>
              </w:rPr>
              <w:t> </w:t>
            </w:r>
            <w:r>
              <w:rPr>
                <w:spacing w:val="-2"/>
                <w:sz w:val="22"/>
              </w:rPr>
              <w:t>Injury</w:t>
            </w:r>
          </w:p>
        </w:tc>
        <w:tc>
          <w:tcPr>
            <w:tcW w:w="3328" w:type="dxa"/>
          </w:tcPr>
          <w:p>
            <w:pPr>
              <w:pStyle w:val="TableParagraph"/>
              <w:spacing w:line="266" w:lineRule="exact" w:before="15"/>
              <w:ind w:left="7"/>
              <w:jc w:val="center"/>
              <w:rPr>
                <w:sz w:val="22"/>
              </w:rPr>
            </w:pPr>
            <w:r>
              <w:rPr>
                <w:spacing w:val="-4"/>
                <w:sz w:val="22"/>
              </w:rPr>
              <w:t>70.4</w:t>
            </w:r>
          </w:p>
        </w:tc>
        <w:tc>
          <w:tcPr>
            <w:tcW w:w="4051" w:type="dxa"/>
          </w:tcPr>
          <w:p>
            <w:pPr>
              <w:pStyle w:val="TableParagraph"/>
              <w:spacing w:line="266" w:lineRule="exact" w:before="15"/>
              <w:ind w:left="11"/>
              <w:jc w:val="center"/>
              <w:rPr>
                <w:sz w:val="22"/>
              </w:rPr>
            </w:pPr>
            <w:r>
              <w:rPr>
                <w:spacing w:val="-4"/>
                <w:sz w:val="22"/>
              </w:rPr>
              <w:t>44.8</w:t>
            </w:r>
          </w:p>
        </w:tc>
      </w:tr>
      <w:tr>
        <w:trPr>
          <w:trHeight w:val="299" w:hRule="atLeast"/>
        </w:trPr>
        <w:tc>
          <w:tcPr>
            <w:tcW w:w="2606" w:type="dxa"/>
          </w:tcPr>
          <w:p>
            <w:pPr>
              <w:pStyle w:val="TableParagraph"/>
              <w:spacing w:line="266" w:lineRule="exact" w:before="13"/>
              <w:ind w:left="9"/>
              <w:jc w:val="center"/>
              <w:rPr>
                <w:sz w:val="22"/>
              </w:rPr>
            </w:pPr>
            <w:r>
              <w:rPr>
                <w:sz w:val="22"/>
              </w:rPr>
              <w:t>Death</w:t>
            </w:r>
            <w:r>
              <w:rPr>
                <w:spacing w:val="-7"/>
                <w:sz w:val="22"/>
              </w:rPr>
              <w:t> </w:t>
            </w:r>
            <w:r>
              <w:rPr>
                <w:spacing w:val="-4"/>
                <w:sz w:val="22"/>
              </w:rPr>
              <w:t>Rate</w:t>
            </w:r>
          </w:p>
        </w:tc>
        <w:tc>
          <w:tcPr>
            <w:tcW w:w="3328" w:type="dxa"/>
          </w:tcPr>
          <w:p>
            <w:pPr>
              <w:pStyle w:val="TableParagraph"/>
              <w:spacing w:line="266" w:lineRule="exact" w:before="13"/>
              <w:ind w:left="7"/>
              <w:jc w:val="center"/>
              <w:rPr>
                <w:sz w:val="22"/>
              </w:rPr>
            </w:pPr>
            <w:r>
              <w:rPr>
                <w:spacing w:val="-2"/>
                <w:sz w:val="22"/>
              </w:rPr>
              <w:t>334.4</w:t>
            </w:r>
          </w:p>
        </w:tc>
        <w:tc>
          <w:tcPr>
            <w:tcW w:w="4051" w:type="dxa"/>
          </w:tcPr>
          <w:p>
            <w:pPr>
              <w:pStyle w:val="TableParagraph"/>
              <w:spacing w:line="266" w:lineRule="exact" w:before="13"/>
              <w:ind w:left="11" w:right="1"/>
              <w:jc w:val="center"/>
              <w:rPr>
                <w:sz w:val="22"/>
              </w:rPr>
            </w:pPr>
            <w:r>
              <w:rPr>
                <w:spacing w:val="-2"/>
                <w:sz w:val="22"/>
              </w:rPr>
              <w:t>309.3</w:t>
            </w:r>
          </w:p>
        </w:tc>
      </w:tr>
    </w:tbl>
    <w:p>
      <w:pPr>
        <w:spacing w:before="4"/>
        <w:ind w:left="1440" w:right="0" w:firstLine="0"/>
        <w:jc w:val="left"/>
        <w:rPr>
          <w:sz w:val="20"/>
        </w:rPr>
      </w:pPr>
      <w:r>
        <w:rPr>
          <w:sz w:val="20"/>
        </w:rPr>
        <w:t>Source</w:t>
      </w:r>
      <w:r>
        <w:rPr>
          <w:spacing w:val="-9"/>
          <w:sz w:val="20"/>
        </w:rPr>
        <w:t> </w:t>
      </w:r>
      <w:r>
        <w:rPr>
          <w:sz w:val="20"/>
        </w:rPr>
        <w:t>for</w:t>
      </w:r>
      <w:r>
        <w:rPr>
          <w:spacing w:val="-7"/>
          <w:sz w:val="20"/>
        </w:rPr>
        <w:t> </w:t>
      </w:r>
      <w:r>
        <w:rPr>
          <w:sz w:val="20"/>
        </w:rPr>
        <w:t>Premature</w:t>
      </w:r>
      <w:r>
        <w:rPr>
          <w:spacing w:val="-8"/>
          <w:sz w:val="20"/>
        </w:rPr>
        <w:t> </w:t>
      </w:r>
      <w:r>
        <w:rPr>
          <w:sz w:val="20"/>
        </w:rPr>
        <w:t>Death</w:t>
      </w:r>
      <w:r>
        <w:rPr>
          <w:spacing w:val="-7"/>
          <w:sz w:val="20"/>
        </w:rPr>
        <w:t> </w:t>
      </w:r>
      <w:r>
        <w:rPr>
          <w:sz w:val="20"/>
        </w:rPr>
        <w:t>Rates</w:t>
      </w:r>
      <w:r>
        <w:rPr>
          <w:spacing w:val="-8"/>
          <w:sz w:val="20"/>
        </w:rPr>
        <w:t> </w:t>
      </w:r>
      <w:r>
        <w:rPr>
          <w:sz w:val="20"/>
        </w:rPr>
        <w:t>(before</w:t>
      </w:r>
      <w:r>
        <w:rPr>
          <w:spacing w:val="-8"/>
          <w:sz w:val="20"/>
        </w:rPr>
        <w:t> </w:t>
      </w:r>
      <w:r>
        <w:rPr>
          <w:sz w:val="20"/>
        </w:rPr>
        <w:t>age</w:t>
      </w:r>
      <w:r>
        <w:rPr>
          <w:spacing w:val="-8"/>
          <w:sz w:val="20"/>
        </w:rPr>
        <w:t> </w:t>
      </w:r>
      <w:r>
        <w:rPr>
          <w:sz w:val="20"/>
        </w:rPr>
        <w:t>75):</w:t>
      </w:r>
      <w:r>
        <w:rPr>
          <w:spacing w:val="-8"/>
          <w:sz w:val="20"/>
        </w:rPr>
        <w:t> </w:t>
      </w:r>
      <w:r>
        <w:rPr>
          <w:sz w:val="20"/>
        </w:rPr>
        <w:t>NYS</w:t>
      </w:r>
      <w:r>
        <w:rPr>
          <w:spacing w:val="-7"/>
          <w:sz w:val="20"/>
        </w:rPr>
        <w:t> </w:t>
      </w:r>
      <w:r>
        <w:rPr>
          <w:sz w:val="20"/>
        </w:rPr>
        <w:t>Leading</w:t>
      </w:r>
      <w:r>
        <w:rPr>
          <w:spacing w:val="-7"/>
          <w:sz w:val="20"/>
        </w:rPr>
        <w:t> </w:t>
      </w:r>
      <w:r>
        <w:rPr>
          <w:sz w:val="20"/>
        </w:rPr>
        <w:t>Causes</w:t>
      </w:r>
      <w:r>
        <w:rPr>
          <w:spacing w:val="-9"/>
          <w:sz w:val="20"/>
        </w:rPr>
        <w:t> </w:t>
      </w:r>
      <w:r>
        <w:rPr>
          <w:sz w:val="20"/>
        </w:rPr>
        <w:t>of</w:t>
      </w:r>
      <w:r>
        <w:rPr>
          <w:spacing w:val="-8"/>
          <w:sz w:val="20"/>
        </w:rPr>
        <w:t> </w:t>
      </w:r>
      <w:r>
        <w:rPr>
          <w:sz w:val="20"/>
        </w:rPr>
        <w:t>Death</w:t>
      </w:r>
      <w:r>
        <w:rPr>
          <w:spacing w:val="-6"/>
          <w:sz w:val="20"/>
        </w:rPr>
        <w:t> </w:t>
      </w:r>
      <w:r>
        <w:rPr>
          <w:spacing w:val="-2"/>
          <w:sz w:val="20"/>
        </w:rPr>
        <w:t>Dashboard.</w:t>
      </w:r>
    </w:p>
    <w:p>
      <w:pPr>
        <w:pStyle w:val="BodyText"/>
        <w:spacing w:before="203"/>
        <w:ind w:left="0"/>
        <w:rPr>
          <w:sz w:val="20"/>
        </w:rPr>
      </w:pPr>
    </w:p>
    <w:p>
      <w:pPr>
        <w:pStyle w:val="Heading4"/>
      </w:pPr>
      <w:r>
        <w:rPr/>
        <w:t>Health</w:t>
      </w:r>
      <w:r>
        <w:rPr>
          <w:spacing w:val="-3"/>
        </w:rPr>
        <w:t> </w:t>
      </w:r>
      <w:r>
        <w:rPr>
          <w:spacing w:val="-2"/>
        </w:rPr>
        <w:t>Disparifies</w:t>
      </w:r>
    </w:p>
    <w:p>
      <w:pPr>
        <w:pStyle w:val="BodyText"/>
        <w:spacing w:line="259" w:lineRule="auto" w:before="180"/>
        <w:ind w:right="1436"/>
      </w:pPr>
      <w:r>
        <w:rPr/>
        <w:t>Health disparifies are the preventable diﬀerences in health outcomes when compared to the overall populafion of an area. Yates County’s rural locafion presents signiﬁcant challenges to health outcomes and access</w:t>
      </w:r>
      <w:r>
        <w:rPr>
          <w:spacing w:val="-2"/>
        </w:rPr>
        <w:t> </w:t>
      </w:r>
      <w:r>
        <w:rPr/>
        <w:t>to care.</w:t>
      </w:r>
      <w:r>
        <w:rPr>
          <w:spacing w:val="-3"/>
        </w:rPr>
        <w:t> </w:t>
      </w:r>
      <w:r>
        <w:rPr/>
        <w:t>With</w:t>
      </w:r>
      <w:r>
        <w:rPr>
          <w:spacing w:val="-3"/>
        </w:rPr>
        <w:t> </w:t>
      </w:r>
      <w:r>
        <w:rPr/>
        <w:t>the densest populafions near</w:t>
      </w:r>
      <w:r>
        <w:rPr>
          <w:spacing w:val="-3"/>
        </w:rPr>
        <w:t> </w:t>
      </w:r>
      <w:r>
        <w:rPr/>
        <w:t>the villages</w:t>
      </w:r>
      <w:r>
        <w:rPr>
          <w:spacing w:val="-2"/>
        </w:rPr>
        <w:t> </w:t>
      </w:r>
      <w:r>
        <w:rPr/>
        <w:t>of Penn Yan and Dundee,</w:t>
      </w:r>
      <w:r>
        <w:rPr>
          <w:spacing w:val="-2"/>
        </w:rPr>
        <w:t> </w:t>
      </w:r>
      <w:r>
        <w:rPr/>
        <w:t>much</w:t>
      </w:r>
      <w:r>
        <w:rPr>
          <w:spacing w:val="-3"/>
        </w:rPr>
        <w:t> </w:t>
      </w:r>
      <w:r>
        <w:rPr/>
        <w:t>of</w:t>
      </w:r>
      <w:r>
        <w:rPr>
          <w:spacing w:val="-3"/>
        </w:rPr>
        <w:t> </w:t>
      </w:r>
      <w:r>
        <w:rPr/>
        <w:t>the county remains isolated, leaving many residents with limited access to physical and mental health care, inadequate health care infrastructure (e.g., provider shortages), low rates of physical acfivity, and restricted access to healthy food. Having limited availability to these resources can exacerbate chronic disease.</w:t>
      </w:r>
      <w:r>
        <w:rPr>
          <w:spacing w:val="-6"/>
        </w:rPr>
        <w:t> </w:t>
      </w:r>
      <w:r>
        <w:rPr/>
        <w:t>Populafions</w:t>
      </w:r>
      <w:r>
        <w:rPr>
          <w:spacing w:val="-5"/>
        </w:rPr>
        <w:t> </w:t>
      </w:r>
      <w:r>
        <w:rPr/>
        <w:t>living</w:t>
      </w:r>
      <w:r>
        <w:rPr>
          <w:spacing w:val="-4"/>
        </w:rPr>
        <w:t> </w:t>
      </w:r>
      <w:r>
        <w:rPr/>
        <w:t>in</w:t>
      </w:r>
      <w:r>
        <w:rPr>
          <w:spacing w:val="-4"/>
        </w:rPr>
        <w:t> </w:t>
      </w:r>
      <w:r>
        <w:rPr/>
        <w:t>rural</w:t>
      </w:r>
      <w:r>
        <w:rPr>
          <w:spacing w:val="-4"/>
        </w:rPr>
        <w:t> </w:t>
      </w:r>
      <w:r>
        <w:rPr/>
        <w:t>areas</w:t>
      </w:r>
      <w:r>
        <w:rPr>
          <w:spacing w:val="-4"/>
        </w:rPr>
        <w:t> </w:t>
      </w:r>
      <w:r>
        <w:rPr/>
        <w:t>have</w:t>
      </w:r>
      <w:r>
        <w:rPr>
          <w:spacing w:val="-3"/>
        </w:rPr>
        <w:t> </w:t>
      </w:r>
      <w:r>
        <w:rPr/>
        <w:t>a</w:t>
      </w:r>
      <w:r>
        <w:rPr>
          <w:spacing w:val="-4"/>
        </w:rPr>
        <w:t> </w:t>
      </w:r>
      <w:r>
        <w:rPr/>
        <w:t>higher</w:t>
      </w:r>
      <w:r>
        <w:rPr>
          <w:spacing w:val="-8"/>
        </w:rPr>
        <w:t> </w:t>
      </w:r>
      <w:r>
        <w:rPr/>
        <w:t>risk</w:t>
      </w:r>
      <w:r>
        <w:rPr>
          <w:spacing w:val="-4"/>
        </w:rPr>
        <w:t> </w:t>
      </w:r>
      <w:r>
        <w:rPr/>
        <w:t>of</w:t>
      </w:r>
      <w:r>
        <w:rPr>
          <w:spacing w:val="-6"/>
        </w:rPr>
        <w:t> </w:t>
      </w:r>
      <w:r>
        <w:rPr/>
        <w:t>developing</w:t>
      </w:r>
      <w:r>
        <w:rPr>
          <w:spacing w:val="-4"/>
        </w:rPr>
        <w:t> </w:t>
      </w:r>
      <w:r>
        <w:rPr/>
        <w:t>chronic</w:t>
      </w:r>
      <w:r>
        <w:rPr>
          <w:spacing w:val="-4"/>
        </w:rPr>
        <w:t> </w:t>
      </w:r>
      <w:r>
        <w:rPr/>
        <w:t>disease</w:t>
      </w:r>
      <w:r>
        <w:rPr>
          <w:spacing w:val="-5"/>
        </w:rPr>
        <w:t> </w:t>
      </w:r>
      <w:r>
        <w:rPr/>
        <w:t>when</w:t>
      </w:r>
      <w:r>
        <w:rPr>
          <w:spacing w:val="-4"/>
        </w:rPr>
        <w:t> </w:t>
      </w:r>
      <w:r>
        <w:rPr/>
        <w:t>compared to urban counterparts. The county also has a large aging populafion, lower socioeconomic status, and many uninsured individuals who face greater barriers to achieving opfimal health.</w:t>
      </w:r>
    </w:p>
    <w:p>
      <w:pPr>
        <w:pStyle w:val="BodyText"/>
        <w:spacing w:after="0" w:line="259" w:lineRule="auto"/>
        <w:sectPr>
          <w:pgSz w:w="12240" w:h="15840"/>
          <w:pgMar w:header="161" w:footer="1223" w:top="1360" w:bottom="1420" w:left="0" w:right="0"/>
        </w:sectPr>
      </w:pPr>
    </w:p>
    <w:p>
      <w:pPr>
        <w:pStyle w:val="Heading1"/>
        <w:spacing w:before="273"/>
        <w:ind w:left="277" w:right="19"/>
        <w:jc w:val="center"/>
      </w:pPr>
      <w:r>
        <w:rPr/>
        <mc:AlternateContent>
          <mc:Choice Requires="wps">
            <w:drawing>
              <wp:anchor distT="0" distB="0" distL="0" distR="0" allowOverlap="1" layoutInCell="1" locked="0" behindDoc="1" simplePos="0" relativeHeight="486536192">
                <wp:simplePos x="0" y="0"/>
                <wp:positionH relativeFrom="page">
                  <wp:posOffset>-6095</wp:posOffset>
                </wp:positionH>
                <wp:positionV relativeFrom="paragraph">
                  <wp:posOffset>114173</wp:posOffset>
                </wp:positionV>
                <wp:extent cx="7776845" cy="44069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7776845" cy="440690"/>
                          <a:chExt cx="7776845" cy="440690"/>
                        </a:xfrm>
                      </wpg:grpSpPr>
                      <wps:wsp>
                        <wps:cNvPr id="40" name="Graphic 40"/>
                        <wps:cNvSpPr/>
                        <wps:spPr>
                          <a:xfrm>
                            <a:off x="6095" y="6223"/>
                            <a:ext cx="7764780" cy="428625"/>
                          </a:xfrm>
                          <a:custGeom>
                            <a:avLst/>
                            <a:gdLst/>
                            <a:ahLst/>
                            <a:cxnLst/>
                            <a:rect l="l" t="t" r="r" b="b"/>
                            <a:pathLst>
                              <a:path w="7764780" h="428625">
                                <a:moveTo>
                                  <a:pt x="3304032" y="380872"/>
                                </a:moveTo>
                                <a:lnTo>
                                  <a:pt x="1321180" y="380872"/>
                                </a:lnTo>
                                <a:lnTo>
                                  <a:pt x="2313432" y="428243"/>
                                </a:lnTo>
                                <a:lnTo>
                                  <a:pt x="3304032" y="380872"/>
                                </a:lnTo>
                                <a:close/>
                              </a:path>
                              <a:path w="7764780" h="428625">
                                <a:moveTo>
                                  <a:pt x="7764653" y="0"/>
                                </a:moveTo>
                                <a:lnTo>
                                  <a:pt x="0" y="0"/>
                                </a:lnTo>
                                <a:lnTo>
                                  <a:pt x="0" y="380872"/>
                                </a:lnTo>
                                <a:lnTo>
                                  <a:pt x="7764653" y="380872"/>
                                </a:lnTo>
                                <a:lnTo>
                                  <a:pt x="7764653" y="0"/>
                                </a:lnTo>
                                <a:close/>
                              </a:path>
                            </a:pathLst>
                          </a:custGeom>
                          <a:solidFill>
                            <a:srgbClr val="145F82"/>
                          </a:solidFill>
                        </wps:spPr>
                        <wps:bodyPr wrap="square" lIns="0" tIns="0" rIns="0" bIns="0" rtlCol="0">
                          <a:prstTxWarp prst="textNoShape">
                            <a:avLst/>
                          </a:prstTxWarp>
                          <a:noAutofit/>
                        </wps:bodyPr>
                      </wps:wsp>
                      <wps:wsp>
                        <wps:cNvPr id="41" name="Graphic 41"/>
                        <wps:cNvSpPr/>
                        <wps:spPr>
                          <a:xfrm>
                            <a:off x="6095" y="6095"/>
                            <a:ext cx="7764780" cy="428625"/>
                          </a:xfrm>
                          <a:custGeom>
                            <a:avLst/>
                            <a:gdLst/>
                            <a:ahLst/>
                            <a:cxnLst/>
                            <a:rect l="l" t="t" r="r" b="b"/>
                            <a:pathLst>
                              <a:path w="7764780" h="428625">
                                <a:moveTo>
                                  <a:pt x="7764653" y="381000"/>
                                </a:moveTo>
                                <a:lnTo>
                                  <a:pt x="3304032" y="381000"/>
                                </a:lnTo>
                                <a:lnTo>
                                  <a:pt x="2313432" y="428244"/>
                                </a:lnTo>
                                <a:lnTo>
                                  <a:pt x="1321180" y="381000"/>
                                </a:lnTo>
                                <a:lnTo>
                                  <a:pt x="0" y="381000"/>
                                </a:lnTo>
                                <a:lnTo>
                                  <a:pt x="0" y="318516"/>
                                </a:lnTo>
                                <a:lnTo>
                                  <a:pt x="0" y="222503"/>
                                </a:lnTo>
                                <a:lnTo>
                                  <a:pt x="0" y="0"/>
                                </a:lnTo>
                                <a:lnTo>
                                  <a:pt x="1321180" y="0"/>
                                </a:lnTo>
                                <a:lnTo>
                                  <a:pt x="3304032" y="0"/>
                                </a:lnTo>
                                <a:lnTo>
                                  <a:pt x="7764653" y="0"/>
                                </a:lnTo>
                              </a:path>
                            </a:pathLst>
                          </a:custGeom>
                          <a:ln w="12191">
                            <a:solidFill>
                              <a:srgbClr val="04233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8.990009pt;width:612.35pt;height:34.7pt;mso-position-horizontal-relative:page;mso-position-vertical-relative:paragraph;z-index:-16780288" id="docshapegroup29" coordorigin="-10,180" coordsize="12247,694">
                <v:shape style="position:absolute;left:0;top:189;width:12228;height:675" id="docshape30" coordorigin="0,190" coordsize="12228,675" path="m5203,789l2081,789,3643,864,5203,789xm12228,190l0,190,0,789,12228,789,12228,190xe" filled="true" fillcolor="#145f82" stroked="false">
                  <v:path arrowok="t"/>
                  <v:fill type="solid"/>
                </v:shape>
                <v:shape style="position:absolute;left:0;top:189;width:12228;height:675" id="docshape31" coordorigin="0,189" coordsize="12228,675" path="m12228,789l5203,789,3643,864,2081,789,0,789,0,691,0,540,0,189,2081,189,5203,189,12228,189e" filled="false" stroked="true" strokeweight=".96pt" strokecolor="#042332">
                  <v:path arrowok="t"/>
                  <v:stroke dashstyle="solid"/>
                </v:shape>
                <w10:wrap type="none"/>
              </v:group>
            </w:pict>
          </mc:Fallback>
        </mc:AlternateContent>
      </w:r>
      <w:r>
        <w:rPr>
          <w:color w:val="FFFFFF"/>
        </w:rPr>
        <w:t>Health</w:t>
      </w:r>
      <w:r>
        <w:rPr>
          <w:color w:val="FFFFFF"/>
          <w:spacing w:val="-7"/>
        </w:rPr>
        <w:t> </w:t>
      </w:r>
      <w:r>
        <w:rPr>
          <w:color w:val="FFFFFF"/>
        </w:rPr>
        <w:t>Status</w:t>
      </w:r>
      <w:r>
        <w:rPr>
          <w:color w:val="FFFFFF"/>
          <w:spacing w:val="-6"/>
        </w:rPr>
        <w:t> </w:t>
      </w:r>
      <w:r>
        <w:rPr>
          <w:color w:val="FFFFFF"/>
          <w:spacing w:val="-2"/>
        </w:rPr>
        <w:t>Descripfion</w:t>
      </w:r>
    </w:p>
    <w:p>
      <w:pPr>
        <w:pStyle w:val="BodyText"/>
        <w:spacing w:before="87"/>
        <w:ind w:left="0"/>
        <w:rPr>
          <w:b/>
          <w:sz w:val="28"/>
        </w:rPr>
      </w:pPr>
    </w:p>
    <w:p>
      <w:pPr>
        <w:spacing w:before="0"/>
        <w:ind w:left="1440" w:right="0" w:firstLine="0"/>
        <w:jc w:val="left"/>
        <w:rPr>
          <w:b/>
          <w:sz w:val="28"/>
        </w:rPr>
      </w:pPr>
      <w:r>
        <w:rPr>
          <w:b/>
          <w:sz w:val="28"/>
        </w:rPr>
        <w:t>Speciﬁc</w:t>
      </w:r>
      <w:r>
        <w:rPr>
          <w:b/>
          <w:spacing w:val="-4"/>
          <w:sz w:val="28"/>
        </w:rPr>
        <w:t> </w:t>
      </w:r>
      <w:r>
        <w:rPr>
          <w:b/>
          <w:spacing w:val="-2"/>
          <w:sz w:val="28"/>
        </w:rPr>
        <w:t>Methodology</w:t>
      </w:r>
    </w:p>
    <w:p>
      <w:pPr>
        <w:pStyle w:val="BodyText"/>
        <w:spacing w:line="259" w:lineRule="auto" w:before="186"/>
        <w:ind w:right="6311"/>
      </w:pPr>
      <w:r>
        <w:rPr/>
        <w:drawing>
          <wp:anchor distT="0" distB="0" distL="0" distR="0" allowOverlap="1" layoutInCell="1" locked="0" behindDoc="0" simplePos="0" relativeHeight="15736320">
            <wp:simplePos x="0" y="0"/>
            <wp:positionH relativeFrom="page">
              <wp:posOffset>3895318</wp:posOffset>
            </wp:positionH>
            <wp:positionV relativeFrom="paragraph">
              <wp:posOffset>124481</wp:posOffset>
            </wp:positionV>
            <wp:extent cx="3573754" cy="297482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8" cstate="print"/>
                    <a:stretch>
                      <a:fillRect/>
                    </a:stretch>
                  </pic:blipFill>
                  <pic:spPr>
                    <a:xfrm>
                      <a:off x="0" y="0"/>
                      <a:ext cx="3573754" cy="2974820"/>
                    </a:xfrm>
                    <a:prstGeom prst="rect">
                      <a:avLst/>
                    </a:prstGeom>
                  </pic:spPr>
                </pic:pic>
              </a:graphicData>
            </a:graphic>
          </wp:anchor>
        </w:drawing>
      </w:r>
      <w:r>
        <w:rPr/>
        <w:t>The CHA provides a comprehensive picture of a community’s current health status, including factors that contribute to health risks and challenges,</w:t>
      </w:r>
      <w:r>
        <w:rPr>
          <w:spacing w:val="-6"/>
        </w:rPr>
        <w:t> </w:t>
      </w:r>
      <w:r>
        <w:rPr/>
        <w:t>and</w:t>
      </w:r>
      <w:r>
        <w:rPr>
          <w:spacing w:val="-7"/>
        </w:rPr>
        <w:t> </w:t>
      </w:r>
      <w:r>
        <w:rPr/>
        <w:t>idenfiﬁes</w:t>
      </w:r>
      <w:r>
        <w:rPr>
          <w:spacing w:val="-6"/>
        </w:rPr>
        <w:t> </w:t>
      </w:r>
      <w:r>
        <w:rPr/>
        <w:t>priority</w:t>
      </w:r>
      <w:r>
        <w:rPr>
          <w:spacing w:val="-7"/>
        </w:rPr>
        <w:t> </w:t>
      </w:r>
      <w:r>
        <w:rPr/>
        <w:t>health</w:t>
      </w:r>
      <w:r>
        <w:rPr>
          <w:spacing w:val="-7"/>
        </w:rPr>
        <w:t> </w:t>
      </w:r>
      <w:r>
        <w:rPr/>
        <w:t>needs</w:t>
      </w:r>
      <w:r>
        <w:rPr>
          <w:spacing w:val="-8"/>
        </w:rPr>
        <w:t> </w:t>
      </w:r>
      <w:r>
        <w:rPr/>
        <w:t>by analyzing local data and community input.</w:t>
      </w:r>
    </w:p>
    <w:p>
      <w:pPr>
        <w:pStyle w:val="BodyText"/>
        <w:spacing w:line="259" w:lineRule="auto"/>
        <w:ind w:right="6311"/>
      </w:pPr>
      <w:r>
        <w:rPr/>
        <w:t>Community members and key stakeholders were invited to be part of the CHA by parficipafing in the CHIP steering commiftee, known as Choose Health</w:t>
      </w:r>
      <w:r>
        <w:rPr>
          <w:spacing w:val="-10"/>
        </w:rPr>
        <w:t> </w:t>
      </w:r>
      <w:r>
        <w:rPr/>
        <w:t>Yates.</w:t>
      </w:r>
      <w:r>
        <w:rPr>
          <w:spacing w:val="-10"/>
        </w:rPr>
        <w:t> </w:t>
      </w:r>
      <w:r>
        <w:rPr/>
        <w:t>Choose</w:t>
      </w:r>
      <w:r>
        <w:rPr>
          <w:spacing w:val="-9"/>
        </w:rPr>
        <w:t> </w:t>
      </w:r>
      <w:r>
        <w:rPr/>
        <w:t>Health</w:t>
      </w:r>
      <w:r>
        <w:rPr>
          <w:spacing w:val="-11"/>
        </w:rPr>
        <w:t> </w:t>
      </w:r>
      <w:r>
        <w:rPr/>
        <w:t>Yates</w:t>
      </w:r>
      <w:r>
        <w:rPr>
          <w:spacing w:val="-12"/>
        </w:rPr>
        <w:t> </w:t>
      </w:r>
      <w:r>
        <w:rPr/>
        <w:t>met</w:t>
      </w:r>
      <w:r>
        <w:rPr>
          <w:spacing w:val="-12"/>
        </w:rPr>
        <w:t> </w:t>
      </w:r>
      <w:r>
        <w:rPr/>
        <w:t>monthly</w:t>
      </w:r>
      <w:r>
        <w:rPr>
          <w:spacing w:val="-12"/>
        </w:rPr>
        <w:t> </w:t>
      </w:r>
      <w:r>
        <w:rPr/>
        <w:t>in 2025,</w:t>
      </w:r>
      <w:r>
        <w:rPr>
          <w:spacing w:val="-13"/>
        </w:rPr>
        <w:t> </w:t>
      </w:r>
      <w:r>
        <w:rPr/>
        <w:t>except</w:t>
      </w:r>
      <w:r>
        <w:rPr>
          <w:spacing w:val="-12"/>
        </w:rPr>
        <w:t> </w:t>
      </w:r>
      <w:r>
        <w:rPr/>
        <w:t>in</w:t>
      </w:r>
      <w:r>
        <w:rPr>
          <w:spacing w:val="-13"/>
        </w:rPr>
        <w:t> </w:t>
      </w:r>
      <w:r>
        <w:rPr/>
        <w:t>January,</w:t>
      </w:r>
      <w:r>
        <w:rPr>
          <w:spacing w:val="-12"/>
        </w:rPr>
        <w:t> </w:t>
      </w:r>
      <w:r>
        <w:rPr/>
        <w:t>May,</w:t>
      </w:r>
      <w:r>
        <w:rPr>
          <w:spacing w:val="-12"/>
        </w:rPr>
        <w:t> </w:t>
      </w:r>
      <w:r>
        <w:rPr/>
        <w:t>July,</w:t>
      </w:r>
      <w:r>
        <w:rPr>
          <w:spacing w:val="-11"/>
        </w:rPr>
        <w:t> </w:t>
      </w:r>
      <w:r>
        <w:rPr/>
        <w:t>and</w:t>
      </w:r>
      <w:r>
        <w:rPr>
          <w:spacing w:val="-11"/>
        </w:rPr>
        <w:t> </w:t>
      </w:r>
      <w:r>
        <w:rPr>
          <w:spacing w:val="-2"/>
        </w:rPr>
        <w:t>November.</w:t>
      </w:r>
    </w:p>
    <w:p>
      <w:pPr>
        <w:pStyle w:val="Heading4"/>
        <w:spacing w:before="157"/>
      </w:pPr>
      <w:r>
        <w:rPr/>
        <w:t>Data</w:t>
      </w:r>
      <w:r>
        <w:rPr>
          <w:spacing w:val="-7"/>
        </w:rPr>
        <w:t> </w:t>
      </w:r>
      <w:r>
        <w:rPr>
          <w:spacing w:val="-2"/>
        </w:rPr>
        <w:t>Sources</w:t>
      </w:r>
    </w:p>
    <w:p>
      <w:pPr>
        <w:pStyle w:val="BodyText"/>
        <w:spacing w:before="4"/>
        <w:ind w:left="0"/>
        <w:rPr>
          <w:b/>
          <w:sz w:val="10"/>
        </w:rPr>
      </w:pPr>
    </w:p>
    <w:p>
      <w:pPr>
        <w:pStyle w:val="BodyText"/>
        <w:spacing w:after="0"/>
        <w:rPr>
          <w:b/>
          <w:sz w:val="10"/>
        </w:rPr>
        <w:sectPr>
          <w:pgSz w:w="12240" w:h="15840"/>
          <w:pgMar w:header="161" w:footer="1223" w:top="1360" w:bottom="1420" w:left="0" w:right="0"/>
        </w:sectPr>
      </w:pPr>
    </w:p>
    <w:p>
      <w:pPr>
        <w:pStyle w:val="BodyText"/>
        <w:spacing w:line="259" w:lineRule="auto" w:before="56"/>
      </w:pPr>
      <w:r>
        <w:rPr/>
        <w:t>Yates County’s CHA incorporated a blend of quanfitafive and qualitafive data sources, including secondary data from the NYS</w:t>
      </w:r>
      <w:r>
        <w:rPr>
          <w:spacing w:val="-2"/>
        </w:rPr>
        <w:t> </w:t>
      </w:r>
      <w:r>
        <w:rPr/>
        <w:t>Behavioral Risk Factor Surveillance System (BRFSS), County Health Rankings and Roadmaps, the Nafional Center for Health Stafisfics, the American Community Survey, the U.S. Census, the NYS Medicaid</w:t>
      </w:r>
      <w:r>
        <w:rPr>
          <w:spacing w:val="-13"/>
        </w:rPr>
        <w:t> </w:t>
      </w:r>
      <w:r>
        <w:rPr/>
        <w:t>Program,</w:t>
      </w:r>
      <w:r>
        <w:rPr>
          <w:spacing w:val="-10"/>
        </w:rPr>
        <w:t> </w:t>
      </w:r>
      <w:r>
        <w:rPr/>
        <w:t>and</w:t>
      </w:r>
      <w:r>
        <w:rPr>
          <w:spacing w:val="-12"/>
        </w:rPr>
        <w:t> </w:t>
      </w:r>
      <w:r>
        <w:rPr/>
        <w:t>local</w:t>
      </w:r>
      <w:r>
        <w:rPr>
          <w:spacing w:val="-11"/>
        </w:rPr>
        <w:t> </w:t>
      </w:r>
      <w:r>
        <w:rPr/>
        <w:t>performance</w:t>
      </w:r>
      <w:r>
        <w:rPr>
          <w:spacing w:val="-10"/>
        </w:rPr>
        <w:t> </w:t>
      </w:r>
      <w:r>
        <w:rPr/>
        <w:t>reports.</w:t>
      </w:r>
    </w:p>
    <w:p>
      <w:pPr>
        <w:pStyle w:val="BodyText"/>
        <w:ind w:left="0"/>
        <w:rPr>
          <w:sz w:val="18"/>
        </w:rPr>
      </w:pPr>
      <w:r>
        <w:rPr/>
        <w:br w:type="column"/>
      </w:r>
      <w:r>
        <w:rPr>
          <w:sz w:val="18"/>
        </w:rPr>
      </w:r>
    </w:p>
    <w:p>
      <w:pPr>
        <w:pStyle w:val="BodyText"/>
        <w:ind w:left="0"/>
        <w:rPr>
          <w:sz w:val="18"/>
        </w:rPr>
      </w:pPr>
    </w:p>
    <w:p>
      <w:pPr>
        <w:pStyle w:val="BodyText"/>
        <w:ind w:left="0"/>
        <w:rPr>
          <w:sz w:val="18"/>
        </w:rPr>
      </w:pPr>
    </w:p>
    <w:p>
      <w:pPr>
        <w:pStyle w:val="BodyText"/>
        <w:ind w:left="0"/>
        <w:rPr>
          <w:sz w:val="18"/>
        </w:rPr>
      </w:pPr>
    </w:p>
    <w:p>
      <w:pPr>
        <w:pStyle w:val="BodyText"/>
        <w:ind w:left="0"/>
        <w:rPr>
          <w:sz w:val="18"/>
        </w:rPr>
      </w:pPr>
    </w:p>
    <w:p>
      <w:pPr>
        <w:pStyle w:val="BodyText"/>
        <w:spacing w:before="21"/>
        <w:ind w:left="0"/>
        <w:rPr>
          <w:sz w:val="18"/>
        </w:rPr>
      </w:pPr>
    </w:p>
    <w:p>
      <w:pPr>
        <w:spacing w:line="278" w:lineRule="auto" w:before="1"/>
        <w:ind w:left="152" w:right="465" w:firstLine="0"/>
        <w:jc w:val="left"/>
        <w:rPr>
          <w:i/>
          <w:sz w:val="18"/>
        </w:rPr>
      </w:pPr>
      <w:r>
        <w:rPr>
          <w:i/>
          <w:sz w:val="18"/>
        </w:rPr>
        <w:t>Penn Yan students, Wilson and Keegan, with Yates County Public Health</w:t>
      </w:r>
      <w:r>
        <w:rPr>
          <w:i/>
          <w:sz w:val="18"/>
        </w:rPr>
        <w:t> Educator,</w:t>
      </w:r>
      <w:r>
        <w:rPr>
          <w:i/>
          <w:spacing w:val="-6"/>
          <w:sz w:val="18"/>
        </w:rPr>
        <w:t> </w:t>
      </w:r>
      <w:r>
        <w:rPr>
          <w:i/>
          <w:sz w:val="18"/>
        </w:rPr>
        <w:t>Emily</w:t>
      </w:r>
      <w:r>
        <w:rPr>
          <w:i/>
          <w:spacing w:val="-5"/>
          <w:sz w:val="18"/>
        </w:rPr>
        <w:t> </w:t>
      </w:r>
      <w:r>
        <w:rPr>
          <w:i/>
          <w:sz w:val="18"/>
        </w:rPr>
        <w:t>End,</w:t>
      </w:r>
      <w:r>
        <w:rPr>
          <w:i/>
          <w:spacing w:val="-6"/>
          <w:sz w:val="18"/>
        </w:rPr>
        <w:t> </w:t>
      </w:r>
      <w:r>
        <w:rPr>
          <w:i/>
          <w:sz w:val="18"/>
        </w:rPr>
        <w:t>at</w:t>
      </w:r>
      <w:r>
        <w:rPr>
          <w:i/>
          <w:spacing w:val="-6"/>
          <w:sz w:val="18"/>
        </w:rPr>
        <w:t> </w:t>
      </w:r>
      <w:r>
        <w:rPr>
          <w:i/>
          <w:sz w:val="18"/>
        </w:rPr>
        <w:t>the</w:t>
      </w:r>
      <w:r>
        <w:rPr>
          <w:i/>
          <w:spacing w:val="-6"/>
          <w:sz w:val="18"/>
        </w:rPr>
        <w:t> </w:t>
      </w:r>
      <w:r>
        <w:rPr>
          <w:i/>
          <w:sz w:val="18"/>
        </w:rPr>
        <w:t>Future</w:t>
      </w:r>
      <w:r>
        <w:rPr>
          <w:i/>
          <w:spacing w:val="-6"/>
          <w:sz w:val="18"/>
        </w:rPr>
        <w:t> </w:t>
      </w:r>
      <w:r>
        <w:rPr>
          <w:i/>
          <w:sz w:val="18"/>
        </w:rPr>
        <w:t>Farmers</w:t>
      </w:r>
      <w:r>
        <w:rPr>
          <w:i/>
          <w:spacing w:val="-7"/>
          <w:sz w:val="18"/>
        </w:rPr>
        <w:t> </w:t>
      </w:r>
      <w:r>
        <w:rPr>
          <w:i/>
          <w:sz w:val="18"/>
        </w:rPr>
        <w:t>of</w:t>
      </w:r>
      <w:r>
        <w:rPr>
          <w:i/>
          <w:spacing w:val="-6"/>
          <w:sz w:val="18"/>
        </w:rPr>
        <w:t> </w:t>
      </w:r>
      <w:r>
        <w:rPr>
          <w:i/>
          <w:sz w:val="18"/>
        </w:rPr>
        <w:t>America</w:t>
      </w:r>
      <w:r>
        <w:rPr>
          <w:i/>
          <w:spacing w:val="-6"/>
          <w:sz w:val="18"/>
        </w:rPr>
        <w:t> </w:t>
      </w:r>
      <w:r>
        <w:rPr>
          <w:i/>
          <w:sz w:val="18"/>
        </w:rPr>
        <w:t>(FFA)</w:t>
      </w:r>
      <w:r>
        <w:rPr>
          <w:i/>
          <w:spacing w:val="-6"/>
          <w:sz w:val="18"/>
        </w:rPr>
        <w:t> </w:t>
      </w:r>
      <w:r>
        <w:rPr>
          <w:i/>
          <w:sz w:val="18"/>
        </w:rPr>
        <w:t>ﬁeld</w:t>
      </w:r>
      <w:r>
        <w:rPr>
          <w:i/>
          <w:spacing w:val="-5"/>
          <w:sz w:val="18"/>
        </w:rPr>
        <w:t> </w:t>
      </w:r>
      <w:r>
        <w:rPr>
          <w:i/>
          <w:sz w:val="18"/>
        </w:rPr>
        <w:t>day</w:t>
      </w:r>
      <w:r>
        <w:rPr>
          <w:i/>
          <w:spacing w:val="-8"/>
          <w:sz w:val="18"/>
        </w:rPr>
        <w:t> </w:t>
      </w:r>
      <w:r>
        <w:rPr>
          <w:i/>
          <w:sz w:val="18"/>
        </w:rPr>
        <w:t>event</w:t>
      </w:r>
      <w:r>
        <w:rPr>
          <w:i/>
          <w:spacing w:val="-6"/>
          <w:sz w:val="18"/>
        </w:rPr>
        <w:t> </w:t>
      </w:r>
      <w:r>
        <w:rPr>
          <w:i/>
          <w:sz w:val="18"/>
        </w:rPr>
        <w:t>at the Penn Yan Middle School.</w:t>
      </w:r>
    </w:p>
    <w:p>
      <w:pPr>
        <w:spacing w:after="0" w:line="278" w:lineRule="auto"/>
        <w:jc w:val="left"/>
        <w:rPr>
          <w:i/>
          <w:sz w:val="18"/>
        </w:rPr>
        <w:sectPr>
          <w:type w:val="continuous"/>
          <w:pgSz w:w="12240" w:h="15840"/>
          <w:pgMar w:header="161" w:footer="1223" w:top="1360" w:bottom="1420" w:left="0" w:right="0"/>
          <w:cols w:num="2" w:equalWidth="0">
            <w:col w:w="5947" w:space="40"/>
            <w:col w:w="6253"/>
          </w:cols>
        </w:sectPr>
      </w:pPr>
    </w:p>
    <w:p>
      <w:pPr>
        <w:pStyle w:val="BodyText"/>
        <w:spacing w:line="259" w:lineRule="auto"/>
        <w:ind w:right="1467"/>
      </w:pPr>
      <w:r>
        <w:rPr/>
        <w:t>Pivital Public Health Partnership assisted in the coordinafion, development, and distribufion of the assessments.</w:t>
      </w:r>
      <w:r>
        <w:rPr>
          <w:spacing w:val="-6"/>
        </w:rPr>
        <w:t> </w:t>
      </w:r>
      <w:r>
        <w:rPr/>
        <w:t>The</w:t>
      </w:r>
      <w:r>
        <w:rPr>
          <w:spacing w:val="-4"/>
        </w:rPr>
        <w:t> </w:t>
      </w:r>
      <w:r>
        <w:rPr/>
        <w:t>data</w:t>
      </w:r>
      <w:r>
        <w:rPr>
          <w:spacing w:val="-5"/>
        </w:rPr>
        <w:t> </w:t>
      </w:r>
      <w:r>
        <w:rPr/>
        <w:t>collected</w:t>
      </w:r>
      <w:r>
        <w:rPr>
          <w:spacing w:val="-5"/>
        </w:rPr>
        <w:t> </w:t>
      </w:r>
      <w:r>
        <w:rPr/>
        <w:t>from</w:t>
      </w:r>
      <w:r>
        <w:rPr>
          <w:spacing w:val="-5"/>
        </w:rPr>
        <w:t> </w:t>
      </w:r>
      <w:r>
        <w:rPr/>
        <w:t>the</w:t>
      </w:r>
      <w:r>
        <w:rPr>
          <w:spacing w:val="-5"/>
        </w:rPr>
        <w:t> </w:t>
      </w:r>
      <w:r>
        <w:rPr/>
        <w:t>assessments</w:t>
      </w:r>
      <w:r>
        <w:rPr>
          <w:spacing w:val="-5"/>
        </w:rPr>
        <w:t> </w:t>
      </w:r>
      <w:r>
        <w:rPr/>
        <w:t>were</w:t>
      </w:r>
      <w:r>
        <w:rPr>
          <w:spacing w:val="-4"/>
        </w:rPr>
        <w:t> </w:t>
      </w:r>
      <w:r>
        <w:rPr/>
        <w:t>used</w:t>
      </w:r>
      <w:r>
        <w:rPr>
          <w:spacing w:val="-7"/>
        </w:rPr>
        <w:t> </w:t>
      </w:r>
      <w:r>
        <w:rPr/>
        <w:t>to</w:t>
      </w:r>
      <w:r>
        <w:rPr>
          <w:spacing w:val="-5"/>
        </w:rPr>
        <w:t> </w:t>
      </w:r>
      <w:r>
        <w:rPr/>
        <w:t>tell</w:t>
      </w:r>
      <w:r>
        <w:rPr>
          <w:spacing w:val="-6"/>
        </w:rPr>
        <w:t> </w:t>
      </w:r>
      <w:r>
        <w:rPr/>
        <w:t>the</w:t>
      </w:r>
      <w:r>
        <w:rPr>
          <w:spacing w:val="-4"/>
        </w:rPr>
        <w:t> </w:t>
      </w:r>
      <w:r>
        <w:rPr/>
        <w:t>community’s</w:t>
      </w:r>
      <w:r>
        <w:rPr>
          <w:spacing w:val="-6"/>
        </w:rPr>
        <w:t> </w:t>
      </w:r>
      <w:r>
        <w:rPr/>
        <w:t>story</w:t>
      </w:r>
      <w:r>
        <w:rPr>
          <w:spacing w:val="-6"/>
        </w:rPr>
        <w:t> </w:t>
      </w:r>
      <w:r>
        <w:rPr/>
        <w:t>of</w:t>
      </w:r>
      <w:r>
        <w:rPr>
          <w:spacing w:val="-7"/>
        </w:rPr>
        <w:t> </w:t>
      </w:r>
      <w:r>
        <w:rPr/>
        <w:t>overall health and well-being.</w:t>
      </w:r>
    </w:p>
    <w:p>
      <w:pPr>
        <w:pStyle w:val="BodyText"/>
        <w:spacing w:before="158"/>
      </w:pPr>
      <w:r>
        <w:rPr/>
        <w:t>Community</w:t>
      </w:r>
      <w:r>
        <w:rPr>
          <w:spacing w:val="-5"/>
        </w:rPr>
        <w:t> </w:t>
      </w:r>
      <w:r>
        <w:rPr/>
        <w:t>partners</w:t>
      </w:r>
      <w:r>
        <w:rPr>
          <w:spacing w:val="-7"/>
        </w:rPr>
        <w:t> </w:t>
      </w:r>
      <w:r>
        <w:rPr/>
        <w:t>played</w:t>
      </w:r>
      <w:r>
        <w:rPr>
          <w:spacing w:val="-7"/>
        </w:rPr>
        <w:t> </w:t>
      </w:r>
      <w:r>
        <w:rPr/>
        <w:t>a</w:t>
      </w:r>
      <w:r>
        <w:rPr>
          <w:spacing w:val="-5"/>
        </w:rPr>
        <w:t> </w:t>
      </w:r>
      <w:r>
        <w:rPr/>
        <w:t>key</w:t>
      </w:r>
      <w:r>
        <w:rPr>
          <w:spacing w:val="-6"/>
        </w:rPr>
        <w:t> </w:t>
      </w:r>
      <w:r>
        <w:rPr/>
        <w:t>role</w:t>
      </w:r>
      <w:r>
        <w:rPr>
          <w:spacing w:val="-7"/>
        </w:rPr>
        <w:t> </w:t>
      </w:r>
      <w:r>
        <w:rPr/>
        <w:t>throughout</w:t>
      </w:r>
      <w:r>
        <w:rPr>
          <w:spacing w:val="-4"/>
        </w:rPr>
        <w:t> </w:t>
      </w:r>
      <w:r>
        <w:rPr/>
        <w:t>the</w:t>
      </w:r>
      <w:r>
        <w:rPr>
          <w:spacing w:val="-7"/>
        </w:rPr>
        <w:t> </w:t>
      </w:r>
      <w:r>
        <w:rPr/>
        <w:t>development</w:t>
      </w:r>
      <w:r>
        <w:rPr>
          <w:spacing w:val="-7"/>
        </w:rPr>
        <w:t> </w:t>
      </w:r>
      <w:r>
        <w:rPr/>
        <w:t>of</w:t>
      </w:r>
      <w:r>
        <w:rPr>
          <w:spacing w:val="-8"/>
        </w:rPr>
        <w:t> </w:t>
      </w:r>
      <w:r>
        <w:rPr/>
        <w:t>the</w:t>
      </w:r>
      <w:r>
        <w:rPr>
          <w:spacing w:val="-6"/>
        </w:rPr>
        <w:t> </w:t>
      </w:r>
      <w:r>
        <w:rPr/>
        <w:t>CHA</w:t>
      </w:r>
      <w:r>
        <w:rPr>
          <w:spacing w:val="-6"/>
        </w:rPr>
        <w:t> </w:t>
      </w:r>
      <w:r>
        <w:rPr/>
        <w:t>by</w:t>
      </w:r>
      <w:r>
        <w:rPr>
          <w:spacing w:val="-4"/>
        </w:rPr>
        <w:t> </w:t>
      </w:r>
      <w:r>
        <w:rPr/>
        <w:t>complefing</w:t>
      </w:r>
      <w:r>
        <w:rPr>
          <w:spacing w:val="-7"/>
        </w:rPr>
        <w:t> </w:t>
      </w:r>
      <w:r>
        <w:rPr>
          <w:spacing w:val="-2"/>
        </w:rPr>
        <w:t>three</w:t>
      </w:r>
    </w:p>
    <w:p>
      <w:pPr>
        <w:pStyle w:val="BodyText"/>
        <w:spacing w:before="22"/>
      </w:pPr>
      <w:r>
        <w:rPr>
          <w:spacing w:val="-2"/>
        </w:rPr>
        <w:t>assessments:</w:t>
      </w:r>
    </w:p>
    <w:p>
      <w:pPr>
        <w:pStyle w:val="ListParagraph"/>
        <w:numPr>
          <w:ilvl w:val="0"/>
          <w:numId w:val="2"/>
        </w:numPr>
        <w:tabs>
          <w:tab w:pos="2160" w:val="left" w:leader="none"/>
        </w:tabs>
        <w:spacing w:line="259" w:lineRule="auto" w:before="180" w:after="0"/>
        <w:ind w:left="2160" w:right="1692" w:hanging="360"/>
        <w:jc w:val="left"/>
        <w:rPr>
          <w:rFonts w:ascii="Symbol" w:hAnsi="Symbol"/>
          <w:sz w:val="22"/>
        </w:rPr>
      </w:pPr>
      <w:r>
        <w:rPr>
          <w:sz w:val="22"/>
        </w:rPr>
        <w:t>Community</w:t>
      </w:r>
      <w:r>
        <w:rPr>
          <w:spacing w:val="-8"/>
          <w:sz w:val="22"/>
        </w:rPr>
        <w:t> </w:t>
      </w:r>
      <w:r>
        <w:rPr>
          <w:sz w:val="22"/>
        </w:rPr>
        <w:t>Partner</w:t>
      </w:r>
      <w:r>
        <w:rPr>
          <w:spacing w:val="-9"/>
          <w:sz w:val="22"/>
        </w:rPr>
        <w:t> </w:t>
      </w:r>
      <w:r>
        <w:rPr>
          <w:sz w:val="22"/>
        </w:rPr>
        <w:t>Assessment</w:t>
      </w:r>
      <w:r>
        <w:rPr>
          <w:spacing w:val="-9"/>
          <w:sz w:val="22"/>
        </w:rPr>
        <w:t> </w:t>
      </w:r>
      <w:r>
        <w:rPr>
          <w:sz w:val="22"/>
        </w:rPr>
        <w:t>(CPA):</w:t>
      </w:r>
      <w:r>
        <w:rPr>
          <w:spacing w:val="-6"/>
          <w:sz w:val="22"/>
        </w:rPr>
        <w:t> </w:t>
      </w:r>
      <w:r>
        <w:rPr>
          <w:sz w:val="22"/>
        </w:rPr>
        <w:t>An</w:t>
      </w:r>
      <w:r>
        <w:rPr>
          <w:spacing w:val="-9"/>
          <w:sz w:val="22"/>
        </w:rPr>
        <w:t> </w:t>
      </w:r>
      <w:r>
        <w:rPr>
          <w:sz w:val="22"/>
        </w:rPr>
        <w:t>evaluafion</w:t>
      </w:r>
      <w:r>
        <w:rPr>
          <w:spacing w:val="-9"/>
          <w:sz w:val="22"/>
        </w:rPr>
        <w:t> </w:t>
      </w:r>
      <w:r>
        <w:rPr>
          <w:sz w:val="22"/>
        </w:rPr>
        <w:t>of</w:t>
      </w:r>
      <w:r>
        <w:rPr>
          <w:spacing w:val="-7"/>
          <w:sz w:val="22"/>
        </w:rPr>
        <w:t> </w:t>
      </w:r>
      <w:r>
        <w:rPr>
          <w:sz w:val="22"/>
        </w:rPr>
        <w:t>collecfive</w:t>
      </w:r>
      <w:r>
        <w:rPr>
          <w:spacing w:val="-6"/>
          <w:sz w:val="22"/>
        </w:rPr>
        <w:t> </w:t>
      </w:r>
      <w:r>
        <w:rPr>
          <w:sz w:val="22"/>
        </w:rPr>
        <w:t>community</w:t>
      </w:r>
      <w:r>
        <w:rPr>
          <w:spacing w:val="-6"/>
          <w:sz w:val="22"/>
        </w:rPr>
        <w:t> </w:t>
      </w:r>
      <w:r>
        <w:rPr>
          <w:sz w:val="22"/>
        </w:rPr>
        <w:t>partner</w:t>
      </w:r>
      <w:r>
        <w:rPr>
          <w:spacing w:val="-7"/>
          <w:sz w:val="22"/>
        </w:rPr>
        <w:t> </w:t>
      </w:r>
      <w:r>
        <w:rPr>
          <w:sz w:val="22"/>
        </w:rPr>
        <w:t>systems and capacifies to idenfify partners working in the areas of health inequifies.</w:t>
      </w:r>
    </w:p>
    <w:p>
      <w:pPr>
        <w:pStyle w:val="ListParagraph"/>
        <w:numPr>
          <w:ilvl w:val="0"/>
          <w:numId w:val="2"/>
        </w:numPr>
        <w:tabs>
          <w:tab w:pos="2160" w:val="left" w:leader="none"/>
        </w:tabs>
        <w:spacing w:line="259" w:lineRule="auto" w:before="0" w:after="0"/>
        <w:ind w:left="2160" w:right="1485" w:hanging="360"/>
        <w:jc w:val="left"/>
        <w:rPr>
          <w:rFonts w:ascii="Symbol" w:hAnsi="Symbol"/>
          <w:sz w:val="22"/>
        </w:rPr>
      </w:pPr>
      <w:r>
        <w:rPr>
          <w:sz w:val="22"/>
        </w:rPr>
        <w:t>Community</w:t>
      </w:r>
      <w:r>
        <w:rPr>
          <w:spacing w:val="-3"/>
          <w:sz w:val="22"/>
        </w:rPr>
        <w:t> </w:t>
      </w:r>
      <w:r>
        <w:rPr>
          <w:sz w:val="22"/>
        </w:rPr>
        <w:t>Status</w:t>
      </w:r>
      <w:r>
        <w:rPr>
          <w:spacing w:val="-4"/>
          <w:sz w:val="22"/>
        </w:rPr>
        <w:t> </w:t>
      </w:r>
      <w:r>
        <w:rPr>
          <w:sz w:val="22"/>
        </w:rPr>
        <w:t>Assessment</w:t>
      </w:r>
      <w:r>
        <w:rPr>
          <w:spacing w:val="-3"/>
          <w:sz w:val="22"/>
        </w:rPr>
        <w:t> </w:t>
      </w:r>
      <w:r>
        <w:rPr>
          <w:sz w:val="22"/>
        </w:rPr>
        <w:t>(CSA):</w:t>
      </w:r>
      <w:r>
        <w:rPr>
          <w:spacing w:val="-3"/>
          <w:sz w:val="22"/>
        </w:rPr>
        <w:t> </w:t>
      </w:r>
      <w:r>
        <w:rPr>
          <w:sz w:val="22"/>
        </w:rPr>
        <w:t>A</w:t>
      </w:r>
      <w:r>
        <w:rPr>
          <w:spacing w:val="-6"/>
          <w:sz w:val="22"/>
        </w:rPr>
        <w:t> </w:t>
      </w:r>
      <w:r>
        <w:rPr>
          <w:sz w:val="22"/>
        </w:rPr>
        <w:t>compilafion</w:t>
      </w:r>
      <w:r>
        <w:rPr>
          <w:spacing w:val="-7"/>
          <w:sz w:val="22"/>
        </w:rPr>
        <w:t> </w:t>
      </w:r>
      <w:r>
        <w:rPr>
          <w:sz w:val="22"/>
        </w:rPr>
        <w:t>of</w:t>
      </w:r>
      <w:r>
        <w:rPr>
          <w:spacing w:val="-6"/>
          <w:sz w:val="22"/>
        </w:rPr>
        <w:t> </w:t>
      </w:r>
      <w:r>
        <w:rPr>
          <w:sz w:val="22"/>
        </w:rPr>
        <w:t>quanfitafive</w:t>
      </w:r>
      <w:r>
        <w:rPr>
          <w:spacing w:val="-3"/>
          <w:sz w:val="22"/>
        </w:rPr>
        <w:t> </w:t>
      </w:r>
      <w:r>
        <w:rPr>
          <w:sz w:val="22"/>
        </w:rPr>
        <w:t>data</w:t>
      </w:r>
      <w:r>
        <w:rPr>
          <w:spacing w:val="-4"/>
          <w:sz w:val="22"/>
        </w:rPr>
        <w:t> </w:t>
      </w:r>
      <w:r>
        <w:rPr>
          <w:sz w:val="22"/>
        </w:rPr>
        <w:t>from</w:t>
      </w:r>
      <w:r>
        <w:rPr>
          <w:spacing w:val="-5"/>
          <w:sz w:val="22"/>
        </w:rPr>
        <w:t> </w:t>
      </w:r>
      <w:r>
        <w:rPr>
          <w:sz w:val="22"/>
        </w:rPr>
        <w:t>the</w:t>
      </w:r>
      <w:r>
        <w:rPr>
          <w:spacing w:val="-6"/>
          <w:sz w:val="22"/>
        </w:rPr>
        <w:t> </w:t>
      </w:r>
      <w:r>
        <w:rPr>
          <w:sz w:val="22"/>
        </w:rPr>
        <w:t>state</w:t>
      </w:r>
      <w:r>
        <w:rPr>
          <w:spacing w:val="-6"/>
          <w:sz w:val="22"/>
        </w:rPr>
        <w:t> </w:t>
      </w:r>
      <w:r>
        <w:rPr>
          <w:sz w:val="22"/>
        </w:rPr>
        <w:t>and</w:t>
      </w:r>
      <w:r>
        <w:rPr>
          <w:spacing w:val="-5"/>
          <w:sz w:val="22"/>
        </w:rPr>
        <w:t> </w:t>
      </w:r>
      <w:r>
        <w:rPr>
          <w:sz w:val="22"/>
        </w:rPr>
        <w:t>local level to idenfify trends related to the social determinants of health and systems of power and </w:t>
      </w:r>
      <w:r>
        <w:rPr>
          <w:spacing w:val="-2"/>
          <w:sz w:val="22"/>
        </w:rPr>
        <w:t>privilege.</w:t>
      </w:r>
    </w:p>
    <w:p>
      <w:pPr>
        <w:pStyle w:val="ListParagraph"/>
        <w:numPr>
          <w:ilvl w:val="0"/>
          <w:numId w:val="2"/>
        </w:numPr>
        <w:tabs>
          <w:tab w:pos="2160" w:val="left" w:leader="none"/>
        </w:tabs>
        <w:spacing w:line="259" w:lineRule="auto" w:before="0" w:after="0"/>
        <w:ind w:left="2160" w:right="1537" w:hanging="360"/>
        <w:jc w:val="left"/>
        <w:rPr>
          <w:rFonts w:ascii="Symbol" w:hAnsi="Symbol"/>
          <w:sz w:val="22"/>
        </w:rPr>
      </w:pPr>
      <w:r>
        <w:rPr>
          <w:sz w:val="22"/>
        </w:rPr>
        <w:t>Community</w:t>
      </w:r>
      <w:r>
        <w:rPr>
          <w:spacing w:val="-4"/>
          <w:sz w:val="22"/>
        </w:rPr>
        <w:t> </w:t>
      </w:r>
      <w:r>
        <w:rPr>
          <w:sz w:val="22"/>
        </w:rPr>
        <w:t>Context</w:t>
      </w:r>
      <w:r>
        <w:rPr>
          <w:spacing w:val="-4"/>
          <w:sz w:val="22"/>
        </w:rPr>
        <w:t> </w:t>
      </w:r>
      <w:r>
        <w:rPr>
          <w:sz w:val="22"/>
        </w:rPr>
        <w:t>Assessment</w:t>
      </w:r>
      <w:r>
        <w:rPr>
          <w:spacing w:val="-7"/>
          <w:sz w:val="22"/>
        </w:rPr>
        <w:t> </w:t>
      </w:r>
      <w:r>
        <w:rPr>
          <w:sz w:val="22"/>
        </w:rPr>
        <w:t>(CCA):</w:t>
      </w:r>
      <w:r>
        <w:rPr>
          <w:spacing w:val="-6"/>
          <w:sz w:val="22"/>
        </w:rPr>
        <w:t> </w:t>
      </w:r>
      <w:r>
        <w:rPr>
          <w:sz w:val="22"/>
        </w:rPr>
        <w:t>A</w:t>
      </w:r>
      <w:r>
        <w:rPr>
          <w:spacing w:val="-5"/>
          <w:sz w:val="22"/>
        </w:rPr>
        <w:t> </w:t>
      </w:r>
      <w:r>
        <w:rPr>
          <w:sz w:val="22"/>
        </w:rPr>
        <w:t>collecfion</w:t>
      </w:r>
      <w:r>
        <w:rPr>
          <w:spacing w:val="-8"/>
          <w:sz w:val="22"/>
        </w:rPr>
        <w:t> </w:t>
      </w:r>
      <w:r>
        <w:rPr>
          <w:sz w:val="22"/>
        </w:rPr>
        <w:t>of</w:t>
      </w:r>
      <w:r>
        <w:rPr>
          <w:spacing w:val="-8"/>
          <w:sz w:val="22"/>
        </w:rPr>
        <w:t> </w:t>
      </w:r>
      <w:r>
        <w:rPr>
          <w:sz w:val="22"/>
        </w:rPr>
        <w:t>community</w:t>
      </w:r>
      <w:r>
        <w:rPr>
          <w:spacing w:val="-4"/>
          <w:sz w:val="22"/>
        </w:rPr>
        <w:t> </w:t>
      </w:r>
      <w:r>
        <w:rPr>
          <w:sz w:val="22"/>
        </w:rPr>
        <w:t>voices</w:t>
      </w:r>
      <w:r>
        <w:rPr>
          <w:spacing w:val="-5"/>
          <w:sz w:val="22"/>
        </w:rPr>
        <w:t> </w:t>
      </w:r>
      <w:r>
        <w:rPr>
          <w:sz w:val="22"/>
        </w:rPr>
        <w:t>and</w:t>
      </w:r>
      <w:r>
        <w:rPr>
          <w:spacing w:val="-5"/>
          <w:sz w:val="22"/>
        </w:rPr>
        <w:t> </w:t>
      </w:r>
      <w:r>
        <w:rPr>
          <w:sz w:val="22"/>
        </w:rPr>
        <w:t>qualitafive</w:t>
      </w:r>
      <w:r>
        <w:rPr>
          <w:spacing w:val="-4"/>
          <w:sz w:val="22"/>
        </w:rPr>
        <w:t> </w:t>
      </w:r>
      <w:r>
        <w:rPr>
          <w:sz w:val="22"/>
        </w:rPr>
        <w:t>data</w:t>
      </w:r>
      <w:r>
        <w:rPr>
          <w:spacing w:val="-5"/>
          <w:sz w:val="22"/>
        </w:rPr>
        <w:t> </w:t>
      </w:r>
      <w:r>
        <w:rPr>
          <w:sz w:val="22"/>
        </w:rPr>
        <w:t>to befter understand the lived experience and priorifies of those aﬀected by inequifies.</w:t>
      </w:r>
    </w:p>
    <w:p>
      <w:pPr>
        <w:pStyle w:val="Heading4"/>
        <w:spacing w:before="159"/>
      </w:pPr>
      <w:r>
        <w:rPr/>
        <w:t>Community</w:t>
      </w:r>
      <w:r>
        <w:rPr>
          <w:spacing w:val="-4"/>
        </w:rPr>
        <w:t> </w:t>
      </w:r>
      <w:r>
        <w:rPr>
          <w:spacing w:val="-2"/>
        </w:rPr>
        <w:t>Engagement</w:t>
      </w:r>
    </w:p>
    <w:p>
      <w:pPr>
        <w:pStyle w:val="BodyText"/>
        <w:spacing w:line="259" w:lineRule="auto" w:before="180"/>
        <w:ind w:right="1467"/>
      </w:pPr>
      <w:r>
        <w:rPr/>
        <w:t>Each</w:t>
      </w:r>
      <w:r>
        <w:rPr>
          <w:spacing w:val="-9"/>
        </w:rPr>
        <w:t> </w:t>
      </w:r>
      <w:r>
        <w:rPr/>
        <w:t>assessment</w:t>
      </w:r>
      <w:r>
        <w:rPr>
          <w:spacing w:val="-10"/>
        </w:rPr>
        <w:t> </w:t>
      </w:r>
      <w:r>
        <w:rPr/>
        <w:t>looked</w:t>
      </w:r>
      <w:r>
        <w:rPr>
          <w:spacing w:val="-9"/>
        </w:rPr>
        <w:t> </w:t>
      </w:r>
      <w:r>
        <w:rPr/>
        <w:t>to</w:t>
      </w:r>
      <w:r>
        <w:rPr>
          <w:spacing w:val="-9"/>
        </w:rPr>
        <w:t> </w:t>
      </w:r>
      <w:r>
        <w:rPr/>
        <w:t>gather</w:t>
      </w:r>
      <w:r>
        <w:rPr>
          <w:spacing w:val="-8"/>
        </w:rPr>
        <w:t> </w:t>
      </w:r>
      <w:r>
        <w:rPr/>
        <w:t>diﬀerent</w:t>
      </w:r>
      <w:r>
        <w:rPr>
          <w:spacing w:val="-7"/>
        </w:rPr>
        <w:t> </w:t>
      </w:r>
      <w:r>
        <w:rPr/>
        <w:t>informafion</w:t>
      </w:r>
      <w:r>
        <w:rPr>
          <w:spacing w:val="-9"/>
        </w:rPr>
        <w:t> </w:t>
      </w:r>
      <w:r>
        <w:rPr/>
        <w:t>by</w:t>
      </w:r>
      <w:r>
        <w:rPr>
          <w:spacing w:val="-9"/>
        </w:rPr>
        <w:t> </w:t>
      </w:r>
      <w:r>
        <w:rPr/>
        <w:t>targefing</w:t>
      </w:r>
      <w:r>
        <w:rPr>
          <w:spacing w:val="-8"/>
        </w:rPr>
        <w:t> </w:t>
      </w:r>
      <w:r>
        <w:rPr/>
        <w:t>diﬀerent</w:t>
      </w:r>
      <w:r>
        <w:rPr>
          <w:spacing w:val="-8"/>
        </w:rPr>
        <w:t> </w:t>
      </w:r>
      <w:r>
        <w:rPr/>
        <w:t>sectors</w:t>
      </w:r>
      <w:r>
        <w:rPr>
          <w:spacing w:val="-10"/>
        </w:rPr>
        <w:t> </w:t>
      </w:r>
      <w:r>
        <w:rPr/>
        <w:t>of</w:t>
      </w:r>
      <w:r>
        <w:rPr>
          <w:spacing w:val="-8"/>
        </w:rPr>
        <w:t> </w:t>
      </w:r>
      <w:r>
        <w:rPr/>
        <w:t>the</w:t>
      </w:r>
      <w:r>
        <w:rPr>
          <w:spacing w:val="-9"/>
        </w:rPr>
        <w:t> </w:t>
      </w:r>
      <w:r>
        <w:rPr/>
        <w:t>community. The CPA</w:t>
      </w:r>
      <w:r>
        <w:rPr>
          <w:spacing w:val="-2"/>
        </w:rPr>
        <w:t> </w:t>
      </w:r>
      <w:r>
        <w:rPr/>
        <w:t>was</w:t>
      </w:r>
      <w:r>
        <w:rPr>
          <w:spacing w:val="-1"/>
        </w:rPr>
        <w:t> </w:t>
      </w:r>
      <w:r>
        <w:rPr/>
        <w:t>completed</w:t>
      </w:r>
      <w:r>
        <w:rPr>
          <w:spacing w:val="-2"/>
        </w:rPr>
        <w:t> </w:t>
      </w:r>
      <w:r>
        <w:rPr/>
        <w:t>via</w:t>
      </w:r>
      <w:r>
        <w:rPr>
          <w:spacing w:val="-1"/>
        </w:rPr>
        <w:t> </w:t>
      </w:r>
      <w:r>
        <w:rPr/>
        <w:t>an online</w:t>
      </w:r>
      <w:r>
        <w:rPr>
          <w:spacing w:val="-1"/>
        </w:rPr>
        <w:t> </w:t>
      </w:r>
      <w:r>
        <w:rPr/>
        <w:t>survey plafform and distributed to approximately 22 members of</w:t>
      </w:r>
    </w:p>
    <w:p>
      <w:pPr>
        <w:pStyle w:val="BodyText"/>
        <w:spacing w:after="0" w:line="259" w:lineRule="auto"/>
        <w:sectPr>
          <w:type w:val="continuous"/>
          <w:pgSz w:w="12240" w:h="15840"/>
          <w:pgMar w:header="161" w:footer="1223" w:top="1360" w:bottom="1420" w:left="0" w:right="0"/>
        </w:sectPr>
      </w:pPr>
    </w:p>
    <w:p>
      <w:pPr>
        <w:pStyle w:val="BodyText"/>
        <w:spacing w:before="64"/>
      </w:pPr>
      <w:r>
        <w:rPr/>
        <w:t>the</w:t>
      </w:r>
      <w:r>
        <w:rPr>
          <w:spacing w:val="-7"/>
        </w:rPr>
        <w:t> </w:t>
      </w:r>
      <w:r>
        <w:rPr/>
        <w:t>Choose</w:t>
      </w:r>
      <w:r>
        <w:rPr>
          <w:spacing w:val="-6"/>
        </w:rPr>
        <w:t> </w:t>
      </w:r>
      <w:r>
        <w:rPr/>
        <w:t>Health</w:t>
      </w:r>
      <w:r>
        <w:rPr>
          <w:spacing w:val="-10"/>
        </w:rPr>
        <w:t> </w:t>
      </w:r>
      <w:r>
        <w:rPr/>
        <w:t>Yates</w:t>
      </w:r>
      <w:r>
        <w:rPr>
          <w:spacing w:val="-7"/>
        </w:rPr>
        <w:t> </w:t>
      </w:r>
      <w:r>
        <w:rPr/>
        <w:t>commiftee</w:t>
      </w:r>
      <w:r>
        <w:rPr>
          <w:spacing w:val="-6"/>
        </w:rPr>
        <w:t> </w:t>
      </w:r>
      <w:r>
        <w:rPr/>
        <w:t>in</w:t>
      </w:r>
      <w:r>
        <w:rPr>
          <w:spacing w:val="-10"/>
        </w:rPr>
        <w:t> </w:t>
      </w:r>
      <w:r>
        <w:rPr/>
        <w:t>February</w:t>
      </w:r>
      <w:r>
        <w:rPr>
          <w:spacing w:val="-8"/>
        </w:rPr>
        <w:t> </w:t>
      </w:r>
      <w:r>
        <w:rPr/>
        <w:t>2025.</w:t>
      </w:r>
      <w:r>
        <w:rPr>
          <w:spacing w:val="-11"/>
        </w:rPr>
        <w:t> </w:t>
      </w:r>
      <w:r>
        <w:rPr/>
        <w:t>The</w:t>
      </w:r>
      <w:r>
        <w:rPr>
          <w:spacing w:val="-6"/>
        </w:rPr>
        <w:t> </w:t>
      </w:r>
      <w:r>
        <w:rPr/>
        <w:t>response</w:t>
      </w:r>
      <w:r>
        <w:rPr>
          <w:spacing w:val="-8"/>
        </w:rPr>
        <w:t> </w:t>
      </w:r>
      <w:r>
        <w:rPr/>
        <w:t>rate</w:t>
      </w:r>
      <w:r>
        <w:rPr>
          <w:spacing w:val="-8"/>
        </w:rPr>
        <w:t> </w:t>
      </w:r>
      <w:r>
        <w:rPr/>
        <w:t>was</w:t>
      </w:r>
      <w:r>
        <w:rPr>
          <w:spacing w:val="-9"/>
        </w:rPr>
        <w:t> </w:t>
      </w:r>
      <w:r>
        <w:rPr/>
        <w:t>approximately</w:t>
      </w:r>
      <w:r>
        <w:rPr>
          <w:spacing w:val="-6"/>
        </w:rPr>
        <w:t> </w:t>
      </w:r>
      <w:r>
        <w:rPr/>
        <w:t>46%,</w:t>
      </w:r>
      <w:r>
        <w:rPr>
          <w:spacing w:val="-9"/>
        </w:rPr>
        <w:t> </w:t>
      </w:r>
      <w:r>
        <w:rPr>
          <w:spacing w:val="-5"/>
        </w:rPr>
        <w:t>and</w:t>
      </w:r>
    </w:p>
    <w:p>
      <w:pPr>
        <w:pStyle w:val="BodyText"/>
        <w:spacing w:before="22"/>
      </w:pPr>
      <w:r>
        <w:rPr/>
        <w:t>the</w:t>
      </w:r>
      <w:r>
        <w:rPr>
          <w:spacing w:val="-7"/>
        </w:rPr>
        <w:t> </w:t>
      </w:r>
      <w:r>
        <w:rPr/>
        <w:t>results</w:t>
      </w:r>
      <w:r>
        <w:rPr>
          <w:spacing w:val="-5"/>
        </w:rPr>
        <w:t> </w:t>
      </w:r>
      <w:r>
        <w:rPr/>
        <w:t>were</w:t>
      </w:r>
      <w:r>
        <w:rPr>
          <w:spacing w:val="-6"/>
        </w:rPr>
        <w:t> </w:t>
      </w:r>
      <w:r>
        <w:rPr/>
        <w:t>shared</w:t>
      </w:r>
      <w:r>
        <w:rPr>
          <w:spacing w:val="-8"/>
        </w:rPr>
        <w:t> </w:t>
      </w:r>
      <w:r>
        <w:rPr/>
        <w:t>with</w:t>
      </w:r>
      <w:r>
        <w:rPr>
          <w:spacing w:val="-6"/>
        </w:rPr>
        <w:t> </w:t>
      </w:r>
      <w:r>
        <w:rPr/>
        <w:t>the</w:t>
      </w:r>
      <w:r>
        <w:rPr>
          <w:spacing w:val="-4"/>
        </w:rPr>
        <w:t> </w:t>
      </w:r>
      <w:r>
        <w:rPr/>
        <w:t>group</w:t>
      </w:r>
      <w:r>
        <w:rPr>
          <w:spacing w:val="-7"/>
        </w:rPr>
        <w:t> </w:t>
      </w:r>
      <w:r>
        <w:rPr/>
        <w:t>to</w:t>
      </w:r>
      <w:r>
        <w:rPr>
          <w:spacing w:val="-3"/>
        </w:rPr>
        <w:t> </w:t>
      </w:r>
      <w:r>
        <w:rPr/>
        <w:t>highlight</w:t>
      </w:r>
      <w:r>
        <w:rPr>
          <w:spacing w:val="-4"/>
        </w:rPr>
        <w:t> </w:t>
      </w:r>
      <w:r>
        <w:rPr/>
        <w:t>partner</w:t>
      </w:r>
      <w:r>
        <w:rPr>
          <w:spacing w:val="-6"/>
        </w:rPr>
        <w:t> </w:t>
      </w:r>
      <w:r>
        <w:rPr/>
        <w:t>strengths</w:t>
      </w:r>
      <w:r>
        <w:rPr>
          <w:spacing w:val="-7"/>
        </w:rPr>
        <w:t> </w:t>
      </w:r>
      <w:r>
        <w:rPr/>
        <w:t>that</w:t>
      </w:r>
      <w:r>
        <w:rPr>
          <w:spacing w:val="-5"/>
        </w:rPr>
        <w:t> </w:t>
      </w:r>
      <w:r>
        <w:rPr/>
        <w:t>could</w:t>
      </w:r>
      <w:r>
        <w:rPr>
          <w:spacing w:val="-5"/>
        </w:rPr>
        <w:t> </w:t>
      </w:r>
      <w:r>
        <w:rPr/>
        <w:t>assist</w:t>
      </w:r>
      <w:r>
        <w:rPr>
          <w:spacing w:val="-5"/>
        </w:rPr>
        <w:t> </w:t>
      </w:r>
      <w:r>
        <w:rPr/>
        <w:t>with</w:t>
      </w:r>
      <w:r>
        <w:rPr>
          <w:spacing w:val="-6"/>
        </w:rPr>
        <w:t> </w:t>
      </w:r>
      <w:r>
        <w:rPr/>
        <w:t>the</w:t>
      </w:r>
      <w:r>
        <w:rPr>
          <w:spacing w:val="-6"/>
        </w:rPr>
        <w:t> </w:t>
      </w:r>
      <w:r>
        <w:rPr>
          <w:spacing w:val="-2"/>
        </w:rPr>
        <w:t>CHIP.</w:t>
      </w:r>
    </w:p>
    <w:p>
      <w:pPr>
        <w:pStyle w:val="BodyText"/>
        <w:spacing w:line="259" w:lineRule="auto" w:before="180"/>
        <w:ind w:right="1499"/>
      </w:pPr>
      <w:r>
        <w:rPr/>
        <w:t>The second assessment, the CCA, was developed in March and conducted between April and May of 2025.</w:t>
      </w:r>
      <w:r>
        <w:rPr>
          <w:spacing w:val="-7"/>
        </w:rPr>
        <w:t> </w:t>
      </w:r>
      <w:r>
        <w:rPr/>
        <w:t>During</w:t>
      </w:r>
      <w:r>
        <w:rPr>
          <w:spacing w:val="-4"/>
        </w:rPr>
        <w:t> </w:t>
      </w:r>
      <w:r>
        <w:rPr/>
        <w:t>the</w:t>
      </w:r>
      <w:r>
        <w:rPr>
          <w:spacing w:val="-6"/>
        </w:rPr>
        <w:t> </w:t>
      </w:r>
      <w:r>
        <w:rPr/>
        <w:t>CCA,</w:t>
      </w:r>
      <w:r>
        <w:rPr>
          <w:spacing w:val="-4"/>
        </w:rPr>
        <w:t> </w:t>
      </w:r>
      <w:r>
        <w:rPr/>
        <w:t>a</w:t>
      </w:r>
      <w:r>
        <w:rPr>
          <w:spacing w:val="-6"/>
        </w:rPr>
        <w:t> </w:t>
      </w:r>
      <w:r>
        <w:rPr/>
        <w:t>regional</w:t>
      </w:r>
      <w:r>
        <w:rPr>
          <w:spacing w:val="-4"/>
        </w:rPr>
        <w:t> </w:t>
      </w:r>
      <w:r>
        <w:rPr/>
        <w:t>survey</w:t>
      </w:r>
      <w:r>
        <w:rPr>
          <w:spacing w:val="-5"/>
        </w:rPr>
        <w:t> </w:t>
      </w:r>
      <w:r>
        <w:rPr/>
        <w:t>was</w:t>
      </w:r>
      <w:r>
        <w:rPr>
          <w:spacing w:val="-3"/>
        </w:rPr>
        <w:t> </w:t>
      </w:r>
      <w:r>
        <w:rPr/>
        <w:t>developed</w:t>
      </w:r>
      <w:r>
        <w:rPr>
          <w:spacing w:val="-5"/>
        </w:rPr>
        <w:t> </w:t>
      </w:r>
      <w:r>
        <w:rPr/>
        <w:t>and</w:t>
      </w:r>
      <w:r>
        <w:rPr>
          <w:spacing w:val="-5"/>
        </w:rPr>
        <w:t> </w:t>
      </w:r>
      <w:r>
        <w:rPr/>
        <w:t>distributed</w:t>
      </w:r>
      <w:r>
        <w:rPr>
          <w:spacing w:val="-5"/>
        </w:rPr>
        <w:t> </w:t>
      </w:r>
      <w:r>
        <w:rPr/>
        <w:t>to</w:t>
      </w:r>
      <w:r>
        <w:rPr>
          <w:spacing w:val="-2"/>
        </w:rPr>
        <w:t> </w:t>
      </w:r>
      <w:r>
        <w:rPr/>
        <w:t>gather</w:t>
      </w:r>
      <w:r>
        <w:rPr>
          <w:spacing w:val="-6"/>
        </w:rPr>
        <w:t> </w:t>
      </w:r>
      <w:r>
        <w:rPr/>
        <w:t>community</w:t>
      </w:r>
      <w:r>
        <w:rPr>
          <w:spacing w:val="-3"/>
        </w:rPr>
        <w:t> </w:t>
      </w:r>
      <w:r>
        <w:rPr/>
        <w:t>feedback. The quesfions focused on the following categories provided by the MAPP 2.0 CCA assessment toolkit: overall</w:t>
      </w:r>
      <w:r>
        <w:rPr>
          <w:spacing w:val="-7"/>
        </w:rPr>
        <w:t> </w:t>
      </w:r>
      <w:r>
        <w:rPr/>
        <w:t>health</w:t>
      </w:r>
      <w:r>
        <w:rPr>
          <w:spacing w:val="-8"/>
        </w:rPr>
        <w:t> </w:t>
      </w:r>
      <w:r>
        <w:rPr/>
        <w:t>behaviors</w:t>
      </w:r>
      <w:r>
        <w:rPr>
          <w:spacing w:val="-7"/>
        </w:rPr>
        <w:t> </w:t>
      </w:r>
      <w:r>
        <w:rPr/>
        <w:t>and</w:t>
      </w:r>
      <w:r>
        <w:rPr>
          <w:spacing w:val="-7"/>
        </w:rPr>
        <w:t> </w:t>
      </w:r>
      <w:r>
        <w:rPr/>
        <w:t>outcomes,</w:t>
      </w:r>
      <w:r>
        <w:rPr>
          <w:spacing w:val="-7"/>
        </w:rPr>
        <w:t> </w:t>
      </w:r>
      <w:r>
        <w:rPr/>
        <w:t>community</w:t>
      </w:r>
      <w:r>
        <w:rPr>
          <w:spacing w:val="-6"/>
        </w:rPr>
        <w:t> </w:t>
      </w:r>
      <w:r>
        <w:rPr/>
        <w:t>strengths</w:t>
      </w:r>
      <w:r>
        <w:rPr>
          <w:spacing w:val="-7"/>
        </w:rPr>
        <w:t> </w:t>
      </w:r>
      <w:r>
        <w:rPr/>
        <w:t>and</w:t>
      </w:r>
      <w:r>
        <w:rPr>
          <w:spacing w:val="-8"/>
        </w:rPr>
        <w:t> </w:t>
      </w:r>
      <w:r>
        <w:rPr/>
        <w:t>assets,</w:t>
      </w:r>
      <w:r>
        <w:rPr>
          <w:spacing w:val="-6"/>
        </w:rPr>
        <w:t> </w:t>
      </w:r>
      <w:r>
        <w:rPr/>
        <w:t>built</w:t>
      </w:r>
      <w:r>
        <w:rPr>
          <w:spacing w:val="-9"/>
        </w:rPr>
        <w:t> </w:t>
      </w:r>
      <w:r>
        <w:rPr/>
        <w:t>environment,</w:t>
      </w:r>
      <w:r>
        <w:rPr>
          <w:spacing w:val="-7"/>
        </w:rPr>
        <w:t> </w:t>
      </w:r>
      <w:r>
        <w:rPr/>
        <w:t>and</w:t>
      </w:r>
      <w:r>
        <w:rPr>
          <w:spacing w:val="-8"/>
        </w:rPr>
        <w:t> </w:t>
      </w:r>
      <w:r>
        <w:rPr/>
        <w:t>forces of change. Choose Health Yates made it a priority to ensure disproporfionately aﬀected populafions were included in qualitafive data collecfion by choosing various engagement methods. Yates County Public Health, along with various other stakeholders, held focus groups, community dialogues, and interviews/discussions to collect qualitafive data. A total of 11 engagement sessions were conducted throughout the CCA process. Yates County Public Health did aftempt a PhotoVoice with the aging populafion, but due to low aftendance, the session was cancelled.</w:t>
      </w:r>
    </w:p>
    <w:p>
      <w:pPr>
        <w:pStyle w:val="BodyText"/>
        <w:spacing w:line="259" w:lineRule="auto" w:before="157"/>
        <w:ind w:right="1467"/>
      </w:pPr>
      <w:r>
        <w:rPr/>
        <w:t>Overall, the engagement methods were a great success, yielding rich insight from diverse target populafions. Targeted populafions included: aging populafion, low-income neighborhoods, youth, incarcerated</w:t>
      </w:r>
      <w:r>
        <w:rPr>
          <w:spacing w:val="-11"/>
        </w:rPr>
        <w:t> </w:t>
      </w:r>
      <w:r>
        <w:rPr/>
        <w:t>individuals,</w:t>
      </w:r>
      <w:r>
        <w:rPr>
          <w:spacing w:val="-8"/>
        </w:rPr>
        <w:t> </w:t>
      </w:r>
      <w:r>
        <w:rPr/>
        <w:t>faith-based</w:t>
      </w:r>
      <w:r>
        <w:rPr>
          <w:spacing w:val="-10"/>
        </w:rPr>
        <w:t> </w:t>
      </w:r>
      <w:r>
        <w:rPr/>
        <w:t>groups,</w:t>
      </w:r>
      <w:r>
        <w:rPr>
          <w:spacing w:val="-8"/>
        </w:rPr>
        <w:t> </w:t>
      </w:r>
      <w:r>
        <w:rPr/>
        <w:t>agricultural</w:t>
      </w:r>
      <w:r>
        <w:rPr>
          <w:spacing w:val="-9"/>
        </w:rPr>
        <w:t> </w:t>
      </w:r>
      <w:r>
        <w:rPr/>
        <w:t>workers,</w:t>
      </w:r>
      <w:r>
        <w:rPr>
          <w:spacing w:val="-9"/>
        </w:rPr>
        <w:t> </w:t>
      </w:r>
      <w:r>
        <w:rPr/>
        <w:t>and</w:t>
      </w:r>
      <w:r>
        <w:rPr>
          <w:spacing w:val="-11"/>
        </w:rPr>
        <w:t> </w:t>
      </w:r>
      <w:r>
        <w:rPr/>
        <w:t>Mennonites.</w:t>
      </w:r>
      <w:r>
        <w:rPr>
          <w:spacing w:val="-9"/>
        </w:rPr>
        <w:t> </w:t>
      </w:r>
      <w:r>
        <w:rPr/>
        <w:t>Choose</w:t>
      </w:r>
      <w:r>
        <w:rPr>
          <w:spacing w:val="-8"/>
        </w:rPr>
        <w:t> </w:t>
      </w:r>
      <w:r>
        <w:rPr/>
        <w:t>Health</w:t>
      </w:r>
      <w:r>
        <w:rPr>
          <w:spacing w:val="-10"/>
        </w:rPr>
        <w:t> </w:t>
      </w:r>
      <w:r>
        <w:rPr/>
        <w:t>Yates methodically idenfiﬁed where these populafions were already meefing, and the agency conducfing the CCA asked to be invited to the gathering to conduct the assessment. The groups provided extensive construcfive feedback that painted a clear picture of community needs and exisfing strengths to build upon.</w:t>
      </w:r>
      <w:r>
        <w:rPr>
          <w:spacing w:val="-4"/>
        </w:rPr>
        <w:t> </w:t>
      </w:r>
      <w:r>
        <w:rPr/>
        <w:t>Preliminary</w:t>
      </w:r>
      <w:r>
        <w:rPr>
          <w:spacing w:val="-5"/>
        </w:rPr>
        <w:t> </w:t>
      </w:r>
      <w:r>
        <w:rPr/>
        <w:t>data</w:t>
      </w:r>
      <w:r>
        <w:rPr>
          <w:spacing w:val="-4"/>
        </w:rPr>
        <w:t> </w:t>
      </w:r>
      <w:r>
        <w:rPr/>
        <w:t>from</w:t>
      </w:r>
      <w:r>
        <w:rPr>
          <w:spacing w:val="-4"/>
        </w:rPr>
        <w:t> </w:t>
      </w:r>
      <w:r>
        <w:rPr/>
        <w:t>the</w:t>
      </w:r>
      <w:r>
        <w:rPr>
          <w:spacing w:val="-4"/>
        </w:rPr>
        <w:t> </w:t>
      </w:r>
      <w:r>
        <w:rPr/>
        <w:t>CCA</w:t>
      </w:r>
      <w:r>
        <w:rPr>
          <w:spacing w:val="-6"/>
        </w:rPr>
        <w:t> </w:t>
      </w:r>
      <w:r>
        <w:rPr/>
        <w:t>were</w:t>
      </w:r>
      <w:r>
        <w:rPr>
          <w:spacing w:val="-4"/>
        </w:rPr>
        <w:t> </w:t>
      </w:r>
      <w:r>
        <w:rPr/>
        <w:t>shared</w:t>
      </w:r>
      <w:r>
        <w:rPr>
          <w:spacing w:val="-4"/>
        </w:rPr>
        <w:t> </w:t>
      </w:r>
      <w:r>
        <w:rPr/>
        <w:t>at</w:t>
      </w:r>
      <w:r>
        <w:rPr>
          <w:spacing w:val="-6"/>
        </w:rPr>
        <w:t> </w:t>
      </w:r>
      <w:r>
        <w:rPr/>
        <w:t>each</w:t>
      </w:r>
      <w:r>
        <w:rPr>
          <w:spacing w:val="-7"/>
        </w:rPr>
        <w:t> </w:t>
      </w:r>
      <w:r>
        <w:rPr/>
        <w:t>monthly</w:t>
      </w:r>
      <w:r>
        <w:rPr>
          <w:spacing w:val="-5"/>
        </w:rPr>
        <w:t> </w:t>
      </w:r>
      <w:r>
        <w:rPr/>
        <w:t>meefing</w:t>
      </w:r>
      <w:r>
        <w:rPr>
          <w:spacing w:val="-4"/>
        </w:rPr>
        <w:t> </w:t>
      </w:r>
      <w:r>
        <w:rPr/>
        <w:t>with</w:t>
      </w:r>
      <w:r>
        <w:rPr>
          <w:spacing w:val="-7"/>
        </w:rPr>
        <w:t> </w:t>
      </w:r>
      <w:r>
        <w:rPr/>
        <w:t>Choose</w:t>
      </w:r>
      <w:r>
        <w:rPr>
          <w:spacing w:val="-4"/>
        </w:rPr>
        <w:t> </w:t>
      </w:r>
      <w:r>
        <w:rPr/>
        <w:t>Health</w:t>
      </w:r>
      <w:r>
        <w:rPr>
          <w:spacing w:val="-4"/>
        </w:rPr>
        <w:t> </w:t>
      </w:r>
      <w:r>
        <w:rPr/>
        <w:t>Yates</w:t>
      </w:r>
      <w:r>
        <w:rPr>
          <w:spacing w:val="-6"/>
        </w:rPr>
        <w:t> </w:t>
      </w:r>
      <w:r>
        <w:rPr/>
        <w:t>to gather input from commiftee members.</w:t>
      </w:r>
    </w:p>
    <w:p>
      <w:pPr>
        <w:pStyle w:val="BodyText"/>
        <w:spacing w:line="259" w:lineRule="auto" w:before="159"/>
        <w:ind w:right="1467"/>
      </w:pPr>
      <w:r>
        <w:rPr/>
        <w:t>While the CCA was being conducted, Pivital Public Health Partnership completed the CSA. This was completed</w:t>
      </w:r>
      <w:r>
        <w:rPr>
          <w:spacing w:val="-9"/>
        </w:rPr>
        <w:t> </w:t>
      </w:r>
      <w:r>
        <w:rPr/>
        <w:t>by</w:t>
      </w:r>
      <w:r>
        <w:rPr>
          <w:spacing w:val="-7"/>
        </w:rPr>
        <w:t> </w:t>
      </w:r>
      <w:r>
        <w:rPr/>
        <w:t>compiling</w:t>
      </w:r>
      <w:r>
        <w:rPr>
          <w:spacing w:val="-8"/>
        </w:rPr>
        <w:t> </w:t>
      </w:r>
      <w:r>
        <w:rPr/>
        <w:t>secondary</w:t>
      </w:r>
      <w:r>
        <w:rPr>
          <w:spacing w:val="-7"/>
        </w:rPr>
        <w:t> </w:t>
      </w:r>
      <w:r>
        <w:rPr/>
        <w:t>data</w:t>
      </w:r>
      <w:r>
        <w:rPr>
          <w:spacing w:val="-8"/>
        </w:rPr>
        <w:t> </w:t>
      </w:r>
      <w:r>
        <w:rPr/>
        <w:t>into</w:t>
      </w:r>
      <w:r>
        <w:rPr>
          <w:spacing w:val="-7"/>
        </w:rPr>
        <w:t> </w:t>
      </w:r>
      <w:r>
        <w:rPr/>
        <w:t>scorecards</w:t>
      </w:r>
      <w:r>
        <w:rPr>
          <w:spacing w:val="-8"/>
        </w:rPr>
        <w:t> </w:t>
      </w:r>
      <w:r>
        <w:rPr/>
        <w:t>stored</w:t>
      </w:r>
      <w:r>
        <w:rPr>
          <w:spacing w:val="-9"/>
        </w:rPr>
        <w:t> </w:t>
      </w:r>
      <w:r>
        <w:rPr/>
        <w:t>in</w:t>
      </w:r>
      <w:r>
        <w:rPr>
          <w:spacing w:val="-9"/>
        </w:rPr>
        <w:t> </w:t>
      </w:r>
      <w:r>
        <w:rPr/>
        <w:t>the</w:t>
      </w:r>
      <w:r>
        <w:rPr>
          <w:spacing w:val="-7"/>
        </w:rPr>
        <w:t> </w:t>
      </w:r>
      <w:r>
        <w:rPr/>
        <w:t>performance</w:t>
      </w:r>
      <w:r>
        <w:rPr>
          <w:spacing w:val="-10"/>
        </w:rPr>
        <w:t> </w:t>
      </w:r>
      <w:r>
        <w:rPr/>
        <w:t>management</w:t>
      </w:r>
      <w:r>
        <w:rPr>
          <w:spacing w:val="-7"/>
        </w:rPr>
        <w:t> </w:t>
      </w:r>
      <w:r>
        <w:rPr/>
        <w:t>system, Clear Impact. The scorecards made data easily accessible and shareable among stakeholders and community members, helping review the overall health status of Yates County.</w:t>
      </w:r>
    </w:p>
    <w:p>
      <w:pPr>
        <w:pStyle w:val="BodyText"/>
        <w:spacing w:line="259" w:lineRule="auto" w:before="160"/>
        <w:ind w:right="1602"/>
      </w:pPr>
      <w:r>
        <w:rPr/>
        <w:t>Throughout</w:t>
      </w:r>
      <w:r>
        <w:rPr>
          <w:spacing w:val="-6"/>
        </w:rPr>
        <w:t> </w:t>
      </w:r>
      <w:r>
        <w:rPr/>
        <w:t>the</w:t>
      </w:r>
      <w:r>
        <w:rPr>
          <w:spacing w:val="-6"/>
        </w:rPr>
        <w:t> </w:t>
      </w:r>
      <w:r>
        <w:rPr/>
        <w:t>assessments,</w:t>
      </w:r>
      <w:r>
        <w:rPr>
          <w:spacing w:val="-6"/>
        </w:rPr>
        <w:t> </w:t>
      </w:r>
      <w:r>
        <w:rPr/>
        <w:t>the</w:t>
      </w:r>
      <w:r>
        <w:rPr>
          <w:spacing w:val="-7"/>
        </w:rPr>
        <w:t> </w:t>
      </w:r>
      <w:r>
        <w:rPr/>
        <w:t>Choose</w:t>
      </w:r>
      <w:r>
        <w:rPr>
          <w:spacing w:val="-6"/>
        </w:rPr>
        <w:t> </w:t>
      </w:r>
      <w:r>
        <w:rPr/>
        <w:t>Health</w:t>
      </w:r>
      <w:r>
        <w:rPr>
          <w:spacing w:val="-8"/>
        </w:rPr>
        <w:t> </w:t>
      </w:r>
      <w:r>
        <w:rPr/>
        <w:t>Yates</w:t>
      </w:r>
      <w:r>
        <w:rPr>
          <w:spacing w:val="-7"/>
        </w:rPr>
        <w:t> </w:t>
      </w:r>
      <w:r>
        <w:rPr/>
        <w:t>commiftee</w:t>
      </w:r>
      <w:r>
        <w:rPr>
          <w:spacing w:val="-7"/>
        </w:rPr>
        <w:t> </w:t>
      </w:r>
      <w:r>
        <w:rPr/>
        <w:t>met</w:t>
      </w:r>
      <w:r>
        <w:rPr>
          <w:spacing w:val="-7"/>
        </w:rPr>
        <w:t> </w:t>
      </w:r>
      <w:r>
        <w:rPr/>
        <w:t>regularly</w:t>
      </w:r>
      <w:r>
        <w:rPr>
          <w:spacing w:val="-6"/>
        </w:rPr>
        <w:t> </w:t>
      </w:r>
      <w:r>
        <w:rPr/>
        <w:t>to</w:t>
      </w:r>
      <w:r>
        <w:rPr>
          <w:spacing w:val="-4"/>
        </w:rPr>
        <w:t> </w:t>
      </w:r>
      <w:r>
        <w:rPr/>
        <w:t>present</w:t>
      </w:r>
      <w:r>
        <w:rPr>
          <w:spacing w:val="-6"/>
        </w:rPr>
        <w:t> </w:t>
      </w:r>
      <w:r>
        <w:rPr/>
        <w:t>and</w:t>
      </w:r>
      <w:r>
        <w:rPr>
          <w:spacing w:val="-6"/>
        </w:rPr>
        <w:t> </w:t>
      </w:r>
      <w:r>
        <w:rPr/>
        <w:t>discuss ﬁndings from all three assessments. These sessions encouraged quesfions, feedback, and shared interpretafion</w:t>
      </w:r>
      <w:r>
        <w:rPr>
          <w:spacing w:val="-3"/>
        </w:rPr>
        <w:t> </w:t>
      </w:r>
      <w:r>
        <w:rPr/>
        <w:t>of</w:t>
      </w:r>
      <w:r>
        <w:rPr>
          <w:spacing w:val="-3"/>
        </w:rPr>
        <w:t> </w:t>
      </w:r>
      <w:r>
        <w:rPr/>
        <w:t>the data.</w:t>
      </w:r>
      <w:r>
        <w:rPr>
          <w:spacing w:val="-5"/>
        </w:rPr>
        <w:t> </w:t>
      </w:r>
      <w:r>
        <w:rPr/>
        <w:t>The full commiftee collaborafively</w:t>
      </w:r>
      <w:r>
        <w:rPr>
          <w:spacing w:val="-1"/>
        </w:rPr>
        <w:t> </w:t>
      </w:r>
      <w:r>
        <w:rPr/>
        <w:t>reviewed</w:t>
      </w:r>
      <w:r>
        <w:rPr>
          <w:spacing w:val="-1"/>
        </w:rPr>
        <w:t> </w:t>
      </w:r>
      <w:r>
        <w:rPr/>
        <w:t>and</w:t>
      </w:r>
      <w:r>
        <w:rPr>
          <w:spacing w:val="-1"/>
        </w:rPr>
        <w:t> </w:t>
      </w:r>
      <w:r>
        <w:rPr/>
        <w:t>discussed</w:t>
      </w:r>
      <w:r>
        <w:rPr>
          <w:spacing w:val="-1"/>
        </w:rPr>
        <w:t> </w:t>
      </w:r>
      <w:r>
        <w:rPr/>
        <w:t>the</w:t>
      </w:r>
      <w:r>
        <w:rPr>
          <w:spacing w:val="-1"/>
        </w:rPr>
        <w:t> </w:t>
      </w:r>
      <w:r>
        <w:rPr/>
        <w:t>triangulated results, allowing partners to validate ﬁndings and contribute to idenfifying several cross-cufting themes. These themes included:</w:t>
      </w:r>
    </w:p>
    <w:p>
      <w:pPr>
        <w:pStyle w:val="ListParagraph"/>
        <w:numPr>
          <w:ilvl w:val="0"/>
          <w:numId w:val="2"/>
        </w:numPr>
        <w:tabs>
          <w:tab w:pos="2159" w:val="left" w:leader="none"/>
        </w:tabs>
        <w:spacing w:line="240" w:lineRule="auto" w:before="158" w:after="0"/>
        <w:ind w:left="2159" w:right="0" w:hanging="359"/>
        <w:jc w:val="left"/>
        <w:rPr>
          <w:rFonts w:ascii="Symbol" w:hAnsi="Symbol"/>
          <w:sz w:val="20"/>
        </w:rPr>
      </w:pPr>
      <w:r>
        <w:rPr>
          <w:sz w:val="22"/>
        </w:rPr>
        <w:t>Access</w:t>
      </w:r>
      <w:r>
        <w:rPr>
          <w:spacing w:val="-9"/>
          <w:sz w:val="22"/>
        </w:rPr>
        <w:t> </w:t>
      </w:r>
      <w:r>
        <w:rPr>
          <w:sz w:val="22"/>
        </w:rPr>
        <w:t>to</w:t>
      </w:r>
      <w:r>
        <w:rPr>
          <w:spacing w:val="-8"/>
          <w:sz w:val="22"/>
        </w:rPr>
        <w:t> </w:t>
      </w:r>
      <w:r>
        <w:rPr>
          <w:sz w:val="22"/>
        </w:rPr>
        <w:t>Care/Insurance</w:t>
      </w:r>
      <w:r>
        <w:rPr>
          <w:spacing w:val="-5"/>
          <w:sz w:val="22"/>
        </w:rPr>
        <w:t> </w:t>
      </w:r>
      <w:r>
        <w:rPr>
          <w:spacing w:val="-2"/>
          <w:sz w:val="22"/>
        </w:rPr>
        <w:t>Stability</w:t>
      </w:r>
    </w:p>
    <w:p>
      <w:pPr>
        <w:pStyle w:val="ListParagraph"/>
        <w:numPr>
          <w:ilvl w:val="0"/>
          <w:numId w:val="2"/>
        </w:numPr>
        <w:tabs>
          <w:tab w:pos="2159" w:val="left" w:leader="none"/>
        </w:tabs>
        <w:spacing w:line="240" w:lineRule="auto" w:before="0" w:after="0"/>
        <w:ind w:left="2159" w:right="0" w:hanging="359"/>
        <w:jc w:val="left"/>
        <w:rPr>
          <w:rFonts w:ascii="Symbol" w:hAnsi="Symbol"/>
          <w:sz w:val="20"/>
        </w:rPr>
      </w:pPr>
      <w:r>
        <w:rPr>
          <w:sz w:val="22"/>
        </w:rPr>
        <w:t>Opportunifies</w:t>
      </w:r>
      <w:r>
        <w:rPr>
          <w:spacing w:val="-8"/>
          <w:sz w:val="22"/>
        </w:rPr>
        <w:t> </w:t>
      </w:r>
      <w:r>
        <w:rPr>
          <w:sz w:val="22"/>
        </w:rPr>
        <w:t>for</w:t>
      </w:r>
      <w:r>
        <w:rPr>
          <w:spacing w:val="-8"/>
          <w:sz w:val="22"/>
        </w:rPr>
        <w:t> </w:t>
      </w:r>
      <w:r>
        <w:rPr>
          <w:sz w:val="22"/>
        </w:rPr>
        <w:t>Acfive</w:t>
      </w:r>
      <w:r>
        <w:rPr>
          <w:spacing w:val="-9"/>
          <w:sz w:val="22"/>
        </w:rPr>
        <w:t> </w:t>
      </w:r>
      <w:r>
        <w:rPr>
          <w:sz w:val="22"/>
        </w:rPr>
        <w:t>Transportafion</w:t>
      </w:r>
      <w:r>
        <w:rPr>
          <w:spacing w:val="-7"/>
          <w:sz w:val="22"/>
        </w:rPr>
        <w:t> </w:t>
      </w:r>
      <w:r>
        <w:rPr>
          <w:sz w:val="22"/>
        </w:rPr>
        <w:t>&amp;</w:t>
      </w:r>
      <w:r>
        <w:rPr>
          <w:spacing w:val="-9"/>
          <w:sz w:val="22"/>
        </w:rPr>
        <w:t> </w:t>
      </w:r>
      <w:r>
        <w:rPr>
          <w:sz w:val="22"/>
        </w:rPr>
        <w:t>Physical</w:t>
      </w:r>
      <w:r>
        <w:rPr>
          <w:spacing w:val="-7"/>
          <w:sz w:val="22"/>
        </w:rPr>
        <w:t> </w:t>
      </w:r>
      <w:r>
        <w:rPr>
          <w:spacing w:val="-2"/>
          <w:sz w:val="22"/>
        </w:rPr>
        <w:t>Acfivity</w:t>
      </w:r>
    </w:p>
    <w:p>
      <w:pPr>
        <w:pStyle w:val="ListParagraph"/>
        <w:numPr>
          <w:ilvl w:val="0"/>
          <w:numId w:val="2"/>
        </w:numPr>
        <w:tabs>
          <w:tab w:pos="2159" w:val="left" w:leader="none"/>
        </w:tabs>
        <w:spacing w:line="240" w:lineRule="auto" w:before="0" w:after="0"/>
        <w:ind w:left="2159" w:right="0" w:hanging="359"/>
        <w:jc w:val="left"/>
        <w:rPr>
          <w:rFonts w:ascii="Symbol" w:hAnsi="Symbol"/>
          <w:sz w:val="20"/>
        </w:rPr>
      </w:pPr>
      <w:r>
        <w:rPr>
          <w:sz w:val="22"/>
        </w:rPr>
        <w:t>Housing</w:t>
      </w:r>
      <w:r>
        <w:rPr>
          <w:spacing w:val="-4"/>
          <w:sz w:val="22"/>
        </w:rPr>
        <w:t> </w:t>
      </w:r>
      <w:r>
        <w:rPr>
          <w:sz w:val="22"/>
        </w:rPr>
        <w:t>Stability</w:t>
      </w:r>
      <w:r>
        <w:rPr>
          <w:spacing w:val="-5"/>
          <w:sz w:val="22"/>
        </w:rPr>
        <w:t> </w:t>
      </w:r>
      <w:r>
        <w:rPr>
          <w:sz w:val="22"/>
        </w:rPr>
        <w:t>&amp;</w:t>
      </w:r>
      <w:r>
        <w:rPr>
          <w:spacing w:val="-3"/>
          <w:sz w:val="22"/>
        </w:rPr>
        <w:t> </w:t>
      </w:r>
      <w:r>
        <w:rPr>
          <w:spacing w:val="-2"/>
          <w:sz w:val="22"/>
        </w:rPr>
        <w:t>Aﬀordability</w:t>
      </w:r>
    </w:p>
    <w:p>
      <w:pPr>
        <w:pStyle w:val="ListParagraph"/>
        <w:numPr>
          <w:ilvl w:val="0"/>
          <w:numId w:val="2"/>
        </w:numPr>
        <w:tabs>
          <w:tab w:pos="2159" w:val="left" w:leader="none"/>
        </w:tabs>
        <w:spacing w:line="240" w:lineRule="auto" w:before="0" w:after="0"/>
        <w:ind w:left="2159" w:right="0" w:hanging="359"/>
        <w:jc w:val="left"/>
        <w:rPr>
          <w:rFonts w:ascii="Symbol" w:hAnsi="Symbol"/>
          <w:sz w:val="20"/>
        </w:rPr>
      </w:pPr>
      <w:r>
        <w:rPr>
          <w:sz w:val="22"/>
        </w:rPr>
        <w:t>Mental</w:t>
      </w:r>
      <w:r>
        <w:rPr>
          <w:spacing w:val="-12"/>
          <w:sz w:val="22"/>
        </w:rPr>
        <w:t> </w:t>
      </w:r>
      <w:r>
        <w:rPr>
          <w:sz w:val="22"/>
        </w:rPr>
        <w:t>Wellbeing</w:t>
      </w:r>
      <w:r>
        <w:rPr>
          <w:spacing w:val="-10"/>
          <w:sz w:val="22"/>
        </w:rPr>
        <w:t> </w:t>
      </w:r>
      <w:r>
        <w:rPr>
          <w:sz w:val="22"/>
        </w:rPr>
        <w:t>&amp;</w:t>
      </w:r>
      <w:r>
        <w:rPr>
          <w:spacing w:val="-9"/>
          <w:sz w:val="22"/>
        </w:rPr>
        <w:t> </w:t>
      </w:r>
      <w:r>
        <w:rPr>
          <w:sz w:val="22"/>
        </w:rPr>
        <w:t>Substance</w:t>
      </w:r>
      <w:r>
        <w:rPr>
          <w:spacing w:val="-8"/>
          <w:sz w:val="22"/>
        </w:rPr>
        <w:t> </w:t>
      </w:r>
      <w:r>
        <w:rPr>
          <w:spacing w:val="-5"/>
          <w:sz w:val="22"/>
        </w:rPr>
        <w:t>Use</w:t>
      </w:r>
    </w:p>
    <w:p>
      <w:pPr>
        <w:pStyle w:val="ListParagraph"/>
        <w:numPr>
          <w:ilvl w:val="0"/>
          <w:numId w:val="2"/>
        </w:numPr>
        <w:tabs>
          <w:tab w:pos="2159" w:val="left" w:leader="none"/>
        </w:tabs>
        <w:spacing w:line="240" w:lineRule="auto" w:before="0" w:after="0"/>
        <w:ind w:left="2159" w:right="0" w:hanging="359"/>
        <w:jc w:val="left"/>
        <w:rPr>
          <w:rFonts w:ascii="Symbol" w:hAnsi="Symbol"/>
          <w:sz w:val="20"/>
        </w:rPr>
      </w:pPr>
      <w:r>
        <w:rPr>
          <w:sz w:val="22"/>
        </w:rPr>
        <w:t>Injuries</w:t>
      </w:r>
      <w:r>
        <w:rPr>
          <w:spacing w:val="-3"/>
          <w:sz w:val="22"/>
        </w:rPr>
        <w:t> </w:t>
      </w:r>
      <w:r>
        <w:rPr>
          <w:sz w:val="22"/>
        </w:rPr>
        <w:t>&amp;</w:t>
      </w:r>
      <w:r>
        <w:rPr>
          <w:spacing w:val="-1"/>
          <w:sz w:val="22"/>
        </w:rPr>
        <w:t> </w:t>
      </w:r>
      <w:r>
        <w:rPr>
          <w:spacing w:val="-2"/>
          <w:sz w:val="22"/>
        </w:rPr>
        <w:t>Violence</w:t>
      </w:r>
    </w:p>
    <w:p>
      <w:pPr>
        <w:pStyle w:val="ListParagraph"/>
        <w:numPr>
          <w:ilvl w:val="0"/>
          <w:numId w:val="2"/>
        </w:numPr>
        <w:tabs>
          <w:tab w:pos="2159" w:val="left" w:leader="none"/>
        </w:tabs>
        <w:spacing w:line="240" w:lineRule="auto" w:before="1" w:after="0"/>
        <w:ind w:left="2159" w:right="0" w:hanging="359"/>
        <w:jc w:val="left"/>
        <w:rPr>
          <w:rFonts w:ascii="Symbol" w:hAnsi="Symbol"/>
          <w:sz w:val="20"/>
        </w:rPr>
      </w:pPr>
      <w:r>
        <w:rPr>
          <w:sz w:val="22"/>
        </w:rPr>
        <w:t>Opportunifies</w:t>
      </w:r>
      <w:r>
        <w:rPr>
          <w:spacing w:val="-5"/>
          <w:sz w:val="22"/>
        </w:rPr>
        <w:t> </w:t>
      </w:r>
      <w:r>
        <w:rPr>
          <w:sz w:val="22"/>
        </w:rPr>
        <w:t>for</w:t>
      </w:r>
      <w:r>
        <w:rPr>
          <w:spacing w:val="-5"/>
          <w:sz w:val="22"/>
        </w:rPr>
        <w:t> </w:t>
      </w:r>
      <w:r>
        <w:rPr>
          <w:sz w:val="22"/>
        </w:rPr>
        <w:t>Confinued</w:t>
      </w:r>
      <w:r>
        <w:rPr>
          <w:spacing w:val="-4"/>
          <w:sz w:val="22"/>
        </w:rPr>
        <w:t> </w:t>
      </w:r>
      <w:r>
        <w:rPr>
          <w:spacing w:val="-2"/>
          <w:sz w:val="22"/>
        </w:rPr>
        <w:t>Educafion</w:t>
      </w:r>
    </w:p>
    <w:p>
      <w:pPr>
        <w:pStyle w:val="BodyText"/>
        <w:spacing w:line="259" w:lineRule="auto" w:before="252"/>
        <w:ind w:right="1499"/>
      </w:pPr>
      <w:r>
        <w:rPr/>
        <w:t>The cross-cufting themes were used to develop issue statements for each priority area. The issue statements</w:t>
      </w:r>
      <w:r>
        <w:rPr>
          <w:spacing w:val="-8"/>
        </w:rPr>
        <w:t> </w:t>
      </w:r>
      <w:r>
        <w:rPr/>
        <w:t>were</w:t>
      </w:r>
      <w:r>
        <w:rPr>
          <w:spacing w:val="-5"/>
        </w:rPr>
        <w:t> </w:t>
      </w:r>
      <w:r>
        <w:rPr/>
        <w:t>used</w:t>
      </w:r>
      <w:r>
        <w:rPr>
          <w:spacing w:val="-6"/>
        </w:rPr>
        <w:t> </w:t>
      </w:r>
      <w:r>
        <w:rPr/>
        <w:t>to</w:t>
      </w:r>
      <w:r>
        <w:rPr>
          <w:spacing w:val="-5"/>
        </w:rPr>
        <w:t> </w:t>
      </w:r>
      <w:r>
        <w:rPr/>
        <w:t>complete</w:t>
      </w:r>
      <w:r>
        <w:rPr>
          <w:spacing w:val="-7"/>
        </w:rPr>
        <w:t> </w:t>
      </w:r>
      <w:r>
        <w:rPr/>
        <w:t>root</w:t>
      </w:r>
      <w:r>
        <w:rPr>
          <w:spacing w:val="-5"/>
        </w:rPr>
        <w:t> </w:t>
      </w:r>
      <w:r>
        <w:rPr/>
        <w:t>cause</w:t>
      </w:r>
      <w:r>
        <w:rPr>
          <w:spacing w:val="-5"/>
        </w:rPr>
        <w:t> </w:t>
      </w:r>
      <w:r>
        <w:rPr/>
        <w:t>analyses</w:t>
      </w:r>
      <w:r>
        <w:rPr>
          <w:spacing w:val="-6"/>
        </w:rPr>
        <w:t> </w:t>
      </w:r>
      <w:r>
        <w:rPr/>
        <w:t>and</w:t>
      </w:r>
      <w:r>
        <w:rPr>
          <w:spacing w:val="-7"/>
        </w:rPr>
        <w:t> </w:t>
      </w:r>
      <w:r>
        <w:rPr/>
        <w:t>create</w:t>
      </w:r>
      <w:r>
        <w:rPr>
          <w:spacing w:val="-5"/>
        </w:rPr>
        <w:t> </w:t>
      </w:r>
      <w:r>
        <w:rPr/>
        <w:t>issue</w:t>
      </w:r>
      <w:r>
        <w:rPr>
          <w:spacing w:val="-5"/>
        </w:rPr>
        <w:t> </w:t>
      </w:r>
      <w:r>
        <w:rPr/>
        <w:t>proﬁles</w:t>
      </w:r>
      <w:r>
        <w:rPr>
          <w:spacing w:val="-6"/>
        </w:rPr>
        <w:t> </w:t>
      </w:r>
      <w:r>
        <w:rPr/>
        <w:t>for</w:t>
      </w:r>
      <w:r>
        <w:rPr>
          <w:spacing w:val="-6"/>
        </w:rPr>
        <w:t> </w:t>
      </w:r>
      <w:r>
        <w:rPr/>
        <w:t>each</w:t>
      </w:r>
      <w:r>
        <w:rPr>
          <w:spacing w:val="-6"/>
        </w:rPr>
        <w:t> </w:t>
      </w:r>
      <w:r>
        <w:rPr/>
        <w:t>health</w:t>
      </w:r>
      <w:r>
        <w:rPr>
          <w:spacing w:val="-7"/>
        </w:rPr>
        <w:t> </w:t>
      </w:r>
      <w:r>
        <w:rPr/>
        <w:t>priority. Partners</w:t>
      </w:r>
      <w:r>
        <w:rPr>
          <w:spacing w:val="-3"/>
        </w:rPr>
        <w:t> </w:t>
      </w:r>
      <w:r>
        <w:rPr/>
        <w:t>acfively</w:t>
      </w:r>
      <w:r>
        <w:rPr>
          <w:spacing w:val="-3"/>
        </w:rPr>
        <w:t> </w:t>
      </w:r>
      <w:r>
        <w:rPr/>
        <w:t>parficipated</w:t>
      </w:r>
      <w:r>
        <w:rPr>
          <w:spacing w:val="-4"/>
        </w:rPr>
        <w:t> </w:t>
      </w:r>
      <w:r>
        <w:rPr/>
        <w:t>in</w:t>
      </w:r>
      <w:r>
        <w:rPr>
          <w:spacing w:val="-3"/>
        </w:rPr>
        <w:t> </w:t>
      </w:r>
      <w:r>
        <w:rPr/>
        <w:t>analyzing</w:t>
      </w:r>
      <w:r>
        <w:rPr>
          <w:spacing w:val="-4"/>
        </w:rPr>
        <w:t> </w:t>
      </w:r>
      <w:r>
        <w:rPr/>
        <w:t>and</w:t>
      </w:r>
      <w:r>
        <w:rPr>
          <w:spacing w:val="-3"/>
        </w:rPr>
        <w:t> </w:t>
      </w:r>
      <w:r>
        <w:rPr/>
        <w:t>reviewing</w:t>
      </w:r>
      <w:r>
        <w:rPr>
          <w:spacing w:val="-4"/>
        </w:rPr>
        <w:t> </w:t>
      </w:r>
      <w:r>
        <w:rPr/>
        <w:t>these</w:t>
      </w:r>
      <w:r>
        <w:rPr>
          <w:spacing w:val="-3"/>
        </w:rPr>
        <w:t> </w:t>
      </w:r>
      <w:r>
        <w:rPr/>
        <w:t>issue</w:t>
      </w:r>
      <w:r>
        <w:rPr>
          <w:spacing w:val="-3"/>
        </w:rPr>
        <w:t> </w:t>
      </w:r>
      <w:r>
        <w:rPr/>
        <w:t>proﬁles.</w:t>
      </w:r>
      <w:r>
        <w:rPr>
          <w:spacing w:val="-3"/>
        </w:rPr>
        <w:t> </w:t>
      </w:r>
      <w:r>
        <w:rPr/>
        <w:t>The</w:t>
      </w:r>
      <w:r>
        <w:rPr>
          <w:spacing w:val="-4"/>
        </w:rPr>
        <w:t> </w:t>
      </w:r>
      <w:r>
        <w:rPr/>
        <w:t>group</w:t>
      </w:r>
      <w:r>
        <w:rPr>
          <w:spacing w:val="-6"/>
        </w:rPr>
        <w:t> </w:t>
      </w:r>
      <w:r>
        <w:rPr/>
        <w:t>then</w:t>
      </w:r>
      <w:r>
        <w:rPr>
          <w:spacing w:val="-4"/>
        </w:rPr>
        <w:t> </w:t>
      </w:r>
      <w:r>
        <w:rPr/>
        <w:t>completed a priorifizafion matrix process to reﬁne opfions further by systemafically comparing idenfiﬁed issues through</w:t>
      </w:r>
      <w:r>
        <w:rPr>
          <w:spacing w:val="-6"/>
        </w:rPr>
        <w:t> </w:t>
      </w:r>
      <w:r>
        <w:rPr/>
        <w:t>selecfion,</w:t>
      </w:r>
      <w:r>
        <w:rPr>
          <w:spacing w:val="-4"/>
        </w:rPr>
        <w:t> </w:t>
      </w:r>
      <w:r>
        <w:rPr/>
        <w:t>weighing,</w:t>
      </w:r>
      <w:r>
        <w:rPr>
          <w:spacing w:val="-4"/>
        </w:rPr>
        <w:t> </w:t>
      </w:r>
      <w:r>
        <w:rPr/>
        <w:t>and</w:t>
      </w:r>
      <w:r>
        <w:rPr>
          <w:spacing w:val="-6"/>
        </w:rPr>
        <w:t> </w:t>
      </w:r>
      <w:r>
        <w:rPr/>
        <w:t>applying</w:t>
      </w:r>
      <w:r>
        <w:rPr>
          <w:spacing w:val="-5"/>
        </w:rPr>
        <w:t> </w:t>
      </w:r>
      <w:r>
        <w:rPr/>
        <w:t>a</w:t>
      </w:r>
      <w:r>
        <w:rPr>
          <w:spacing w:val="-5"/>
        </w:rPr>
        <w:t> </w:t>
      </w:r>
      <w:r>
        <w:rPr/>
        <w:t>ranking</w:t>
      </w:r>
      <w:r>
        <w:rPr>
          <w:spacing w:val="-5"/>
        </w:rPr>
        <w:t> </w:t>
      </w:r>
      <w:r>
        <w:rPr/>
        <w:t>criterion.</w:t>
      </w:r>
      <w:r>
        <w:rPr>
          <w:spacing w:val="-7"/>
        </w:rPr>
        <w:t> </w:t>
      </w:r>
      <w:r>
        <w:rPr/>
        <w:t>The</w:t>
      </w:r>
      <w:r>
        <w:rPr>
          <w:spacing w:val="-4"/>
        </w:rPr>
        <w:t> </w:t>
      </w:r>
      <w:r>
        <w:rPr/>
        <w:t>ranking</w:t>
      </w:r>
      <w:r>
        <w:rPr>
          <w:spacing w:val="-5"/>
        </w:rPr>
        <w:t> </w:t>
      </w:r>
      <w:r>
        <w:rPr/>
        <w:t>criteria</w:t>
      </w:r>
      <w:r>
        <w:rPr>
          <w:spacing w:val="-6"/>
        </w:rPr>
        <w:t> </w:t>
      </w:r>
      <w:r>
        <w:rPr/>
        <w:t>included:</w:t>
      </w:r>
      <w:r>
        <w:rPr>
          <w:spacing w:val="-4"/>
        </w:rPr>
        <w:t> </w:t>
      </w:r>
      <w:r>
        <w:rPr/>
        <w:t>relevance</w:t>
      </w:r>
      <w:r>
        <w:rPr>
          <w:spacing w:val="-4"/>
        </w:rPr>
        <w:t> </w:t>
      </w:r>
      <w:r>
        <w:rPr/>
        <w:t>to the community, magnitude or severity, impact on communifies aﬀected by inequifies, availability and</w:t>
      </w:r>
    </w:p>
    <w:p>
      <w:pPr>
        <w:pStyle w:val="BodyText"/>
        <w:spacing w:after="0" w:line="259" w:lineRule="auto"/>
        <w:sectPr>
          <w:pgSz w:w="12240" w:h="15840"/>
          <w:pgMar w:header="161" w:footer="1223" w:top="1360" w:bottom="1420" w:left="0" w:right="0"/>
        </w:sectPr>
      </w:pPr>
    </w:p>
    <w:p>
      <w:pPr>
        <w:pStyle w:val="BodyText"/>
        <w:spacing w:line="259" w:lineRule="auto" w:before="64"/>
        <w:ind w:right="1514"/>
        <w:jc w:val="both"/>
      </w:pPr>
      <w:r>
        <w:rPr/>
        <w:t>feasibility</w:t>
      </w:r>
      <w:r>
        <w:rPr>
          <w:spacing w:val="-4"/>
        </w:rPr>
        <w:t> </w:t>
      </w:r>
      <w:r>
        <w:rPr/>
        <w:t>of</w:t>
      </w:r>
      <w:r>
        <w:rPr>
          <w:spacing w:val="-6"/>
        </w:rPr>
        <w:t> </w:t>
      </w:r>
      <w:r>
        <w:rPr/>
        <w:t>solufions,</w:t>
      </w:r>
      <w:r>
        <w:rPr>
          <w:spacing w:val="-3"/>
        </w:rPr>
        <w:t> </w:t>
      </w:r>
      <w:r>
        <w:rPr/>
        <w:t>and</w:t>
      </w:r>
      <w:r>
        <w:rPr>
          <w:spacing w:val="-6"/>
        </w:rPr>
        <w:t> </w:t>
      </w:r>
      <w:r>
        <w:rPr/>
        <w:t>availability</w:t>
      </w:r>
      <w:r>
        <w:rPr>
          <w:spacing w:val="-4"/>
        </w:rPr>
        <w:t> </w:t>
      </w:r>
      <w:r>
        <w:rPr/>
        <w:t>of</w:t>
      </w:r>
      <w:r>
        <w:rPr>
          <w:spacing w:val="-5"/>
        </w:rPr>
        <w:t> </w:t>
      </w:r>
      <w:r>
        <w:rPr/>
        <w:t>resources.</w:t>
      </w:r>
      <w:r>
        <w:rPr>
          <w:spacing w:val="-3"/>
        </w:rPr>
        <w:t> </w:t>
      </w:r>
      <w:r>
        <w:rPr/>
        <w:t>This</w:t>
      </w:r>
      <w:r>
        <w:rPr>
          <w:spacing w:val="-3"/>
        </w:rPr>
        <w:t> </w:t>
      </w:r>
      <w:r>
        <w:rPr/>
        <w:t>process</w:t>
      </w:r>
      <w:r>
        <w:rPr>
          <w:spacing w:val="-5"/>
        </w:rPr>
        <w:t> </w:t>
      </w:r>
      <w:r>
        <w:rPr/>
        <w:t>ensured</w:t>
      </w:r>
      <w:r>
        <w:rPr>
          <w:spacing w:val="-6"/>
        </w:rPr>
        <w:t> </w:t>
      </w:r>
      <w:r>
        <w:rPr/>
        <w:t>that</w:t>
      </w:r>
      <w:r>
        <w:rPr>
          <w:spacing w:val="-3"/>
        </w:rPr>
        <w:t> </w:t>
      </w:r>
      <w:r>
        <w:rPr/>
        <w:t>shared</w:t>
      </w:r>
      <w:r>
        <w:rPr>
          <w:spacing w:val="-4"/>
        </w:rPr>
        <w:t> </w:t>
      </w:r>
      <w:r>
        <w:rPr/>
        <w:t>priorifies</w:t>
      </w:r>
      <w:r>
        <w:rPr>
          <w:spacing w:val="-3"/>
        </w:rPr>
        <w:t> </w:t>
      </w:r>
      <w:r>
        <w:rPr/>
        <w:t>reﬂected both</w:t>
      </w:r>
      <w:r>
        <w:rPr>
          <w:spacing w:val="-4"/>
        </w:rPr>
        <w:t> </w:t>
      </w:r>
      <w:r>
        <w:rPr/>
        <w:t>data</w:t>
      </w:r>
      <w:r>
        <w:rPr>
          <w:spacing w:val="-7"/>
        </w:rPr>
        <w:t> </w:t>
      </w:r>
      <w:r>
        <w:rPr/>
        <w:t>and</w:t>
      </w:r>
      <w:r>
        <w:rPr>
          <w:spacing w:val="-4"/>
        </w:rPr>
        <w:t> </w:t>
      </w:r>
      <w:r>
        <w:rPr/>
        <w:t>community</w:t>
      </w:r>
      <w:r>
        <w:rPr>
          <w:spacing w:val="-5"/>
        </w:rPr>
        <w:t> </w:t>
      </w:r>
      <w:r>
        <w:rPr/>
        <w:t>voice.</w:t>
      </w:r>
      <w:r>
        <w:rPr>
          <w:spacing w:val="40"/>
        </w:rPr>
        <w:t> </w:t>
      </w:r>
      <w:r>
        <w:rPr/>
        <w:t>Yates</w:t>
      </w:r>
      <w:r>
        <w:rPr>
          <w:spacing w:val="-6"/>
        </w:rPr>
        <w:t> </w:t>
      </w:r>
      <w:r>
        <w:rPr/>
        <w:t>County</w:t>
      </w:r>
      <w:r>
        <w:rPr>
          <w:spacing w:val="-3"/>
        </w:rPr>
        <w:t> </w:t>
      </w:r>
      <w:r>
        <w:rPr/>
        <w:t>Public</w:t>
      </w:r>
      <w:r>
        <w:rPr>
          <w:spacing w:val="-8"/>
        </w:rPr>
        <w:t> </w:t>
      </w:r>
      <w:r>
        <w:rPr/>
        <w:t>Health</w:t>
      </w:r>
      <w:r>
        <w:rPr>
          <w:spacing w:val="-5"/>
        </w:rPr>
        <w:t> </w:t>
      </w:r>
      <w:r>
        <w:rPr/>
        <w:t>shared</w:t>
      </w:r>
      <w:r>
        <w:rPr>
          <w:spacing w:val="-7"/>
        </w:rPr>
        <w:t> </w:t>
      </w:r>
      <w:r>
        <w:rPr/>
        <w:t>its</w:t>
      </w:r>
      <w:r>
        <w:rPr>
          <w:spacing w:val="-4"/>
        </w:rPr>
        <w:t> </w:t>
      </w:r>
      <w:r>
        <w:rPr/>
        <w:t>priorifizafion</w:t>
      </w:r>
      <w:r>
        <w:rPr>
          <w:spacing w:val="-5"/>
        </w:rPr>
        <w:t> </w:t>
      </w:r>
      <w:r>
        <w:rPr/>
        <w:t>matrix</w:t>
      </w:r>
      <w:r>
        <w:rPr>
          <w:spacing w:val="-3"/>
        </w:rPr>
        <w:t> </w:t>
      </w:r>
      <w:r>
        <w:rPr/>
        <w:t>process</w:t>
      </w:r>
      <w:r>
        <w:rPr>
          <w:spacing w:val="-6"/>
        </w:rPr>
        <w:t> </w:t>
      </w:r>
      <w:r>
        <w:rPr/>
        <w:t>with the Choose Health Yates commiftee, which consisted of small group community members.</w:t>
      </w:r>
    </w:p>
    <w:p>
      <w:pPr>
        <w:pStyle w:val="BodyText"/>
        <w:spacing w:line="259" w:lineRule="auto" w:before="159"/>
        <w:ind w:right="1467"/>
      </w:pPr>
      <w:r>
        <w:rPr/>
        <w:t>The</w:t>
      </w:r>
      <w:r>
        <w:rPr>
          <w:spacing w:val="-3"/>
        </w:rPr>
        <w:t> </w:t>
      </w:r>
      <w:r>
        <w:rPr/>
        <w:t>ﬁnal</w:t>
      </w:r>
      <w:r>
        <w:rPr>
          <w:spacing w:val="-7"/>
        </w:rPr>
        <w:t> </w:t>
      </w:r>
      <w:r>
        <w:rPr/>
        <w:t>CHA</w:t>
      </w:r>
      <w:r>
        <w:rPr>
          <w:spacing w:val="-4"/>
        </w:rPr>
        <w:t> </w:t>
      </w:r>
      <w:r>
        <w:rPr/>
        <w:t>will</w:t>
      </w:r>
      <w:r>
        <w:rPr>
          <w:spacing w:val="-4"/>
        </w:rPr>
        <w:t> </w:t>
      </w:r>
      <w:r>
        <w:rPr/>
        <w:t>be</w:t>
      </w:r>
      <w:r>
        <w:rPr>
          <w:spacing w:val="-6"/>
        </w:rPr>
        <w:t> </w:t>
      </w:r>
      <w:r>
        <w:rPr/>
        <w:t>made</w:t>
      </w:r>
      <w:r>
        <w:rPr>
          <w:spacing w:val="-6"/>
        </w:rPr>
        <w:t> </w:t>
      </w:r>
      <w:r>
        <w:rPr/>
        <w:t>available</w:t>
      </w:r>
      <w:r>
        <w:rPr>
          <w:spacing w:val="-3"/>
        </w:rPr>
        <w:t> </w:t>
      </w:r>
      <w:r>
        <w:rPr/>
        <w:t>to</w:t>
      </w:r>
      <w:r>
        <w:rPr>
          <w:spacing w:val="-5"/>
        </w:rPr>
        <w:t> </w:t>
      </w:r>
      <w:r>
        <w:rPr/>
        <w:t>the</w:t>
      </w:r>
      <w:r>
        <w:rPr>
          <w:spacing w:val="-3"/>
        </w:rPr>
        <w:t> </w:t>
      </w:r>
      <w:r>
        <w:rPr/>
        <w:t>public</w:t>
      </w:r>
      <w:r>
        <w:rPr>
          <w:spacing w:val="-4"/>
        </w:rPr>
        <w:t> </w:t>
      </w:r>
      <w:r>
        <w:rPr/>
        <w:t>through</w:t>
      </w:r>
      <w:r>
        <w:rPr>
          <w:spacing w:val="-5"/>
        </w:rPr>
        <w:t> </w:t>
      </w:r>
      <w:r>
        <w:rPr/>
        <w:t>several</w:t>
      </w:r>
      <w:r>
        <w:rPr>
          <w:spacing w:val="-4"/>
        </w:rPr>
        <w:t> </w:t>
      </w:r>
      <w:r>
        <w:rPr/>
        <w:t>plafforms</w:t>
      </w:r>
      <w:r>
        <w:rPr>
          <w:spacing w:val="-4"/>
        </w:rPr>
        <w:t> </w:t>
      </w:r>
      <w:r>
        <w:rPr/>
        <w:t>including</w:t>
      </w:r>
      <w:r>
        <w:rPr>
          <w:spacing w:val="-4"/>
        </w:rPr>
        <w:t> </w:t>
      </w:r>
      <w:r>
        <w:rPr/>
        <w:t>posfing</w:t>
      </w:r>
      <w:r>
        <w:rPr>
          <w:spacing w:val="-4"/>
        </w:rPr>
        <w:t> </w:t>
      </w:r>
      <w:r>
        <w:rPr/>
        <w:t>on</w:t>
      </w:r>
      <w:r>
        <w:rPr>
          <w:spacing w:val="-4"/>
        </w:rPr>
        <w:t> </w:t>
      </w:r>
      <w:r>
        <w:rPr/>
        <w:t>the Yates County Public Health website, sharing infographics on social media (Facebook, Instagram), distribufion to the Yates County Legislature and community partners, and discussion on local radio </w:t>
      </w:r>
      <w:r>
        <w:rPr>
          <w:spacing w:val="-2"/>
        </w:rPr>
        <w:t>(WFLR).</w:t>
      </w:r>
    </w:p>
    <w:p>
      <w:pPr>
        <w:pStyle w:val="Heading1"/>
        <w:spacing w:before="161"/>
      </w:pPr>
      <w:r>
        <w:rPr/>
        <w:t>County</w:t>
      </w:r>
      <w:r>
        <w:rPr>
          <w:spacing w:val="-6"/>
        </w:rPr>
        <w:t> </w:t>
      </w:r>
      <w:r>
        <w:rPr/>
        <w:t>Health</w:t>
      </w:r>
      <w:r>
        <w:rPr>
          <w:spacing w:val="-5"/>
        </w:rPr>
        <w:t> </w:t>
      </w:r>
      <w:r>
        <w:rPr>
          <w:spacing w:val="-2"/>
        </w:rPr>
        <w:t>Rankings</w:t>
      </w:r>
    </w:p>
    <w:p>
      <w:pPr>
        <w:pStyle w:val="BodyText"/>
        <w:spacing w:line="259" w:lineRule="auto" w:before="185"/>
        <w:ind w:right="1436"/>
      </w:pPr>
      <w:r>
        <w:rPr/>
        <w:t>The</w:t>
      </w:r>
      <w:r>
        <w:rPr>
          <w:spacing w:val="-4"/>
        </w:rPr>
        <w:t> </w:t>
      </w:r>
      <w:r>
        <w:rPr/>
        <w:t>County</w:t>
      </w:r>
      <w:r>
        <w:rPr>
          <w:spacing w:val="-4"/>
        </w:rPr>
        <w:t> </w:t>
      </w:r>
      <w:r>
        <w:rPr/>
        <w:t>Health</w:t>
      </w:r>
      <w:r>
        <w:rPr>
          <w:spacing w:val="-6"/>
        </w:rPr>
        <w:t> </w:t>
      </w:r>
      <w:r>
        <w:rPr/>
        <w:t>Rankings</w:t>
      </w:r>
      <w:r>
        <w:rPr>
          <w:spacing w:val="-5"/>
        </w:rPr>
        <w:t> </w:t>
      </w:r>
      <w:r>
        <w:rPr/>
        <w:t>&amp;</w:t>
      </w:r>
      <w:r>
        <w:rPr>
          <w:spacing w:val="-4"/>
        </w:rPr>
        <w:t> </w:t>
      </w:r>
      <w:r>
        <w:rPr/>
        <w:t>Roadmaps</w:t>
      </w:r>
      <w:r>
        <w:rPr>
          <w:spacing w:val="-5"/>
        </w:rPr>
        <w:t> </w:t>
      </w:r>
      <w:r>
        <w:rPr/>
        <w:t>program</w:t>
      </w:r>
      <w:r>
        <w:rPr>
          <w:spacing w:val="-3"/>
        </w:rPr>
        <w:t> </w:t>
      </w:r>
      <w:r>
        <w:rPr/>
        <w:t>highlights</w:t>
      </w:r>
      <w:r>
        <w:rPr>
          <w:spacing w:val="-5"/>
        </w:rPr>
        <w:t> </w:t>
      </w:r>
      <w:r>
        <w:rPr/>
        <w:t>diﬀerences</w:t>
      </w:r>
      <w:r>
        <w:rPr>
          <w:spacing w:val="-5"/>
        </w:rPr>
        <w:t> </w:t>
      </w:r>
      <w:r>
        <w:rPr/>
        <w:t>in</w:t>
      </w:r>
      <w:r>
        <w:rPr>
          <w:spacing w:val="-8"/>
        </w:rPr>
        <w:t> </w:t>
      </w:r>
      <w:r>
        <w:rPr/>
        <w:t>community</w:t>
      </w:r>
      <w:r>
        <w:rPr>
          <w:spacing w:val="-4"/>
        </w:rPr>
        <w:t> </w:t>
      </w:r>
      <w:r>
        <w:rPr/>
        <w:t>health</w:t>
      </w:r>
      <w:r>
        <w:rPr>
          <w:spacing w:val="-8"/>
        </w:rPr>
        <w:t> </w:t>
      </w:r>
      <w:r>
        <w:rPr/>
        <w:t>within</w:t>
      </w:r>
      <w:r>
        <w:rPr>
          <w:spacing w:val="-6"/>
        </w:rPr>
        <w:t> </w:t>
      </w:r>
      <w:r>
        <w:rPr/>
        <w:t>and across communifies. This ranking system assesses several variables, including community condifions, populafion health and well-being, social and economic factors, and built environment.</w:t>
      </w:r>
    </w:p>
    <w:p>
      <w:pPr>
        <w:pStyle w:val="BodyText"/>
        <w:spacing w:line="259" w:lineRule="auto" w:before="160"/>
        <w:ind w:right="1467"/>
      </w:pPr>
      <w:r>
        <w:rPr/>
        <w:t>Yates</w:t>
      </w:r>
      <w:r>
        <w:rPr>
          <w:spacing w:val="-7"/>
        </w:rPr>
        <w:t> </w:t>
      </w:r>
      <w:r>
        <w:rPr/>
        <w:t>County</w:t>
      </w:r>
      <w:r>
        <w:rPr>
          <w:spacing w:val="-8"/>
        </w:rPr>
        <w:t> </w:t>
      </w:r>
      <w:r>
        <w:rPr/>
        <w:t>is</w:t>
      </w:r>
      <w:r>
        <w:rPr>
          <w:spacing w:val="-7"/>
        </w:rPr>
        <w:t> </w:t>
      </w:r>
      <w:r>
        <w:rPr/>
        <w:t>ranked</w:t>
      </w:r>
      <w:r>
        <w:rPr>
          <w:spacing w:val="-8"/>
        </w:rPr>
        <w:t> </w:t>
      </w:r>
      <w:r>
        <w:rPr/>
        <w:t>above</w:t>
      </w:r>
      <w:r>
        <w:rPr>
          <w:spacing w:val="-6"/>
        </w:rPr>
        <w:t> </w:t>
      </w:r>
      <w:r>
        <w:rPr/>
        <w:t>the</w:t>
      </w:r>
      <w:r>
        <w:rPr>
          <w:spacing w:val="-6"/>
        </w:rPr>
        <w:t> </w:t>
      </w:r>
      <w:r>
        <w:rPr/>
        <w:t>nafional</w:t>
      </w:r>
      <w:r>
        <w:rPr>
          <w:spacing w:val="-8"/>
        </w:rPr>
        <w:t> </w:t>
      </w:r>
      <w:r>
        <w:rPr/>
        <w:t>and</w:t>
      </w:r>
      <w:r>
        <w:rPr>
          <w:spacing w:val="-8"/>
        </w:rPr>
        <w:t> </w:t>
      </w:r>
      <w:r>
        <w:rPr/>
        <w:t>state</w:t>
      </w:r>
      <w:r>
        <w:rPr>
          <w:spacing w:val="-6"/>
        </w:rPr>
        <w:t> </w:t>
      </w:r>
      <w:r>
        <w:rPr/>
        <w:t>averages</w:t>
      </w:r>
      <w:r>
        <w:rPr>
          <w:spacing w:val="-7"/>
        </w:rPr>
        <w:t> </w:t>
      </w:r>
      <w:r>
        <w:rPr/>
        <w:t>for</w:t>
      </w:r>
      <w:r>
        <w:rPr>
          <w:spacing w:val="-7"/>
        </w:rPr>
        <w:t> </w:t>
      </w:r>
      <w:r>
        <w:rPr/>
        <w:t>health</w:t>
      </w:r>
      <w:r>
        <w:rPr>
          <w:spacing w:val="-8"/>
        </w:rPr>
        <w:t> </w:t>
      </w:r>
      <w:r>
        <w:rPr/>
        <w:t>and</w:t>
      </w:r>
      <w:r>
        <w:rPr>
          <w:spacing w:val="-8"/>
        </w:rPr>
        <w:t> </w:t>
      </w:r>
      <w:r>
        <w:rPr/>
        <w:t>well-being</w:t>
      </w:r>
      <w:r>
        <w:rPr>
          <w:spacing w:val="-7"/>
        </w:rPr>
        <w:t> </w:t>
      </w:r>
      <w:r>
        <w:rPr/>
        <w:t>(Figure</w:t>
      </w:r>
      <w:r>
        <w:rPr>
          <w:spacing w:val="-6"/>
        </w:rPr>
        <w:t> </w:t>
      </w:r>
      <w:r>
        <w:rPr/>
        <w:t>Y3).</w:t>
      </w:r>
      <w:r>
        <w:rPr>
          <w:spacing w:val="-7"/>
        </w:rPr>
        <w:t> </w:t>
      </w:r>
      <w:r>
        <w:rPr/>
        <w:t>This measure reﬂects the overall quality of life and the ability to thrive within a community. Variables aﬀecfing physical, mental, spiritual, and social well-being are included in this measure. This ranking signals that Yates County is a community that supports its residents and provides the foundafion for living, growing, and succeeding.</w:t>
      </w:r>
    </w:p>
    <w:p>
      <w:pPr>
        <w:pStyle w:val="BodyText"/>
        <w:spacing w:line="259" w:lineRule="auto" w:before="157"/>
        <w:ind w:left="7843" w:right="1453" w:firstLine="4"/>
      </w:pPr>
      <w:r>
        <w:rPr/>
        <mc:AlternateContent>
          <mc:Choice Requires="wps">
            <w:drawing>
              <wp:anchor distT="0" distB="0" distL="0" distR="0" allowOverlap="1" layoutInCell="1" locked="0" behindDoc="0" simplePos="0" relativeHeight="15736832">
                <wp:simplePos x="0" y="0"/>
                <wp:positionH relativeFrom="page">
                  <wp:posOffset>210184</wp:posOffset>
                </wp:positionH>
                <wp:positionV relativeFrom="paragraph">
                  <wp:posOffset>47257</wp:posOffset>
                </wp:positionV>
                <wp:extent cx="4707890" cy="226314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4707890" cy="2263140"/>
                          <a:chExt cx="4707890" cy="2263140"/>
                        </a:xfrm>
                      </wpg:grpSpPr>
                      <pic:pic>
                        <pic:nvPicPr>
                          <pic:cNvPr id="44" name="Image 44"/>
                          <pic:cNvPicPr/>
                        </pic:nvPicPr>
                        <pic:blipFill>
                          <a:blip r:embed="rId19" cstate="print"/>
                          <a:stretch>
                            <a:fillRect/>
                          </a:stretch>
                        </pic:blipFill>
                        <pic:spPr>
                          <a:xfrm>
                            <a:off x="269862" y="536092"/>
                            <a:ext cx="4274817" cy="1406992"/>
                          </a:xfrm>
                          <a:prstGeom prst="rect">
                            <a:avLst/>
                          </a:prstGeom>
                        </pic:spPr>
                      </pic:pic>
                      <wps:wsp>
                        <wps:cNvPr id="45" name="Textbox 45"/>
                        <wps:cNvSpPr txBox="1"/>
                        <wps:spPr>
                          <a:xfrm>
                            <a:off x="6095" y="6095"/>
                            <a:ext cx="4695825" cy="2251075"/>
                          </a:xfrm>
                          <a:prstGeom prst="rect">
                            <a:avLst/>
                          </a:prstGeom>
                          <a:ln w="12192">
                            <a:solidFill>
                              <a:srgbClr val="000000"/>
                            </a:solidFill>
                            <a:prstDash val="solid"/>
                          </a:ln>
                        </wps:spPr>
                        <wps:txbx>
                          <w:txbxContent>
                            <w:p>
                              <w:pPr>
                                <w:spacing w:before="124"/>
                                <w:ind w:left="225" w:right="0" w:firstLine="0"/>
                                <w:jc w:val="left"/>
                                <w:rPr>
                                  <w:i/>
                                  <w:sz w:val="18"/>
                                </w:rPr>
                              </w:pPr>
                              <w:r>
                                <w:rPr>
                                  <w:i/>
                                  <w:sz w:val="18"/>
                                </w:rPr>
                                <w:t>Figure</w:t>
                              </w:r>
                              <w:r>
                                <w:rPr>
                                  <w:i/>
                                  <w:spacing w:val="-3"/>
                                  <w:sz w:val="18"/>
                                </w:rPr>
                                <w:t> </w:t>
                              </w:r>
                              <w:r>
                                <w:rPr>
                                  <w:i/>
                                  <w:sz w:val="18"/>
                                </w:rPr>
                                <w:t>Y3:</w:t>
                              </w:r>
                              <w:r>
                                <w:rPr>
                                  <w:i/>
                                  <w:spacing w:val="-3"/>
                                  <w:sz w:val="18"/>
                                </w:rPr>
                                <w:t> </w:t>
                              </w:r>
                              <w:r>
                                <w:rPr>
                                  <w:i/>
                                  <w:sz w:val="18"/>
                                </w:rPr>
                                <w:t>Health</w:t>
                              </w:r>
                              <w:r>
                                <w:rPr>
                                  <w:i/>
                                  <w:spacing w:val="-5"/>
                                  <w:sz w:val="18"/>
                                </w:rPr>
                                <w:t> </w:t>
                              </w:r>
                              <w:r>
                                <w:rPr>
                                  <w:i/>
                                  <w:sz w:val="18"/>
                                </w:rPr>
                                <w:t>and</w:t>
                              </w:r>
                              <w:r>
                                <w:rPr>
                                  <w:i/>
                                  <w:spacing w:val="-5"/>
                                  <w:sz w:val="18"/>
                                </w:rPr>
                                <w:t> </w:t>
                              </w:r>
                              <w:r>
                                <w:rPr>
                                  <w:i/>
                                  <w:sz w:val="18"/>
                                </w:rPr>
                                <w:t>Well-Being</w:t>
                              </w:r>
                              <w:r>
                                <w:rPr>
                                  <w:i/>
                                  <w:spacing w:val="-4"/>
                                  <w:sz w:val="18"/>
                                </w:rPr>
                                <w:t> </w:t>
                              </w:r>
                              <w:r>
                                <w:rPr>
                                  <w:i/>
                                  <w:spacing w:val="-2"/>
                                  <w:sz w:val="18"/>
                                </w:rPr>
                                <w:t>(2025)</w:t>
                              </w: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157"/>
                                <w:rPr>
                                  <w:i/>
                                  <w:sz w:val="18"/>
                                </w:rPr>
                              </w:pPr>
                            </w:p>
                            <w:p>
                              <w:pPr>
                                <w:spacing w:before="0"/>
                                <w:ind w:left="206" w:right="0" w:firstLine="0"/>
                                <w:jc w:val="left"/>
                                <w:rPr>
                                  <w:i/>
                                  <w:sz w:val="18"/>
                                </w:rPr>
                              </w:pPr>
                              <w:r>
                                <w:rPr>
                                  <w:i/>
                                  <w:color w:val="0D2841"/>
                                  <w:sz w:val="18"/>
                                </w:rPr>
                                <w:t>Source:</w:t>
                              </w:r>
                              <w:r>
                                <w:rPr>
                                  <w:i/>
                                  <w:color w:val="0D2841"/>
                                  <w:spacing w:val="-5"/>
                                  <w:sz w:val="18"/>
                                </w:rPr>
                                <w:t> </w:t>
                              </w:r>
                              <w:r>
                                <w:rPr>
                                  <w:i/>
                                  <w:color w:val="0D2841"/>
                                  <w:sz w:val="18"/>
                                </w:rPr>
                                <w:t>County</w:t>
                              </w:r>
                              <w:r>
                                <w:rPr>
                                  <w:i/>
                                  <w:color w:val="0D2841"/>
                                  <w:spacing w:val="-3"/>
                                  <w:sz w:val="18"/>
                                </w:rPr>
                                <w:t> </w:t>
                              </w:r>
                              <w:r>
                                <w:rPr>
                                  <w:i/>
                                  <w:color w:val="0D2841"/>
                                  <w:sz w:val="18"/>
                                </w:rPr>
                                <w:t>Health</w:t>
                              </w:r>
                              <w:r>
                                <w:rPr>
                                  <w:i/>
                                  <w:color w:val="0D2841"/>
                                  <w:spacing w:val="-3"/>
                                  <w:sz w:val="18"/>
                                </w:rPr>
                                <w:t> </w:t>
                              </w:r>
                              <w:r>
                                <w:rPr>
                                  <w:i/>
                                  <w:color w:val="0D2841"/>
                                  <w:spacing w:val="-2"/>
                                  <w:sz w:val="18"/>
                                </w:rPr>
                                <w:t>Rankings</w:t>
                              </w:r>
                            </w:p>
                          </w:txbxContent>
                        </wps:txbx>
                        <wps:bodyPr wrap="square" lIns="0" tIns="0" rIns="0" bIns="0" rtlCol="0">
                          <a:noAutofit/>
                        </wps:bodyPr>
                      </wps:wsp>
                    </wpg:wgp>
                  </a:graphicData>
                </a:graphic>
              </wp:anchor>
            </w:drawing>
          </mc:Choice>
          <mc:Fallback>
            <w:pict>
              <v:group style="position:absolute;margin-left:16.549999pt;margin-top:3.721059pt;width:370.7pt;height:178.2pt;mso-position-horizontal-relative:page;mso-position-vertical-relative:paragraph;z-index:15736832" id="docshapegroup32" coordorigin="331,74" coordsize="7414,3564">
                <v:shape style="position:absolute;left:755;top:918;width:6732;height:2216" type="#_x0000_t75" id="docshape33" stroked="false">
                  <v:imagedata r:id="rId19" o:title=""/>
                </v:shape>
                <v:shape style="position:absolute;left:340;top:84;width:7395;height:3545" type="#_x0000_t202" id="docshape34" filled="false" stroked="true" strokeweight=".96pt" strokecolor="#000000">
                  <v:textbox inset="0,0,0,0">
                    <w:txbxContent>
                      <w:p>
                        <w:pPr>
                          <w:spacing w:before="124"/>
                          <w:ind w:left="225" w:right="0" w:firstLine="0"/>
                          <w:jc w:val="left"/>
                          <w:rPr>
                            <w:i/>
                            <w:sz w:val="18"/>
                          </w:rPr>
                        </w:pPr>
                        <w:r>
                          <w:rPr>
                            <w:i/>
                            <w:sz w:val="18"/>
                          </w:rPr>
                          <w:t>Figure</w:t>
                        </w:r>
                        <w:r>
                          <w:rPr>
                            <w:i/>
                            <w:spacing w:val="-3"/>
                            <w:sz w:val="18"/>
                          </w:rPr>
                          <w:t> </w:t>
                        </w:r>
                        <w:r>
                          <w:rPr>
                            <w:i/>
                            <w:sz w:val="18"/>
                          </w:rPr>
                          <w:t>Y3:</w:t>
                        </w:r>
                        <w:r>
                          <w:rPr>
                            <w:i/>
                            <w:spacing w:val="-3"/>
                            <w:sz w:val="18"/>
                          </w:rPr>
                          <w:t> </w:t>
                        </w:r>
                        <w:r>
                          <w:rPr>
                            <w:i/>
                            <w:sz w:val="18"/>
                          </w:rPr>
                          <w:t>Health</w:t>
                        </w:r>
                        <w:r>
                          <w:rPr>
                            <w:i/>
                            <w:spacing w:val="-5"/>
                            <w:sz w:val="18"/>
                          </w:rPr>
                          <w:t> </w:t>
                        </w:r>
                        <w:r>
                          <w:rPr>
                            <w:i/>
                            <w:sz w:val="18"/>
                          </w:rPr>
                          <w:t>and</w:t>
                        </w:r>
                        <w:r>
                          <w:rPr>
                            <w:i/>
                            <w:spacing w:val="-5"/>
                            <w:sz w:val="18"/>
                          </w:rPr>
                          <w:t> </w:t>
                        </w:r>
                        <w:r>
                          <w:rPr>
                            <w:i/>
                            <w:sz w:val="18"/>
                          </w:rPr>
                          <w:t>Well-Being</w:t>
                        </w:r>
                        <w:r>
                          <w:rPr>
                            <w:i/>
                            <w:spacing w:val="-4"/>
                            <w:sz w:val="18"/>
                          </w:rPr>
                          <w:t> </w:t>
                        </w:r>
                        <w:r>
                          <w:rPr>
                            <w:i/>
                            <w:spacing w:val="-2"/>
                            <w:sz w:val="18"/>
                          </w:rPr>
                          <w:t>(2025)</w:t>
                        </w: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157"/>
                          <w:rPr>
                            <w:i/>
                            <w:sz w:val="18"/>
                          </w:rPr>
                        </w:pPr>
                      </w:p>
                      <w:p>
                        <w:pPr>
                          <w:spacing w:before="0"/>
                          <w:ind w:left="206" w:right="0" w:firstLine="0"/>
                          <w:jc w:val="left"/>
                          <w:rPr>
                            <w:i/>
                            <w:sz w:val="18"/>
                          </w:rPr>
                        </w:pPr>
                        <w:r>
                          <w:rPr>
                            <w:i/>
                            <w:color w:val="0D2841"/>
                            <w:sz w:val="18"/>
                          </w:rPr>
                          <w:t>Source:</w:t>
                        </w:r>
                        <w:r>
                          <w:rPr>
                            <w:i/>
                            <w:color w:val="0D2841"/>
                            <w:spacing w:val="-5"/>
                            <w:sz w:val="18"/>
                          </w:rPr>
                          <w:t> </w:t>
                        </w:r>
                        <w:r>
                          <w:rPr>
                            <w:i/>
                            <w:color w:val="0D2841"/>
                            <w:sz w:val="18"/>
                          </w:rPr>
                          <w:t>County</w:t>
                        </w:r>
                        <w:r>
                          <w:rPr>
                            <w:i/>
                            <w:color w:val="0D2841"/>
                            <w:spacing w:val="-3"/>
                            <w:sz w:val="18"/>
                          </w:rPr>
                          <w:t> </w:t>
                        </w:r>
                        <w:r>
                          <w:rPr>
                            <w:i/>
                            <w:color w:val="0D2841"/>
                            <w:sz w:val="18"/>
                          </w:rPr>
                          <w:t>Health</w:t>
                        </w:r>
                        <w:r>
                          <w:rPr>
                            <w:i/>
                            <w:color w:val="0D2841"/>
                            <w:spacing w:val="-3"/>
                            <w:sz w:val="18"/>
                          </w:rPr>
                          <w:t> </w:t>
                        </w:r>
                        <w:r>
                          <w:rPr>
                            <w:i/>
                            <w:color w:val="0D2841"/>
                            <w:spacing w:val="-2"/>
                            <w:sz w:val="18"/>
                          </w:rPr>
                          <w:t>Rankings</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37344">
                <wp:simplePos x="0" y="0"/>
                <wp:positionH relativeFrom="page">
                  <wp:posOffset>205613</wp:posOffset>
                </wp:positionH>
                <wp:positionV relativeFrom="paragraph">
                  <wp:posOffset>2382024</wp:posOffset>
                </wp:positionV>
                <wp:extent cx="4707890" cy="226314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4707890" cy="2263140"/>
                          <a:chExt cx="4707890" cy="2263140"/>
                        </a:xfrm>
                      </wpg:grpSpPr>
                      <pic:pic>
                        <pic:nvPicPr>
                          <pic:cNvPr id="47" name="Image 47"/>
                          <pic:cNvPicPr/>
                        </pic:nvPicPr>
                        <pic:blipFill>
                          <a:blip r:embed="rId20" cstate="print"/>
                          <a:stretch>
                            <a:fillRect/>
                          </a:stretch>
                        </pic:blipFill>
                        <pic:spPr>
                          <a:xfrm>
                            <a:off x="160146" y="472427"/>
                            <a:ext cx="4541532" cy="1466099"/>
                          </a:xfrm>
                          <a:prstGeom prst="rect">
                            <a:avLst/>
                          </a:prstGeom>
                        </pic:spPr>
                      </pic:pic>
                      <wps:wsp>
                        <wps:cNvPr id="48" name="Graphic 48"/>
                        <wps:cNvSpPr/>
                        <wps:spPr>
                          <a:xfrm>
                            <a:off x="144906" y="1995041"/>
                            <a:ext cx="4556760" cy="262255"/>
                          </a:xfrm>
                          <a:custGeom>
                            <a:avLst/>
                            <a:gdLst/>
                            <a:ahLst/>
                            <a:cxnLst/>
                            <a:rect l="l" t="t" r="r" b="b"/>
                            <a:pathLst>
                              <a:path w="4556760" h="262255">
                                <a:moveTo>
                                  <a:pt x="4556633" y="0"/>
                                </a:moveTo>
                                <a:lnTo>
                                  <a:pt x="0" y="0"/>
                                </a:lnTo>
                                <a:lnTo>
                                  <a:pt x="0" y="262127"/>
                                </a:lnTo>
                                <a:lnTo>
                                  <a:pt x="4556633" y="262127"/>
                                </a:lnTo>
                                <a:lnTo>
                                  <a:pt x="4556633" y="0"/>
                                </a:lnTo>
                                <a:close/>
                              </a:path>
                            </a:pathLst>
                          </a:custGeom>
                          <a:solidFill>
                            <a:srgbClr val="FFFFFF"/>
                          </a:solidFill>
                        </wps:spPr>
                        <wps:bodyPr wrap="square" lIns="0" tIns="0" rIns="0" bIns="0" rtlCol="0">
                          <a:prstTxWarp prst="textNoShape">
                            <a:avLst/>
                          </a:prstTxWarp>
                          <a:noAutofit/>
                        </wps:bodyPr>
                      </wps:wsp>
                      <wps:wsp>
                        <wps:cNvPr id="49" name="Textbox 49"/>
                        <wps:cNvSpPr txBox="1"/>
                        <wps:spPr>
                          <a:xfrm>
                            <a:off x="6095" y="6095"/>
                            <a:ext cx="4695825" cy="2251075"/>
                          </a:xfrm>
                          <a:prstGeom prst="rect">
                            <a:avLst/>
                          </a:prstGeom>
                          <a:ln w="12192">
                            <a:solidFill>
                              <a:srgbClr val="000000"/>
                            </a:solidFill>
                            <a:prstDash val="solid"/>
                          </a:ln>
                        </wps:spPr>
                        <wps:txbx>
                          <w:txbxContent>
                            <w:p>
                              <w:pPr>
                                <w:spacing w:before="112"/>
                                <w:ind w:left="208" w:right="0" w:firstLine="0"/>
                                <w:jc w:val="left"/>
                                <w:rPr>
                                  <w:i/>
                                  <w:sz w:val="18"/>
                                </w:rPr>
                              </w:pPr>
                              <w:r>
                                <w:rPr>
                                  <w:i/>
                                  <w:sz w:val="18"/>
                                </w:rPr>
                                <w:t>Figure</w:t>
                              </w:r>
                              <w:r>
                                <w:rPr>
                                  <w:i/>
                                  <w:spacing w:val="-4"/>
                                  <w:sz w:val="18"/>
                                </w:rPr>
                                <w:t> </w:t>
                              </w:r>
                              <w:r>
                                <w:rPr>
                                  <w:i/>
                                  <w:sz w:val="18"/>
                                </w:rPr>
                                <w:t>Y4:</w:t>
                              </w:r>
                              <w:r>
                                <w:rPr>
                                  <w:i/>
                                  <w:spacing w:val="-3"/>
                                  <w:sz w:val="18"/>
                                </w:rPr>
                                <w:t> </w:t>
                              </w:r>
                              <w:r>
                                <w:rPr>
                                  <w:i/>
                                  <w:sz w:val="18"/>
                                </w:rPr>
                                <w:t>Community</w:t>
                              </w:r>
                              <w:r>
                                <w:rPr>
                                  <w:i/>
                                  <w:spacing w:val="-2"/>
                                  <w:sz w:val="18"/>
                                </w:rPr>
                                <w:t> </w:t>
                              </w:r>
                              <w:r>
                                <w:rPr>
                                  <w:i/>
                                  <w:sz w:val="18"/>
                                </w:rPr>
                                <w:t>Condifions/SDOH</w:t>
                              </w:r>
                              <w:r>
                                <w:rPr>
                                  <w:i/>
                                  <w:spacing w:val="-4"/>
                                  <w:sz w:val="18"/>
                                </w:rPr>
                                <w:t> </w:t>
                              </w:r>
                              <w:r>
                                <w:rPr>
                                  <w:i/>
                                  <w:spacing w:val="-2"/>
                                  <w:sz w:val="18"/>
                                </w:rPr>
                                <w:t>(2025)</w:t>
                              </w: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165"/>
                                <w:rPr>
                                  <w:i/>
                                  <w:sz w:val="18"/>
                                </w:rPr>
                              </w:pPr>
                            </w:p>
                            <w:p>
                              <w:pPr>
                                <w:spacing w:before="0"/>
                                <w:ind w:left="208" w:right="0" w:firstLine="0"/>
                                <w:jc w:val="left"/>
                                <w:rPr>
                                  <w:i/>
                                  <w:sz w:val="18"/>
                                </w:rPr>
                              </w:pPr>
                              <w:r>
                                <w:rPr>
                                  <w:i/>
                                  <w:color w:val="0D2841"/>
                                  <w:sz w:val="18"/>
                                </w:rPr>
                                <w:t>Source:</w:t>
                              </w:r>
                              <w:r>
                                <w:rPr>
                                  <w:i/>
                                  <w:color w:val="0D2841"/>
                                  <w:spacing w:val="-4"/>
                                  <w:sz w:val="18"/>
                                </w:rPr>
                                <w:t> </w:t>
                              </w:r>
                              <w:r>
                                <w:rPr>
                                  <w:i/>
                                  <w:color w:val="0D2841"/>
                                  <w:sz w:val="18"/>
                                </w:rPr>
                                <w:t>County</w:t>
                              </w:r>
                              <w:r>
                                <w:rPr>
                                  <w:i/>
                                  <w:color w:val="0D2841"/>
                                  <w:spacing w:val="-2"/>
                                  <w:sz w:val="18"/>
                                </w:rPr>
                                <w:t> </w:t>
                              </w:r>
                              <w:r>
                                <w:rPr>
                                  <w:i/>
                                  <w:color w:val="0D2841"/>
                                  <w:sz w:val="18"/>
                                </w:rPr>
                                <w:t>Health</w:t>
                              </w:r>
                              <w:r>
                                <w:rPr>
                                  <w:i/>
                                  <w:color w:val="0D2841"/>
                                  <w:spacing w:val="-2"/>
                                  <w:sz w:val="18"/>
                                </w:rPr>
                                <w:t> Rankings</w:t>
                              </w:r>
                            </w:p>
                          </w:txbxContent>
                        </wps:txbx>
                        <wps:bodyPr wrap="square" lIns="0" tIns="0" rIns="0" bIns="0" rtlCol="0">
                          <a:noAutofit/>
                        </wps:bodyPr>
                      </wps:wsp>
                    </wpg:wgp>
                  </a:graphicData>
                </a:graphic>
              </wp:anchor>
            </w:drawing>
          </mc:Choice>
          <mc:Fallback>
            <w:pict>
              <v:group style="position:absolute;margin-left:16.190001pt;margin-top:187.560959pt;width:370.7pt;height:178.2pt;mso-position-horizontal-relative:page;mso-position-vertical-relative:paragraph;z-index:15737344" id="docshapegroup35" coordorigin="324,3751" coordsize="7414,3564">
                <v:shape style="position:absolute;left:576;top:4495;width:7153;height:2309" type="#_x0000_t75" id="docshape36" stroked="false">
                  <v:imagedata r:id="rId20" o:title=""/>
                </v:shape>
                <v:rect style="position:absolute;left:552;top:6893;width:7176;height:413" id="docshape37" filled="true" fillcolor="#ffffff" stroked="false">
                  <v:fill type="solid"/>
                </v:rect>
                <v:shape style="position:absolute;left:333;top:3760;width:7395;height:3545" type="#_x0000_t202" id="docshape38" filled="false" stroked="true" strokeweight=".96pt" strokecolor="#000000">
                  <v:textbox inset="0,0,0,0">
                    <w:txbxContent>
                      <w:p>
                        <w:pPr>
                          <w:spacing w:before="112"/>
                          <w:ind w:left="208" w:right="0" w:firstLine="0"/>
                          <w:jc w:val="left"/>
                          <w:rPr>
                            <w:i/>
                            <w:sz w:val="18"/>
                          </w:rPr>
                        </w:pPr>
                        <w:r>
                          <w:rPr>
                            <w:i/>
                            <w:sz w:val="18"/>
                          </w:rPr>
                          <w:t>Figure</w:t>
                        </w:r>
                        <w:r>
                          <w:rPr>
                            <w:i/>
                            <w:spacing w:val="-4"/>
                            <w:sz w:val="18"/>
                          </w:rPr>
                          <w:t> </w:t>
                        </w:r>
                        <w:r>
                          <w:rPr>
                            <w:i/>
                            <w:sz w:val="18"/>
                          </w:rPr>
                          <w:t>Y4:</w:t>
                        </w:r>
                        <w:r>
                          <w:rPr>
                            <w:i/>
                            <w:spacing w:val="-3"/>
                            <w:sz w:val="18"/>
                          </w:rPr>
                          <w:t> </w:t>
                        </w:r>
                        <w:r>
                          <w:rPr>
                            <w:i/>
                            <w:sz w:val="18"/>
                          </w:rPr>
                          <w:t>Community</w:t>
                        </w:r>
                        <w:r>
                          <w:rPr>
                            <w:i/>
                            <w:spacing w:val="-2"/>
                            <w:sz w:val="18"/>
                          </w:rPr>
                          <w:t> </w:t>
                        </w:r>
                        <w:r>
                          <w:rPr>
                            <w:i/>
                            <w:sz w:val="18"/>
                          </w:rPr>
                          <w:t>Condifions/SDOH</w:t>
                        </w:r>
                        <w:r>
                          <w:rPr>
                            <w:i/>
                            <w:spacing w:val="-4"/>
                            <w:sz w:val="18"/>
                          </w:rPr>
                          <w:t> </w:t>
                        </w:r>
                        <w:r>
                          <w:rPr>
                            <w:i/>
                            <w:spacing w:val="-2"/>
                            <w:sz w:val="18"/>
                          </w:rPr>
                          <w:t>(2025)</w:t>
                        </w: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0"/>
                          <w:rPr>
                            <w:i/>
                            <w:sz w:val="18"/>
                          </w:rPr>
                        </w:pPr>
                      </w:p>
                      <w:p>
                        <w:pPr>
                          <w:spacing w:line="240" w:lineRule="auto" w:before="165"/>
                          <w:rPr>
                            <w:i/>
                            <w:sz w:val="18"/>
                          </w:rPr>
                        </w:pPr>
                      </w:p>
                      <w:p>
                        <w:pPr>
                          <w:spacing w:before="0"/>
                          <w:ind w:left="208" w:right="0" w:firstLine="0"/>
                          <w:jc w:val="left"/>
                          <w:rPr>
                            <w:i/>
                            <w:sz w:val="18"/>
                          </w:rPr>
                        </w:pPr>
                        <w:r>
                          <w:rPr>
                            <w:i/>
                            <w:color w:val="0D2841"/>
                            <w:sz w:val="18"/>
                          </w:rPr>
                          <w:t>Source:</w:t>
                        </w:r>
                        <w:r>
                          <w:rPr>
                            <w:i/>
                            <w:color w:val="0D2841"/>
                            <w:spacing w:val="-4"/>
                            <w:sz w:val="18"/>
                          </w:rPr>
                          <w:t> </w:t>
                        </w:r>
                        <w:r>
                          <w:rPr>
                            <w:i/>
                            <w:color w:val="0D2841"/>
                            <w:sz w:val="18"/>
                          </w:rPr>
                          <w:t>County</w:t>
                        </w:r>
                        <w:r>
                          <w:rPr>
                            <w:i/>
                            <w:color w:val="0D2841"/>
                            <w:spacing w:val="-2"/>
                            <w:sz w:val="18"/>
                          </w:rPr>
                          <w:t> </w:t>
                        </w:r>
                        <w:r>
                          <w:rPr>
                            <w:i/>
                            <w:color w:val="0D2841"/>
                            <w:sz w:val="18"/>
                          </w:rPr>
                          <w:t>Health</w:t>
                        </w:r>
                        <w:r>
                          <w:rPr>
                            <w:i/>
                            <w:color w:val="0D2841"/>
                            <w:spacing w:val="-2"/>
                            <w:sz w:val="18"/>
                          </w:rPr>
                          <w:t> Rankings</w:t>
                        </w:r>
                      </w:p>
                    </w:txbxContent>
                  </v:textbox>
                  <v:stroke dashstyle="solid"/>
                  <w10:wrap type="none"/>
                </v:shape>
                <w10:wrap type="none"/>
              </v:group>
            </w:pict>
          </mc:Fallback>
        </mc:AlternateContent>
      </w:r>
      <w:r>
        <w:rPr/>
        <w:t>However,</w:t>
      </w:r>
      <w:r>
        <w:rPr>
          <w:spacing w:val="-13"/>
        </w:rPr>
        <w:t> </w:t>
      </w:r>
      <w:r>
        <w:rPr/>
        <w:t>rankings</w:t>
      </w:r>
      <w:r>
        <w:rPr>
          <w:spacing w:val="-12"/>
        </w:rPr>
        <w:t> </w:t>
      </w:r>
      <w:r>
        <w:rPr/>
        <w:t>of</w:t>
      </w:r>
      <w:r>
        <w:rPr>
          <w:spacing w:val="-13"/>
        </w:rPr>
        <w:t> </w:t>
      </w:r>
      <w:r>
        <w:rPr/>
        <w:t>community condifions and the Social Determinants of Health fall below the state average and are roughly comparable to the nafional</w:t>
      </w:r>
      <w:r>
        <w:rPr>
          <w:spacing w:val="-8"/>
        </w:rPr>
        <w:t> </w:t>
      </w:r>
      <w:r>
        <w:rPr/>
        <w:t>average</w:t>
      </w:r>
      <w:r>
        <w:rPr>
          <w:spacing w:val="-7"/>
        </w:rPr>
        <w:t> </w:t>
      </w:r>
      <w:r>
        <w:rPr/>
        <w:t>(Figure</w:t>
      </w:r>
      <w:r>
        <w:rPr>
          <w:spacing w:val="-7"/>
        </w:rPr>
        <w:t> </w:t>
      </w:r>
      <w:r>
        <w:rPr/>
        <w:t>Y4).</w:t>
      </w:r>
      <w:r>
        <w:rPr>
          <w:spacing w:val="-8"/>
        </w:rPr>
        <w:t> </w:t>
      </w:r>
      <w:r>
        <w:rPr/>
        <w:t>The Social Determinants of Health refer to the non-medical factors that inﬂuence individual and community health outcomes, including economic stability; access to and quality of educafion; access to and quality of healthcare; neighborhood</w:t>
      </w:r>
      <w:r>
        <w:rPr>
          <w:spacing w:val="40"/>
        </w:rPr>
        <w:t> </w:t>
      </w:r>
      <w:r>
        <w:rPr/>
        <w:t>and built environment; and social and community context. This ranking signiﬁes that, despite the overall quality of life exceeding state and nafional</w:t>
      </w:r>
    </w:p>
    <w:p>
      <w:pPr>
        <w:pStyle w:val="BodyText"/>
        <w:spacing w:line="259" w:lineRule="auto"/>
        <w:ind w:left="7872" w:right="1436"/>
      </w:pPr>
      <w:r>
        <w:rPr/>
        <w:t>averages,</w:t>
      </w:r>
      <w:r>
        <w:rPr>
          <w:spacing w:val="-9"/>
        </w:rPr>
        <w:t> </w:t>
      </w:r>
      <w:r>
        <w:rPr/>
        <w:t>there</w:t>
      </w:r>
      <w:r>
        <w:rPr>
          <w:spacing w:val="-9"/>
        </w:rPr>
        <w:t> </w:t>
      </w:r>
      <w:r>
        <w:rPr/>
        <w:t>is</w:t>
      </w:r>
      <w:r>
        <w:rPr>
          <w:spacing w:val="-9"/>
        </w:rPr>
        <w:t> </w:t>
      </w:r>
      <w:r>
        <w:rPr/>
        <w:t>sfill</w:t>
      </w:r>
      <w:r>
        <w:rPr>
          <w:spacing w:val="-9"/>
        </w:rPr>
        <w:t> </w:t>
      </w:r>
      <w:r>
        <w:rPr/>
        <w:t>work</w:t>
      </w:r>
      <w:r>
        <w:rPr>
          <w:spacing w:val="-11"/>
        </w:rPr>
        <w:t> </w:t>
      </w:r>
      <w:r>
        <w:rPr/>
        <w:t>to</w:t>
      </w:r>
      <w:r>
        <w:rPr>
          <w:spacing w:val="-9"/>
        </w:rPr>
        <w:t> </w:t>
      </w:r>
      <w:r>
        <w:rPr/>
        <w:t>be done to address underlying factors aﬀecfing community health outcomes.</w:t>
      </w:r>
    </w:p>
    <w:p>
      <w:pPr>
        <w:pStyle w:val="BodyText"/>
        <w:spacing w:after="0" w:line="259" w:lineRule="auto"/>
        <w:sectPr>
          <w:pgSz w:w="12240" w:h="15840"/>
          <w:pgMar w:header="161" w:footer="1223" w:top="1360" w:bottom="1420" w:left="0" w:right="0"/>
        </w:sectPr>
      </w:pPr>
    </w:p>
    <w:p>
      <w:pPr>
        <w:pStyle w:val="Heading1"/>
        <w:spacing w:before="64"/>
      </w:pPr>
      <w:r>
        <w:rPr/>
        <w:t>New</w:t>
      </w:r>
      <w:r>
        <w:rPr>
          <w:spacing w:val="-13"/>
        </w:rPr>
        <w:t> </w:t>
      </w:r>
      <w:r>
        <w:rPr/>
        <w:t>York</w:t>
      </w:r>
      <w:r>
        <w:rPr>
          <w:spacing w:val="-13"/>
        </w:rPr>
        <w:t> </w:t>
      </w:r>
      <w:r>
        <w:rPr/>
        <w:t>State</w:t>
      </w:r>
      <w:r>
        <w:rPr>
          <w:spacing w:val="-12"/>
        </w:rPr>
        <w:t> </w:t>
      </w:r>
      <w:r>
        <w:rPr/>
        <w:t>Prevenfion</w:t>
      </w:r>
      <w:r>
        <w:rPr>
          <w:spacing w:val="-13"/>
        </w:rPr>
        <w:t> </w:t>
      </w:r>
      <w:r>
        <w:rPr/>
        <w:t>Agenda</w:t>
      </w:r>
      <w:r>
        <w:rPr>
          <w:spacing w:val="-12"/>
        </w:rPr>
        <w:t> </w:t>
      </w:r>
      <w:r>
        <w:rPr/>
        <w:t>2025-</w:t>
      </w:r>
      <w:r>
        <w:rPr>
          <w:spacing w:val="-4"/>
        </w:rPr>
        <w:t>2030</w:t>
      </w:r>
    </w:p>
    <w:p>
      <w:pPr>
        <w:pStyle w:val="BodyText"/>
        <w:spacing w:line="259" w:lineRule="auto" w:before="186"/>
        <w:ind w:right="1436"/>
      </w:pPr>
      <w:r>
        <w:rPr/>
        <w:t>Table Y2 idenfiﬁes</w:t>
      </w:r>
      <w:r>
        <w:rPr>
          <w:spacing w:val="-2"/>
        </w:rPr>
        <w:t> </w:t>
      </w:r>
      <w:r>
        <w:rPr/>
        <w:t>the New</w:t>
      </w:r>
      <w:r>
        <w:rPr>
          <w:spacing w:val="-2"/>
        </w:rPr>
        <w:t> </w:t>
      </w:r>
      <w:r>
        <w:rPr/>
        <w:t>York</w:t>
      </w:r>
      <w:r>
        <w:rPr>
          <w:spacing w:val="-2"/>
        </w:rPr>
        <w:t> </w:t>
      </w:r>
      <w:r>
        <w:rPr/>
        <w:t>State</w:t>
      </w:r>
      <w:r>
        <w:rPr>
          <w:spacing w:val="-2"/>
        </w:rPr>
        <w:t> </w:t>
      </w:r>
      <w:r>
        <w:rPr/>
        <w:t>Department</w:t>
      </w:r>
      <w:r>
        <w:rPr>
          <w:spacing w:val="-2"/>
        </w:rPr>
        <w:t> </w:t>
      </w:r>
      <w:r>
        <w:rPr/>
        <w:t>of</w:t>
      </w:r>
      <w:r>
        <w:rPr>
          <w:spacing w:val="-5"/>
        </w:rPr>
        <w:t> </w:t>
      </w:r>
      <w:r>
        <w:rPr/>
        <w:t>Health</w:t>
      </w:r>
      <w:r>
        <w:rPr>
          <w:spacing w:val="-1"/>
        </w:rPr>
        <w:t> </w:t>
      </w:r>
      <w:r>
        <w:rPr/>
        <w:t>(NYSDOH)</w:t>
      </w:r>
      <w:r>
        <w:rPr>
          <w:spacing w:val="-2"/>
        </w:rPr>
        <w:t> </w:t>
      </w:r>
      <w:r>
        <w:rPr/>
        <w:t>Prevenfion Agenda domains</w:t>
      </w:r>
      <w:r>
        <w:rPr>
          <w:spacing w:val="-2"/>
        </w:rPr>
        <w:t> </w:t>
      </w:r>
      <w:r>
        <w:rPr/>
        <w:t>and priorifies (see Regional Chapter for further informafion). The “Community Partners” column shows the percentage</w:t>
      </w:r>
      <w:r>
        <w:rPr>
          <w:spacing w:val="-6"/>
        </w:rPr>
        <w:t> </w:t>
      </w:r>
      <w:r>
        <w:rPr/>
        <w:t>of</w:t>
      </w:r>
      <w:r>
        <w:rPr>
          <w:spacing w:val="-6"/>
        </w:rPr>
        <w:t> </w:t>
      </w:r>
      <w:r>
        <w:rPr/>
        <w:t>partners</w:t>
      </w:r>
      <w:r>
        <w:rPr>
          <w:spacing w:val="-5"/>
        </w:rPr>
        <w:t> </w:t>
      </w:r>
      <w:r>
        <w:rPr/>
        <w:t>in</w:t>
      </w:r>
      <w:r>
        <w:rPr>
          <w:spacing w:val="-7"/>
        </w:rPr>
        <w:t> </w:t>
      </w:r>
      <w:r>
        <w:rPr/>
        <w:t>the</w:t>
      </w:r>
      <w:r>
        <w:rPr>
          <w:spacing w:val="-4"/>
        </w:rPr>
        <w:t> </w:t>
      </w:r>
      <w:r>
        <w:rPr/>
        <w:t>CPA</w:t>
      </w:r>
      <w:r>
        <w:rPr>
          <w:spacing w:val="-6"/>
        </w:rPr>
        <w:t> </w:t>
      </w:r>
      <w:r>
        <w:rPr/>
        <w:t>who</w:t>
      </w:r>
      <w:r>
        <w:rPr>
          <w:spacing w:val="-6"/>
        </w:rPr>
        <w:t> </w:t>
      </w:r>
      <w:r>
        <w:rPr/>
        <w:t>expressed</w:t>
      </w:r>
      <w:r>
        <w:rPr>
          <w:spacing w:val="-5"/>
        </w:rPr>
        <w:t> </w:t>
      </w:r>
      <w:r>
        <w:rPr/>
        <w:t>that</w:t>
      </w:r>
      <w:r>
        <w:rPr>
          <w:spacing w:val="-6"/>
        </w:rPr>
        <w:t> </w:t>
      </w:r>
      <w:r>
        <w:rPr/>
        <w:t>each</w:t>
      </w:r>
      <w:r>
        <w:rPr>
          <w:spacing w:val="-5"/>
        </w:rPr>
        <w:t> </w:t>
      </w:r>
      <w:r>
        <w:rPr/>
        <w:t>domain</w:t>
      </w:r>
      <w:r>
        <w:rPr>
          <w:spacing w:val="-7"/>
        </w:rPr>
        <w:t> </w:t>
      </w:r>
      <w:r>
        <w:rPr/>
        <w:t>is</w:t>
      </w:r>
      <w:r>
        <w:rPr>
          <w:spacing w:val="-5"/>
        </w:rPr>
        <w:t> </w:t>
      </w:r>
      <w:r>
        <w:rPr/>
        <w:t>either</w:t>
      </w:r>
      <w:r>
        <w:rPr>
          <w:spacing w:val="-7"/>
        </w:rPr>
        <w:t> </w:t>
      </w:r>
      <w:r>
        <w:rPr/>
        <w:t>very</w:t>
      </w:r>
      <w:r>
        <w:rPr>
          <w:spacing w:val="-6"/>
        </w:rPr>
        <w:t> </w:t>
      </w:r>
      <w:r>
        <w:rPr/>
        <w:t>important</w:t>
      </w:r>
      <w:r>
        <w:rPr>
          <w:spacing w:val="-6"/>
        </w:rPr>
        <w:t> </w:t>
      </w:r>
      <w:r>
        <w:rPr/>
        <w:t>or</w:t>
      </w:r>
      <w:r>
        <w:rPr>
          <w:spacing w:val="-5"/>
        </w:rPr>
        <w:t> </w:t>
      </w:r>
      <w:r>
        <w:rPr/>
        <w:t>important to address, or who are unsure of its importance. Bolded priorifies are those Yates County has chosen to priorifize during this CHA cycle.</w:t>
      </w:r>
    </w:p>
    <w:p>
      <w:pPr>
        <w:spacing w:before="162"/>
        <w:ind w:left="1440" w:right="0" w:firstLine="0"/>
        <w:jc w:val="left"/>
        <w:rPr>
          <w:i/>
          <w:sz w:val="18"/>
        </w:rPr>
      </w:pPr>
      <w:r>
        <w:rPr>
          <w:i/>
          <w:color w:val="0D2841"/>
          <w:sz w:val="18"/>
        </w:rPr>
        <w:t>Table</w:t>
      </w:r>
      <w:r>
        <w:rPr>
          <w:i/>
          <w:color w:val="0D2841"/>
          <w:spacing w:val="-6"/>
          <w:sz w:val="18"/>
        </w:rPr>
        <w:t> </w:t>
      </w:r>
      <w:r>
        <w:rPr>
          <w:i/>
          <w:color w:val="0D2841"/>
          <w:sz w:val="18"/>
        </w:rPr>
        <w:t>Y2:</w:t>
      </w:r>
      <w:r>
        <w:rPr>
          <w:i/>
          <w:color w:val="0D2841"/>
          <w:spacing w:val="-6"/>
          <w:sz w:val="18"/>
        </w:rPr>
        <w:t> </w:t>
      </w:r>
      <w:r>
        <w:rPr>
          <w:i/>
          <w:color w:val="0D2841"/>
          <w:sz w:val="18"/>
        </w:rPr>
        <w:t>NYS</w:t>
      </w:r>
      <w:r>
        <w:rPr>
          <w:i/>
          <w:color w:val="0D2841"/>
          <w:spacing w:val="-6"/>
          <w:sz w:val="18"/>
        </w:rPr>
        <w:t> </w:t>
      </w:r>
      <w:r>
        <w:rPr>
          <w:i/>
          <w:color w:val="0D2841"/>
          <w:sz w:val="18"/>
        </w:rPr>
        <w:t>Prevenfion</w:t>
      </w:r>
      <w:r>
        <w:rPr>
          <w:i/>
          <w:color w:val="0D2841"/>
          <w:spacing w:val="-5"/>
          <w:sz w:val="18"/>
        </w:rPr>
        <w:t> </w:t>
      </w:r>
      <w:r>
        <w:rPr>
          <w:i/>
          <w:color w:val="0D2841"/>
          <w:spacing w:val="-2"/>
          <w:sz w:val="18"/>
        </w:rPr>
        <w:t>Agenda</w:t>
      </w:r>
    </w:p>
    <w:p>
      <w:pPr>
        <w:pStyle w:val="BodyText"/>
        <w:spacing w:before="4"/>
        <w:ind w:left="0"/>
        <w:rPr>
          <w:i/>
          <w:sz w:val="16"/>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75"/>
        <w:gridCol w:w="4680"/>
        <w:gridCol w:w="2340"/>
      </w:tblGrid>
      <w:tr>
        <w:trPr>
          <w:trHeight w:val="292" w:hRule="atLeast"/>
        </w:trPr>
        <w:tc>
          <w:tcPr>
            <w:tcW w:w="2875" w:type="dxa"/>
            <w:shd w:val="clear" w:color="auto" w:fill="145F82"/>
          </w:tcPr>
          <w:p>
            <w:pPr>
              <w:pStyle w:val="TableParagraph"/>
              <w:spacing w:line="272" w:lineRule="exact"/>
              <w:ind w:left="8"/>
              <w:jc w:val="center"/>
              <w:rPr>
                <w:b/>
                <w:sz w:val="24"/>
              </w:rPr>
            </w:pPr>
            <w:r>
              <w:rPr>
                <w:b/>
                <w:color w:val="FFFFFF"/>
                <w:spacing w:val="-2"/>
                <w:sz w:val="24"/>
              </w:rPr>
              <w:t>Domain</w:t>
            </w:r>
          </w:p>
        </w:tc>
        <w:tc>
          <w:tcPr>
            <w:tcW w:w="4680" w:type="dxa"/>
            <w:shd w:val="clear" w:color="auto" w:fill="145F82"/>
          </w:tcPr>
          <w:p>
            <w:pPr>
              <w:pStyle w:val="TableParagraph"/>
              <w:spacing w:line="272" w:lineRule="exact"/>
              <w:ind w:left="11"/>
              <w:jc w:val="center"/>
              <w:rPr>
                <w:b/>
                <w:sz w:val="24"/>
              </w:rPr>
            </w:pPr>
            <w:r>
              <w:rPr>
                <w:b/>
                <w:color w:val="FFFFFF"/>
                <w:spacing w:val="-2"/>
                <w:sz w:val="24"/>
              </w:rPr>
              <w:t>Priorifies</w:t>
            </w:r>
          </w:p>
        </w:tc>
        <w:tc>
          <w:tcPr>
            <w:tcW w:w="2340" w:type="dxa"/>
            <w:shd w:val="clear" w:color="auto" w:fill="145F82"/>
          </w:tcPr>
          <w:p>
            <w:pPr>
              <w:pStyle w:val="TableParagraph"/>
              <w:spacing w:line="272" w:lineRule="exact"/>
              <w:ind w:left="143"/>
              <w:rPr>
                <w:b/>
                <w:sz w:val="24"/>
              </w:rPr>
            </w:pPr>
            <w:r>
              <w:rPr>
                <w:b/>
                <w:color w:val="FFFFFF"/>
                <w:sz w:val="24"/>
              </w:rPr>
              <w:t>Community</w:t>
            </w:r>
            <w:r>
              <w:rPr>
                <w:b/>
                <w:color w:val="FFFFFF"/>
                <w:spacing w:val="-1"/>
                <w:sz w:val="24"/>
              </w:rPr>
              <w:t> </w:t>
            </w:r>
            <w:r>
              <w:rPr>
                <w:b/>
                <w:color w:val="FFFFFF"/>
                <w:spacing w:val="-2"/>
                <w:sz w:val="24"/>
              </w:rPr>
              <w:t>Partners</w:t>
            </w:r>
          </w:p>
        </w:tc>
      </w:tr>
      <w:tr>
        <w:trPr>
          <w:trHeight w:val="299" w:hRule="atLeast"/>
        </w:trPr>
        <w:tc>
          <w:tcPr>
            <w:tcW w:w="2875" w:type="dxa"/>
            <w:vMerge w:val="restart"/>
          </w:tcPr>
          <w:p>
            <w:pPr>
              <w:pStyle w:val="TableParagraph"/>
              <w:tabs>
                <w:tab w:pos="467" w:val="left" w:leader="none"/>
              </w:tabs>
              <w:rPr>
                <w:b/>
                <w:sz w:val="22"/>
              </w:rPr>
            </w:pPr>
            <w:r>
              <w:rPr>
                <w:b/>
                <w:spacing w:val="-5"/>
                <w:sz w:val="20"/>
              </w:rPr>
              <w:t>1.</w:t>
            </w:r>
            <w:r>
              <w:rPr>
                <w:b/>
                <w:sz w:val="20"/>
              </w:rPr>
              <w:tab/>
            </w:r>
            <w:r>
              <w:rPr>
                <w:b/>
                <w:sz w:val="22"/>
              </w:rPr>
              <w:t>Economic</w:t>
            </w:r>
            <w:r>
              <w:rPr>
                <w:b/>
                <w:spacing w:val="-7"/>
                <w:sz w:val="22"/>
              </w:rPr>
              <w:t> </w:t>
            </w:r>
            <w:r>
              <w:rPr>
                <w:b/>
                <w:spacing w:val="-2"/>
                <w:sz w:val="22"/>
              </w:rPr>
              <w:t>Stability</w:t>
            </w:r>
          </w:p>
        </w:tc>
        <w:tc>
          <w:tcPr>
            <w:tcW w:w="4680" w:type="dxa"/>
          </w:tcPr>
          <w:p>
            <w:pPr>
              <w:pStyle w:val="TableParagraph"/>
              <w:rPr>
                <w:sz w:val="22"/>
              </w:rPr>
            </w:pPr>
            <w:r>
              <w:rPr>
                <w:spacing w:val="-2"/>
                <w:sz w:val="22"/>
              </w:rPr>
              <w:t>Poverty</w:t>
            </w:r>
          </w:p>
        </w:tc>
        <w:tc>
          <w:tcPr>
            <w:tcW w:w="2340" w:type="dxa"/>
            <w:vMerge w:val="restart"/>
          </w:tcPr>
          <w:p>
            <w:pPr>
              <w:pStyle w:val="TableParagraph"/>
              <w:rPr>
                <w:sz w:val="22"/>
              </w:rPr>
            </w:pPr>
            <w:r>
              <w:rPr>
                <w:sz w:val="22"/>
              </w:rPr>
              <w:t>80%</w:t>
            </w:r>
            <w:r>
              <w:rPr>
                <w:spacing w:val="-2"/>
                <w:sz w:val="22"/>
              </w:rPr>
              <w:t> </w:t>
            </w:r>
            <w:r>
              <w:rPr>
                <w:sz w:val="22"/>
              </w:rPr>
              <w:t>very</w:t>
            </w:r>
            <w:r>
              <w:rPr>
                <w:spacing w:val="-3"/>
                <w:sz w:val="22"/>
              </w:rPr>
              <w:t> </w:t>
            </w:r>
            <w:r>
              <w:rPr>
                <w:spacing w:val="-2"/>
                <w:sz w:val="22"/>
              </w:rPr>
              <w:t>important</w:t>
            </w:r>
          </w:p>
          <w:p>
            <w:pPr>
              <w:pStyle w:val="TableParagraph"/>
              <w:spacing w:line="240" w:lineRule="auto"/>
              <w:rPr>
                <w:sz w:val="22"/>
              </w:rPr>
            </w:pPr>
            <w:r>
              <w:rPr>
                <w:sz w:val="22"/>
              </w:rPr>
              <w:t>10%</w:t>
            </w:r>
            <w:r>
              <w:rPr>
                <w:spacing w:val="-1"/>
                <w:sz w:val="22"/>
              </w:rPr>
              <w:t> </w:t>
            </w:r>
            <w:r>
              <w:rPr>
                <w:spacing w:val="-2"/>
                <w:sz w:val="22"/>
              </w:rPr>
              <w:t>important</w:t>
            </w:r>
          </w:p>
          <w:p>
            <w:pPr>
              <w:pStyle w:val="TableParagraph"/>
              <w:spacing w:line="240" w:lineRule="auto"/>
              <w:rPr>
                <w:sz w:val="22"/>
              </w:rPr>
            </w:pPr>
            <w:r>
              <w:rPr>
                <w:sz w:val="22"/>
              </w:rPr>
              <w:t>10%</w:t>
            </w:r>
            <w:r>
              <w:rPr>
                <w:spacing w:val="-1"/>
                <w:sz w:val="22"/>
              </w:rPr>
              <w:t> </w:t>
            </w:r>
            <w:r>
              <w:rPr>
                <w:spacing w:val="-2"/>
                <w:sz w:val="22"/>
              </w:rPr>
              <w:t>unsure</w:t>
            </w: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9" w:lineRule="exact"/>
              <w:rPr>
                <w:sz w:val="22"/>
              </w:rPr>
            </w:pPr>
            <w:r>
              <w:rPr>
                <w:spacing w:val="-2"/>
                <w:sz w:val="22"/>
              </w:rPr>
              <w:t>Unemployment</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8" w:lineRule="exact"/>
              <w:rPr>
                <w:sz w:val="22"/>
              </w:rPr>
            </w:pPr>
            <w:r>
              <w:rPr>
                <w:sz w:val="22"/>
              </w:rPr>
              <w:t>Nutrifion</w:t>
            </w:r>
            <w:r>
              <w:rPr>
                <w:spacing w:val="-1"/>
                <w:sz w:val="22"/>
              </w:rPr>
              <w:t> </w:t>
            </w:r>
            <w:r>
              <w:rPr>
                <w:spacing w:val="-2"/>
                <w:sz w:val="22"/>
              </w:rPr>
              <w:t>Security</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9" w:lineRule="exact"/>
              <w:rPr>
                <w:b/>
                <w:sz w:val="22"/>
              </w:rPr>
            </w:pPr>
            <w:r>
              <w:rPr>
                <w:b/>
                <w:sz w:val="22"/>
              </w:rPr>
              <w:t>Housing</w:t>
            </w:r>
            <w:r>
              <w:rPr>
                <w:b/>
                <w:spacing w:val="-5"/>
                <w:sz w:val="22"/>
              </w:rPr>
              <w:t> </w:t>
            </w:r>
            <w:r>
              <w:rPr>
                <w:b/>
                <w:sz w:val="22"/>
              </w:rPr>
              <w:t>Stability</w:t>
            </w:r>
            <w:r>
              <w:rPr>
                <w:b/>
                <w:spacing w:val="-4"/>
                <w:sz w:val="22"/>
              </w:rPr>
              <w:t> </w:t>
            </w:r>
            <w:r>
              <w:rPr>
                <w:b/>
                <w:sz w:val="22"/>
              </w:rPr>
              <w:t>and</w:t>
            </w:r>
            <w:r>
              <w:rPr>
                <w:b/>
                <w:spacing w:val="-5"/>
                <w:sz w:val="22"/>
              </w:rPr>
              <w:t> </w:t>
            </w:r>
            <w:r>
              <w:rPr>
                <w:b/>
                <w:spacing w:val="-2"/>
                <w:sz w:val="22"/>
              </w:rPr>
              <w:t>Aﬀordability</w:t>
            </w:r>
          </w:p>
        </w:tc>
        <w:tc>
          <w:tcPr>
            <w:tcW w:w="2340" w:type="dxa"/>
            <w:vMerge/>
            <w:tcBorders>
              <w:top w:val="nil"/>
            </w:tcBorders>
          </w:tcPr>
          <w:p>
            <w:pPr>
              <w:rPr>
                <w:sz w:val="2"/>
                <w:szCs w:val="2"/>
              </w:rPr>
            </w:pPr>
          </w:p>
        </w:tc>
      </w:tr>
      <w:tr>
        <w:trPr>
          <w:trHeight w:val="268" w:hRule="atLeast"/>
        </w:trPr>
        <w:tc>
          <w:tcPr>
            <w:tcW w:w="2875" w:type="dxa"/>
            <w:vMerge w:val="restart"/>
          </w:tcPr>
          <w:p>
            <w:pPr>
              <w:pStyle w:val="TableParagraph"/>
              <w:tabs>
                <w:tab w:pos="467" w:val="left" w:leader="none"/>
              </w:tabs>
              <w:spacing w:line="240" w:lineRule="auto"/>
              <w:ind w:left="467" w:right="356" w:hanging="360"/>
              <w:rPr>
                <w:b/>
                <w:sz w:val="22"/>
              </w:rPr>
            </w:pPr>
            <w:r>
              <w:rPr>
                <w:b/>
                <w:spacing w:val="-6"/>
                <w:sz w:val="20"/>
              </w:rPr>
              <w:t>2.</w:t>
            </w:r>
            <w:r>
              <w:rPr>
                <w:b/>
                <w:sz w:val="20"/>
              </w:rPr>
              <w:tab/>
            </w:r>
            <w:r>
              <w:rPr>
                <w:b/>
                <w:sz w:val="22"/>
              </w:rPr>
              <w:t>Social</w:t>
            </w:r>
            <w:r>
              <w:rPr>
                <w:b/>
                <w:spacing w:val="-13"/>
                <w:sz w:val="22"/>
              </w:rPr>
              <w:t> </w:t>
            </w:r>
            <w:r>
              <w:rPr>
                <w:b/>
                <w:sz w:val="22"/>
              </w:rPr>
              <w:t>and</w:t>
            </w:r>
            <w:r>
              <w:rPr>
                <w:b/>
                <w:spacing w:val="-12"/>
                <w:sz w:val="22"/>
              </w:rPr>
              <w:t> </w:t>
            </w:r>
            <w:r>
              <w:rPr>
                <w:b/>
                <w:sz w:val="22"/>
              </w:rPr>
              <w:t>Community </w:t>
            </w:r>
            <w:r>
              <w:rPr>
                <w:b/>
                <w:spacing w:val="-2"/>
                <w:sz w:val="22"/>
              </w:rPr>
              <w:t>Context</w:t>
            </w:r>
          </w:p>
        </w:tc>
        <w:tc>
          <w:tcPr>
            <w:tcW w:w="4680" w:type="dxa"/>
          </w:tcPr>
          <w:p>
            <w:pPr>
              <w:pStyle w:val="TableParagraph"/>
              <w:spacing w:line="248" w:lineRule="exact"/>
              <w:rPr>
                <w:b/>
                <w:sz w:val="22"/>
              </w:rPr>
            </w:pPr>
            <w:r>
              <w:rPr>
                <w:b/>
                <w:sz w:val="22"/>
              </w:rPr>
              <w:t>Anxiety</w:t>
            </w:r>
            <w:r>
              <w:rPr>
                <w:b/>
                <w:spacing w:val="-5"/>
                <w:sz w:val="22"/>
              </w:rPr>
              <w:t> </w:t>
            </w:r>
            <w:r>
              <w:rPr>
                <w:b/>
                <w:sz w:val="22"/>
              </w:rPr>
              <w:t>and</w:t>
            </w:r>
            <w:r>
              <w:rPr>
                <w:b/>
                <w:spacing w:val="-6"/>
                <w:sz w:val="22"/>
              </w:rPr>
              <w:t> </w:t>
            </w:r>
            <w:r>
              <w:rPr>
                <w:b/>
                <w:spacing w:val="-2"/>
                <w:sz w:val="22"/>
              </w:rPr>
              <w:t>Stress</w:t>
            </w:r>
          </w:p>
        </w:tc>
        <w:tc>
          <w:tcPr>
            <w:tcW w:w="2340" w:type="dxa"/>
            <w:vMerge w:val="restart"/>
          </w:tcPr>
          <w:p>
            <w:pPr>
              <w:pStyle w:val="TableParagraph"/>
              <w:spacing w:line="267" w:lineRule="exact"/>
              <w:rPr>
                <w:sz w:val="22"/>
              </w:rPr>
            </w:pPr>
            <w:r>
              <w:rPr>
                <w:sz w:val="22"/>
              </w:rPr>
              <w:t>40%</w:t>
            </w:r>
            <w:r>
              <w:rPr>
                <w:spacing w:val="-2"/>
                <w:sz w:val="22"/>
              </w:rPr>
              <w:t> </w:t>
            </w:r>
            <w:r>
              <w:rPr>
                <w:sz w:val="22"/>
              </w:rPr>
              <w:t>very</w:t>
            </w:r>
            <w:r>
              <w:rPr>
                <w:spacing w:val="-3"/>
                <w:sz w:val="22"/>
              </w:rPr>
              <w:t> </w:t>
            </w:r>
            <w:r>
              <w:rPr>
                <w:spacing w:val="-2"/>
                <w:sz w:val="22"/>
              </w:rPr>
              <w:t>important</w:t>
            </w:r>
          </w:p>
          <w:p>
            <w:pPr>
              <w:pStyle w:val="TableParagraph"/>
              <w:spacing w:line="240" w:lineRule="auto"/>
              <w:rPr>
                <w:sz w:val="22"/>
              </w:rPr>
            </w:pPr>
            <w:r>
              <w:rPr>
                <w:sz w:val="22"/>
              </w:rPr>
              <w:t>40%</w:t>
            </w:r>
            <w:r>
              <w:rPr>
                <w:spacing w:val="-1"/>
                <w:sz w:val="22"/>
              </w:rPr>
              <w:t> </w:t>
            </w:r>
            <w:r>
              <w:rPr>
                <w:spacing w:val="-2"/>
                <w:sz w:val="22"/>
              </w:rPr>
              <w:t>important</w:t>
            </w:r>
          </w:p>
          <w:p>
            <w:pPr>
              <w:pStyle w:val="TableParagraph"/>
              <w:spacing w:line="240" w:lineRule="auto"/>
              <w:rPr>
                <w:sz w:val="22"/>
              </w:rPr>
            </w:pPr>
            <w:r>
              <w:rPr>
                <w:sz w:val="22"/>
              </w:rPr>
              <w:t>20%</w:t>
            </w:r>
            <w:r>
              <w:rPr>
                <w:spacing w:val="-1"/>
                <w:sz w:val="22"/>
              </w:rPr>
              <w:t> </w:t>
            </w:r>
            <w:r>
              <w:rPr>
                <w:spacing w:val="-2"/>
                <w:sz w:val="22"/>
              </w:rPr>
              <w:t>unsure</w:t>
            </w: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9" w:lineRule="exact"/>
              <w:rPr>
                <w:sz w:val="22"/>
              </w:rPr>
            </w:pPr>
            <w:r>
              <w:rPr>
                <w:spacing w:val="-2"/>
                <w:sz w:val="22"/>
              </w:rPr>
              <w:t>Suicide</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8" w:lineRule="exact"/>
              <w:rPr>
                <w:sz w:val="22"/>
              </w:rPr>
            </w:pPr>
            <w:r>
              <w:rPr>
                <w:spacing w:val="-2"/>
                <w:sz w:val="22"/>
              </w:rPr>
              <w:t>Depression</w:t>
            </w:r>
          </w:p>
        </w:tc>
        <w:tc>
          <w:tcPr>
            <w:tcW w:w="2340" w:type="dxa"/>
            <w:vMerge/>
            <w:tcBorders>
              <w:top w:val="nil"/>
            </w:tcBorders>
          </w:tcPr>
          <w:p>
            <w:pPr>
              <w:rPr>
                <w:sz w:val="2"/>
                <w:szCs w:val="2"/>
              </w:rPr>
            </w:pPr>
          </w:p>
        </w:tc>
      </w:tr>
      <w:tr>
        <w:trPr>
          <w:trHeight w:val="537" w:hRule="atLeast"/>
        </w:trPr>
        <w:tc>
          <w:tcPr>
            <w:tcW w:w="2875" w:type="dxa"/>
            <w:vMerge/>
            <w:tcBorders>
              <w:top w:val="nil"/>
            </w:tcBorders>
          </w:tcPr>
          <w:p>
            <w:pPr>
              <w:rPr>
                <w:sz w:val="2"/>
                <w:szCs w:val="2"/>
              </w:rPr>
            </w:pPr>
          </w:p>
        </w:tc>
        <w:tc>
          <w:tcPr>
            <w:tcW w:w="4680" w:type="dxa"/>
          </w:tcPr>
          <w:p>
            <w:pPr>
              <w:pStyle w:val="TableParagraph"/>
              <w:spacing w:line="267" w:lineRule="exact" w:before="1"/>
              <w:rPr>
                <w:sz w:val="22"/>
              </w:rPr>
            </w:pPr>
            <w:r>
              <w:rPr>
                <w:sz w:val="22"/>
              </w:rPr>
              <w:t>Primary</w:t>
            </w:r>
            <w:r>
              <w:rPr>
                <w:spacing w:val="-9"/>
                <w:sz w:val="22"/>
              </w:rPr>
              <w:t> </w:t>
            </w:r>
            <w:r>
              <w:rPr>
                <w:sz w:val="22"/>
              </w:rPr>
              <w:t>Prevenfion,</w:t>
            </w:r>
            <w:r>
              <w:rPr>
                <w:spacing w:val="-8"/>
                <w:sz w:val="22"/>
              </w:rPr>
              <w:t> </w:t>
            </w:r>
            <w:r>
              <w:rPr>
                <w:sz w:val="22"/>
              </w:rPr>
              <w:t>Substance</w:t>
            </w:r>
            <w:r>
              <w:rPr>
                <w:spacing w:val="-8"/>
                <w:sz w:val="22"/>
              </w:rPr>
              <w:t> </w:t>
            </w:r>
            <w:r>
              <w:rPr>
                <w:sz w:val="22"/>
              </w:rPr>
              <w:t>Misuse,</w:t>
            </w:r>
            <w:r>
              <w:rPr>
                <w:spacing w:val="-8"/>
                <w:sz w:val="22"/>
              </w:rPr>
              <w:t> </w:t>
            </w:r>
            <w:r>
              <w:rPr>
                <w:spacing w:val="-5"/>
                <w:sz w:val="22"/>
              </w:rPr>
              <w:t>and</w:t>
            </w:r>
          </w:p>
          <w:p>
            <w:pPr>
              <w:pStyle w:val="TableParagraph"/>
              <w:spacing w:line="248" w:lineRule="exact"/>
              <w:rPr>
                <w:sz w:val="22"/>
              </w:rPr>
            </w:pPr>
            <w:r>
              <w:rPr>
                <w:sz w:val="22"/>
              </w:rPr>
              <w:t>Overdose</w:t>
            </w:r>
            <w:r>
              <w:rPr>
                <w:spacing w:val="-9"/>
                <w:sz w:val="22"/>
              </w:rPr>
              <w:t> </w:t>
            </w:r>
            <w:r>
              <w:rPr>
                <w:spacing w:val="-2"/>
                <w:sz w:val="22"/>
              </w:rPr>
              <w:t>Prevenfion</w:t>
            </w:r>
          </w:p>
        </w:tc>
        <w:tc>
          <w:tcPr>
            <w:tcW w:w="2340" w:type="dxa"/>
            <w:vMerge/>
            <w:tcBorders>
              <w:top w:val="nil"/>
            </w:tcBorders>
          </w:tcPr>
          <w:p>
            <w:pPr>
              <w:rPr>
                <w:sz w:val="2"/>
                <w:szCs w:val="2"/>
              </w:rPr>
            </w:pPr>
          </w:p>
        </w:tc>
      </w:tr>
      <w:tr>
        <w:trPr>
          <w:trHeight w:val="271" w:hRule="atLeast"/>
        </w:trPr>
        <w:tc>
          <w:tcPr>
            <w:tcW w:w="2875" w:type="dxa"/>
            <w:vMerge/>
            <w:tcBorders>
              <w:top w:val="nil"/>
            </w:tcBorders>
          </w:tcPr>
          <w:p>
            <w:pPr>
              <w:rPr>
                <w:sz w:val="2"/>
                <w:szCs w:val="2"/>
              </w:rPr>
            </w:pPr>
          </w:p>
        </w:tc>
        <w:tc>
          <w:tcPr>
            <w:tcW w:w="4680" w:type="dxa"/>
          </w:tcPr>
          <w:p>
            <w:pPr>
              <w:pStyle w:val="TableParagraph"/>
              <w:spacing w:line="249" w:lineRule="exact" w:before="1"/>
              <w:rPr>
                <w:sz w:val="22"/>
              </w:rPr>
            </w:pPr>
            <w:r>
              <w:rPr>
                <w:spacing w:val="-2"/>
                <w:sz w:val="22"/>
              </w:rPr>
              <w:t>Tobacco/</w:t>
            </w:r>
            <w:r>
              <w:rPr>
                <w:spacing w:val="-4"/>
                <w:sz w:val="22"/>
              </w:rPr>
              <w:t> </w:t>
            </w:r>
            <w:r>
              <w:rPr>
                <w:spacing w:val="-2"/>
                <w:sz w:val="22"/>
              </w:rPr>
              <w:t>E-cigarefte</w:t>
            </w:r>
            <w:r>
              <w:rPr>
                <w:spacing w:val="-7"/>
                <w:sz w:val="22"/>
              </w:rPr>
              <w:t> </w:t>
            </w:r>
            <w:r>
              <w:rPr>
                <w:spacing w:val="-5"/>
                <w:sz w:val="22"/>
              </w:rPr>
              <w:t>Use</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8" w:lineRule="exact"/>
              <w:rPr>
                <w:sz w:val="22"/>
              </w:rPr>
            </w:pPr>
            <w:r>
              <w:rPr>
                <w:sz w:val="22"/>
              </w:rPr>
              <w:t>Alcohol</w:t>
            </w:r>
            <w:r>
              <w:rPr>
                <w:spacing w:val="-5"/>
                <w:sz w:val="22"/>
              </w:rPr>
              <w:t> Use</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9" w:lineRule="exact"/>
              <w:rPr>
                <w:sz w:val="22"/>
              </w:rPr>
            </w:pPr>
            <w:r>
              <w:rPr>
                <w:sz w:val="22"/>
              </w:rPr>
              <w:t>Adverse</w:t>
            </w:r>
            <w:r>
              <w:rPr>
                <w:spacing w:val="-9"/>
                <w:sz w:val="22"/>
              </w:rPr>
              <w:t> </w:t>
            </w:r>
            <w:r>
              <w:rPr>
                <w:sz w:val="22"/>
              </w:rPr>
              <w:t>Childhood</w:t>
            </w:r>
            <w:r>
              <w:rPr>
                <w:spacing w:val="-9"/>
                <w:sz w:val="22"/>
              </w:rPr>
              <w:t> </w:t>
            </w:r>
            <w:r>
              <w:rPr>
                <w:spacing w:val="-2"/>
                <w:sz w:val="22"/>
              </w:rPr>
              <w:t>Experiences</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8" w:lineRule="exact"/>
              <w:rPr>
                <w:sz w:val="22"/>
              </w:rPr>
            </w:pPr>
            <w:r>
              <w:rPr>
                <w:sz w:val="22"/>
              </w:rPr>
              <w:t>Healthy</w:t>
            </w:r>
            <w:r>
              <w:rPr>
                <w:spacing w:val="-10"/>
                <w:sz w:val="22"/>
              </w:rPr>
              <w:t> </w:t>
            </w:r>
            <w:r>
              <w:rPr>
                <w:spacing w:val="-2"/>
                <w:sz w:val="22"/>
              </w:rPr>
              <w:t>Eafing</w:t>
            </w:r>
          </w:p>
        </w:tc>
        <w:tc>
          <w:tcPr>
            <w:tcW w:w="2340" w:type="dxa"/>
            <w:vMerge/>
            <w:tcBorders>
              <w:top w:val="nil"/>
            </w:tcBorders>
          </w:tcPr>
          <w:p>
            <w:pPr>
              <w:rPr>
                <w:sz w:val="2"/>
                <w:szCs w:val="2"/>
              </w:rPr>
            </w:pPr>
          </w:p>
        </w:tc>
      </w:tr>
      <w:tr>
        <w:trPr>
          <w:trHeight w:val="537" w:hRule="atLeast"/>
        </w:trPr>
        <w:tc>
          <w:tcPr>
            <w:tcW w:w="2875" w:type="dxa"/>
            <w:vMerge w:val="restart"/>
          </w:tcPr>
          <w:p>
            <w:pPr>
              <w:pStyle w:val="TableParagraph"/>
              <w:tabs>
                <w:tab w:pos="467" w:val="left" w:leader="none"/>
              </w:tabs>
              <w:spacing w:line="240" w:lineRule="auto"/>
              <w:ind w:left="467" w:right="204" w:hanging="360"/>
              <w:rPr>
                <w:b/>
                <w:sz w:val="22"/>
              </w:rPr>
            </w:pPr>
            <w:r>
              <w:rPr>
                <w:spacing w:val="-6"/>
                <w:sz w:val="20"/>
              </w:rPr>
              <w:t>3.</w:t>
            </w:r>
            <w:r>
              <w:rPr>
                <w:sz w:val="20"/>
              </w:rPr>
              <w:tab/>
            </w:r>
            <w:r>
              <w:rPr>
                <w:b/>
                <w:sz w:val="22"/>
              </w:rPr>
              <w:t>Neighborhood</w:t>
            </w:r>
            <w:r>
              <w:rPr>
                <w:b/>
                <w:spacing w:val="-13"/>
                <w:sz w:val="22"/>
              </w:rPr>
              <w:t> </w:t>
            </w:r>
            <w:r>
              <w:rPr>
                <w:b/>
                <w:sz w:val="22"/>
              </w:rPr>
              <w:t>and</w:t>
            </w:r>
            <w:r>
              <w:rPr>
                <w:b/>
                <w:spacing w:val="-12"/>
                <w:sz w:val="22"/>
              </w:rPr>
              <w:t> </w:t>
            </w:r>
            <w:r>
              <w:rPr>
                <w:b/>
                <w:sz w:val="22"/>
              </w:rPr>
              <w:t>Built </w:t>
            </w:r>
            <w:r>
              <w:rPr>
                <w:b/>
                <w:spacing w:val="-2"/>
                <w:sz w:val="22"/>
              </w:rPr>
              <w:t>Environment</w:t>
            </w:r>
          </w:p>
        </w:tc>
        <w:tc>
          <w:tcPr>
            <w:tcW w:w="4680" w:type="dxa"/>
          </w:tcPr>
          <w:p>
            <w:pPr>
              <w:pStyle w:val="TableParagraph"/>
              <w:rPr>
                <w:sz w:val="22"/>
              </w:rPr>
            </w:pPr>
            <w:r>
              <w:rPr>
                <w:sz w:val="22"/>
              </w:rPr>
              <w:t>Opportunifies</w:t>
            </w:r>
            <w:r>
              <w:rPr>
                <w:spacing w:val="-9"/>
                <w:sz w:val="22"/>
              </w:rPr>
              <w:t> </w:t>
            </w:r>
            <w:r>
              <w:rPr>
                <w:sz w:val="22"/>
              </w:rPr>
              <w:t>for</w:t>
            </w:r>
            <w:r>
              <w:rPr>
                <w:spacing w:val="-9"/>
                <w:sz w:val="22"/>
              </w:rPr>
              <w:t> </w:t>
            </w:r>
            <w:r>
              <w:rPr>
                <w:sz w:val="22"/>
              </w:rPr>
              <w:t>Acfive</w:t>
            </w:r>
            <w:r>
              <w:rPr>
                <w:spacing w:val="-10"/>
                <w:sz w:val="22"/>
              </w:rPr>
              <w:t> </w:t>
            </w:r>
            <w:r>
              <w:rPr>
                <w:sz w:val="22"/>
              </w:rPr>
              <w:t>Transportafion</w:t>
            </w:r>
            <w:r>
              <w:rPr>
                <w:spacing w:val="-9"/>
                <w:sz w:val="22"/>
              </w:rPr>
              <w:t> </w:t>
            </w:r>
            <w:r>
              <w:rPr>
                <w:spacing w:val="-5"/>
                <w:sz w:val="22"/>
              </w:rPr>
              <w:t>and</w:t>
            </w:r>
          </w:p>
          <w:p>
            <w:pPr>
              <w:pStyle w:val="TableParagraph"/>
              <w:spacing w:line="249" w:lineRule="exact"/>
              <w:rPr>
                <w:sz w:val="22"/>
              </w:rPr>
            </w:pPr>
            <w:r>
              <w:rPr>
                <w:sz w:val="22"/>
              </w:rPr>
              <w:t>Physical</w:t>
            </w:r>
            <w:r>
              <w:rPr>
                <w:spacing w:val="-12"/>
                <w:sz w:val="22"/>
              </w:rPr>
              <w:t> </w:t>
            </w:r>
            <w:r>
              <w:rPr>
                <w:spacing w:val="-2"/>
                <w:sz w:val="22"/>
              </w:rPr>
              <w:t>Acfivity</w:t>
            </w:r>
          </w:p>
        </w:tc>
        <w:tc>
          <w:tcPr>
            <w:tcW w:w="2340" w:type="dxa"/>
            <w:vMerge w:val="restart"/>
          </w:tcPr>
          <w:p>
            <w:pPr>
              <w:pStyle w:val="TableParagraph"/>
              <w:rPr>
                <w:sz w:val="22"/>
              </w:rPr>
            </w:pPr>
            <w:r>
              <w:rPr>
                <w:sz w:val="22"/>
              </w:rPr>
              <w:t>40%</w:t>
            </w:r>
            <w:r>
              <w:rPr>
                <w:spacing w:val="-2"/>
                <w:sz w:val="22"/>
              </w:rPr>
              <w:t> </w:t>
            </w:r>
            <w:r>
              <w:rPr>
                <w:sz w:val="22"/>
              </w:rPr>
              <w:t>very</w:t>
            </w:r>
            <w:r>
              <w:rPr>
                <w:spacing w:val="-3"/>
                <w:sz w:val="22"/>
              </w:rPr>
              <w:t> </w:t>
            </w:r>
            <w:r>
              <w:rPr>
                <w:spacing w:val="-2"/>
                <w:sz w:val="22"/>
              </w:rPr>
              <w:t>important</w:t>
            </w:r>
          </w:p>
          <w:p>
            <w:pPr>
              <w:pStyle w:val="TableParagraph"/>
              <w:spacing w:line="240" w:lineRule="auto"/>
              <w:rPr>
                <w:sz w:val="22"/>
              </w:rPr>
            </w:pPr>
            <w:r>
              <w:rPr>
                <w:sz w:val="22"/>
              </w:rPr>
              <w:t>40%</w:t>
            </w:r>
            <w:r>
              <w:rPr>
                <w:spacing w:val="-1"/>
                <w:sz w:val="22"/>
              </w:rPr>
              <w:t> </w:t>
            </w:r>
            <w:r>
              <w:rPr>
                <w:spacing w:val="-2"/>
                <w:sz w:val="22"/>
              </w:rPr>
              <w:t>important</w:t>
            </w:r>
          </w:p>
          <w:p>
            <w:pPr>
              <w:pStyle w:val="TableParagraph"/>
              <w:spacing w:line="240" w:lineRule="auto"/>
              <w:rPr>
                <w:sz w:val="22"/>
              </w:rPr>
            </w:pPr>
            <w:r>
              <w:rPr>
                <w:sz w:val="22"/>
              </w:rPr>
              <w:t>20%</w:t>
            </w:r>
            <w:r>
              <w:rPr>
                <w:spacing w:val="-1"/>
                <w:sz w:val="22"/>
              </w:rPr>
              <w:t> </w:t>
            </w:r>
            <w:r>
              <w:rPr>
                <w:spacing w:val="-2"/>
                <w:sz w:val="22"/>
              </w:rPr>
              <w:t>unsure</w:t>
            </w: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9" w:lineRule="exact"/>
              <w:rPr>
                <w:sz w:val="22"/>
              </w:rPr>
            </w:pPr>
            <w:r>
              <w:rPr>
                <w:sz w:val="22"/>
              </w:rPr>
              <w:t>Access</w:t>
            </w:r>
            <w:r>
              <w:rPr>
                <w:spacing w:val="-5"/>
                <w:sz w:val="22"/>
              </w:rPr>
              <w:t> </w:t>
            </w:r>
            <w:r>
              <w:rPr>
                <w:sz w:val="22"/>
              </w:rPr>
              <w:t>to</w:t>
            </w:r>
            <w:r>
              <w:rPr>
                <w:spacing w:val="-4"/>
                <w:sz w:val="22"/>
              </w:rPr>
              <w:t> </w:t>
            </w:r>
            <w:r>
              <w:rPr>
                <w:sz w:val="22"/>
              </w:rPr>
              <w:t>Community</w:t>
            </w:r>
            <w:r>
              <w:rPr>
                <w:spacing w:val="-4"/>
                <w:sz w:val="22"/>
              </w:rPr>
              <w:t> </w:t>
            </w:r>
            <w:r>
              <w:rPr>
                <w:sz w:val="22"/>
              </w:rPr>
              <w:t>Services</w:t>
            </w:r>
            <w:r>
              <w:rPr>
                <w:spacing w:val="-2"/>
                <w:sz w:val="22"/>
              </w:rPr>
              <w:t> </w:t>
            </w:r>
            <w:r>
              <w:rPr>
                <w:sz w:val="22"/>
              </w:rPr>
              <w:t>and</w:t>
            </w:r>
            <w:r>
              <w:rPr>
                <w:spacing w:val="-3"/>
                <w:sz w:val="22"/>
              </w:rPr>
              <w:t> </w:t>
            </w:r>
            <w:r>
              <w:rPr>
                <w:spacing w:val="-2"/>
                <w:sz w:val="22"/>
              </w:rPr>
              <w:t>Support</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8" w:lineRule="exact"/>
              <w:rPr>
                <w:sz w:val="22"/>
              </w:rPr>
            </w:pPr>
            <w:r>
              <w:rPr>
                <w:sz w:val="22"/>
              </w:rPr>
              <w:t>Injuries</w:t>
            </w:r>
            <w:r>
              <w:rPr>
                <w:spacing w:val="-5"/>
                <w:sz w:val="22"/>
              </w:rPr>
              <w:t> </w:t>
            </w:r>
            <w:r>
              <w:rPr>
                <w:sz w:val="22"/>
              </w:rPr>
              <w:t>and</w:t>
            </w:r>
            <w:r>
              <w:rPr>
                <w:spacing w:val="-5"/>
                <w:sz w:val="22"/>
              </w:rPr>
              <w:t> </w:t>
            </w:r>
            <w:r>
              <w:rPr>
                <w:spacing w:val="-2"/>
                <w:sz w:val="22"/>
              </w:rPr>
              <w:t>Violence</w:t>
            </w:r>
          </w:p>
        </w:tc>
        <w:tc>
          <w:tcPr>
            <w:tcW w:w="2340" w:type="dxa"/>
            <w:vMerge/>
            <w:tcBorders>
              <w:top w:val="nil"/>
            </w:tcBorders>
          </w:tcPr>
          <w:p>
            <w:pPr>
              <w:rPr>
                <w:sz w:val="2"/>
                <w:szCs w:val="2"/>
              </w:rPr>
            </w:pPr>
          </w:p>
        </w:tc>
      </w:tr>
      <w:tr>
        <w:trPr>
          <w:trHeight w:val="268" w:hRule="atLeast"/>
        </w:trPr>
        <w:tc>
          <w:tcPr>
            <w:tcW w:w="2875" w:type="dxa"/>
            <w:vMerge w:val="restart"/>
          </w:tcPr>
          <w:p>
            <w:pPr>
              <w:pStyle w:val="TableParagraph"/>
              <w:tabs>
                <w:tab w:pos="467" w:val="left" w:leader="none"/>
              </w:tabs>
              <w:spacing w:line="240" w:lineRule="auto"/>
              <w:ind w:left="467" w:right="277" w:hanging="360"/>
              <w:rPr>
                <w:b/>
                <w:sz w:val="22"/>
              </w:rPr>
            </w:pPr>
            <w:r>
              <w:rPr>
                <w:b/>
                <w:spacing w:val="-6"/>
                <w:sz w:val="20"/>
              </w:rPr>
              <w:t>4.</w:t>
            </w:r>
            <w:r>
              <w:rPr>
                <w:b/>
                <w:sz w:val="20"/>
              </w:rPr>
              <w:tab/>
            </w:r>
            <w:r>
              <w:rPr>
                <w:b/>
                <w:sz w:val="22"/>
              </w:rPr>
              <w:t>Health</w:t>
            </w:r>
            <w:r>
              <w:rPr>
                <w:b/>
                <w:spacing w:val="-13"/>
                <w:sz w:val="22"/>
              </w:rPr>
              <w:t> </w:t>
            </w:r>
            <w:r>
              <w:rPr>
                <w:b/>
                <w:sz w:val="22"/>
              </w:rPr>
              <w:t>Care</w:t>
            </w:r>
            <w:r>
              <w:rPr>
                <w:b/>
                <w:spacing w:val="-12"/>
                <w:sz w:val="22"/>
              </w:rPr>
              <w:t> </w:t>
            </w:r>
            <w:r>
              <w:rPr>
                <w:b/>
                <w:sz w:val="22"/>
              </w:rPr>
              <w:t>Access</w:t>
            </w:r>
            <w:r>
              <w:rPr>
                <w:b/>
                <w:spacing w:val="-13"/>
                <w:sz w:val="22"/>
              </w:rPr>
              <w:t> </w:t>
            </w:r>
            <w:r>
              <w:rPr>
                <w:b/>
                <w:sz w:val="22"/>
              </w:rPr>
              <w:t>and </w:t>
            </w:r>
            <w:r>
              <w:rPr>
                <w:b/>
                <w:spacing w:val="-2"/>
                <w:sz w:val="22"/>
              </w:rPr>
              <w:t>Quality</w:t>
            </w:r>
          </w:p>
        </w:tc>
        <w:tc>
          <w:tcPr>
            <w:tcW w:w="4680" w:type="dxa"/>
          </w:tcPr>
          <w:p>
            <w:pPr>
              <w:pStyle w:val="TableParagraph"/>
              <w:spacing w:line="249" w:lineRule="exact"/>
              <w:rPr>
                <w:sz w:val="22"/>
              </w:rPr>
            </w:pPr>
            <w:r>
              <w:rPr>
                <w:sz w:val="22"/>
              </w:rPr>
              <w:t>Access</w:t>
            </w:r>
            <w:r>
              <w:rPr>
                <w:spacing w:val="-6"/>
                <w:sz w:val="22"/>
              </w:rPr>
              <w:t> </w:t>
            </w:r>
            <w:r>
              <w:rPr>
                <w:sz w:val="22"/>
              </w:rPr>
              <w:t>to</w:t>
            </w:r>
            <w:r>
              <w:rPr>
                <w:spacing w:val="-4"/>
                <w:sz w:val="22"/>
              </w:rPr>
              <w:t> </w:t>
            </w:r>
            <w:r>
              <w:rPr>
                <w:sz w:val="22"/>
              </w:rPr>
              <w:t>and</w:t>
            </w:r>
            <w:r>
              <w:rPr>
                <w:spacing w:val="-5"/>
                <w:sz w:val="22"/>
              </w:rPr>
              <w:t> </w:t>
            </w:r>
            <w:r>
              <w:rPr>
                <w:sz w:val="22"/>
              </w:rPr>
              <w:t>Use</w:t>
            </w:r>
            <w:r>
              <w:rPr>
                <w:spacing w:val="-5"/>
                <w:sz w:val="22"/>
              </w:rPr>
              <w:t> </w:t>
            </w:r>
            <w:r>
              <w:rPr>
                <w:sz w:val="22"/>
              </w:rPr>
              <w:t>of</w:t>
            </w:r>
            <w:r>
              <w:rPr>
                <w:spacing w:val="-6"/>
                <w:sz w:val="22"/>
              </w:rPr>
              <w:t> </w:t>
            </w:r>
            <w:r>
              <w:rPr>
                <w:sz w:val="22"/>
              </w:rPr>
              <w:t>Prenatal</w:t>
            </w:r>
            <w:r>
              <w:rPr>
                <w:spacing w:val="-3"/>
                <w:sz w:val="22"/>
              </w:rPr>
              <w:t> </w:t>
            </w:r>
            <w:r>
              <w:rPr>
                <w:spacing w:val="-4"/>
                <w:sz w:val="22"/>
              </w:rPr>
              <w:t>Care</w:t>
            </w:r>
          </w:p>
        </w:tc>
        <w:tc>
          <w:tcPr>
            <w:tcW w:w="2340" w:type="dxa"/>
            <w:vMerge w:val="restart"/>
          </w:tcPr>
          <w:p>
            <w:pPr>
              <w:pStyle w:val="TableParagraph"/>
              <w:rPr>
                <w:sz w:val="22"/>
              </w:rPr>
            </w:pPr>
            <w:r>
              <w:rPr>
                <w:sz w:val="22"/>
              </w:rPr>
              <w:t>50%</w:t>
            </w:r>
            <w:r>
              <w:rPr>
                <w:spacing w:val="-2"/>
                <w:sz w:val="22"/>
              </w:rPr>
              <w:t> </w:t>
            </w:r>
            <w:r>
              <w:rPr>
                <w:sz w:val="22"/>
              </w:rPr>
              <w:t>very</w:t>
            </w:r>
            <w:r>
              <w:rPr>
                <w:spacing w:val="-3"/>
                <w:sz w:val="22"/>
              </w:rPr>
              <w:t> </w:t>
            </w:r>
            <w:r>
              <w:rPr>
                <w:spacing w:val="-2"/>
                <w:sz w:val="22"/>
              </w:rPr>
              <w:t>important</w:t>
            </w:r>
          </w:p>
          <w:p>
            <w:pPr>
              <w:pStyle w:val="TableParagraph"/>
              <w:spacing w:line="240" w:lineRule="auto"/>
              <w:rPr>
                <w:sz w:val="22"/>
              </w:rPr>
            </w:pPr>
            <w:r>
              <w:rPr>
                <w:sz w:val="22"/>
              </w:rPr>
              <w:t>40%</w:t>
            </w:r>
            <w:r>
              <w:rPr>
                <w:spacing w:val="-1"/>
                <w:sz w:val="22"/>
              </w:rPr>
              <w:t> </w:t>
            </w:r>
            <w:r>
              <w:rPr>
                <w:spacing w:val="-2"/>
                <w:sz w:val="22"/>
              </w:rPr>
              <w:t>important</w:t>
            </w:r>
          </w:p>
          <w:p>
            <w:pPr>
              <w:pStyle w:val="TableParagraph"/>
              <w:spacing w:line="240" w:lineRule="auto"/>
              <w:rPr>
                <w:sz w:val="22"/>
              </w:rPr>
            </w:pPr>
            <w:r>
              <w:rPr>
                <w:sz w:val="22"/>
              </w:rPr>
              <w:t>10%</w:t>
            </w:r>
            <w:r>
              <w:rPr>
                <w:spacing w:val="-1"/>
                <w:sz w:val="22"/>
              </w:rPr>
              <w:t> </w:t>
            </w:r>
            <w:r>
              <w:rPr>
                <w:spacing w:val="-2"/>
                <w:sz w:val="22"/>
              </w:rPr>
              <w:t>unsure</w:t>
            </w: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8" w:lineRule="exact"/>
              <w:rPr>
                <w:sz w:val="22"/>
              </w:rPr>
            </w:pPr>
            <w:r>
              <w:rPr>
                <w:sz w:val="22"/>
              </w:rPr>
              <w:t>Prevenfion</w:t>
            </w:r>
            <w:r>
              <w:rPr>
                <w:spacing w:val="-10"/>
                <w:sz w:val="22"/>
              </w:rPr>
              <w:t> </w:t>
            </w:r>
            <w:r>
              <w:rPr>
                <w:sz w:val="22"/>
              </w:rPr>
              <w:t>of</w:t>
            </w:r>
            <w:r>
              <w:rPr>
                <w:spacing w:val="-7"/>
                <w:sz w:val="22"/>
              </w:rPr>
              <w:t> </w:t>
            </w:r>
            <w:r>
              <w:rPr>
                <w:sz w:val="22"/>
              </w:rPr>
              <w:t>Infant</w:t>
            </w:r>
            <w:r>
              <w:rPr>
                <w:spacing w:val="-6"/>
                <w:sz w:val="22"/>
              </w:rPr>
              <w:t> </w:t>
            </w:r>
            <w:r>
              <w:rPr>
                <w:sz w:val="22"/>
              </w:rPr>
              <w:t>and</w:t>
            </w:r>
            <w:r>
              <w:rPr>
                <w:spacing w:val="-7"/>
                <w:sz w:val="22"/>
              </w:rPr>
              <w:t> </w:t>
            </w:r>
            <w:r>
              <w:rPr>
                <w:sz w:val="22"/>
              </w:rPr>
              <w:t>Maternal</w:t>
            </w:r>
            <w:r>
              <w:rPr>
                <w:spacing w:val="-7"/>
                <w:sz w:val="22"/>
              </w:rPr>
              <w:t> </w:t>
            </w:r>
            <w:r>
              <w:rPr>
                <w:spacing w:val="-2"/>
                <w:sz w:val="22"/>
              </w:rPr>
              <w:t>Mortality</w:t>
            </w:r>
          </w:p>
        </w:tc>
        <w:tc>
          <w:tcPr>
            <w:tcW w:w="2340" w:type="dxa"/>
            <w:vMerge/>
            <w:tcBorders>
              <w:top w:val="nil"/>
            </w:tcBorders>
          </w:tcPr>
          <w:p>
            <w:pPr>
              <w:rPr>
                <w:sz w:val="2"/>
                <w:szCs w:val="2"/>
              </w:rPr>
            </w:pPr>
          </w:p>
        </w:tc>
      </w:tr>
      <w:tr>
        <w:trPr>
          <w:trHeight w:val="537" w:hRule="atLeast"/>
        </w:trPr>
        <w:tc>
          <w:tcPr>
            <w:tcW w:w="2875" w:type="dxa"/>
            <w:vMerge/>
            <w:tcBorders>
              <w:top w:val="nil"/>
            </w:tcBorders>
          </w:tcPr>
          <w:p>
            <w:pPr>
              <w:rPr>
                <w:sz w:val="2"/>
                <w:szCs w:val="2"/>
              </w:rPr>
            </w:pPr>
          </w:p>
        </w:tc>
        <w:tc>
          <w:tcPr>
            <w:tcW w:w="4680" w:type="dxa"/>
          </w:tcPr>
          <w:p>
            <w:pPr>
              <w:pStyle w:val="TableParagraph"/>
              <w:rPr>
                <w:b/>
                <w:sz w:val="22"/>
              </w:rPr>
            </w:pPr>
            <w:r>
              <w:rPr>
                <w:b/>
                <w:sz w:val="22"/>
              </w:rPr>
              <w:t>Prevenfive</w:t>
            </w:r>
            <w:r>
              <w:rPr>
                <w:b/>
                <w:spacing w:val="-7"/>
                <w:sz w:val="22"/>
              </w:rPr>
              <w:t> </w:t>
            </w:r>
            <w:r>
              <w:rPr>
                <w:b/>
                <w:sz w:val="22"/>
              </w:rPr>
              <w:t>Services</w:t>
            </w:r>
            <w:r>
              <w:rPr>
                <w:b/>
                <w:spacing w:val="-7"/>
                <w:sz w:val="22"/>
              </w:rPr>
              <w:t> </w:t>
            </w:r>
            <w:r>
              <w:rPr>
                <w:b/>
                <w:sz w:val="22"/>
              </w:rPr>
              <w:t>for</w:t>
            </w:r>
            <w:r>
              <w:rPr>
                <w:b/>
                <w:spacing w:val="-7"/>
                <w:sz w:val="22"/>
              </w:rPr>
              <w:t> </w:t>
            </w:r>
            <w:r>
              <w:rPr>
                <w:b/>
                <w:sz w:val="22"/>
              </w:rPr>
              <w:t>Chronic</w:t>
            </w:r>
            <w:r>
              <w:rPr>
                <w:b/>
                <w:spacing w:val="-6"/>
                <w:sz w:val="22"/>
              </w:rPr>
              <w:t> </w:t>
            </w:r>
            <w:r>
              <w:rPr>
                <w:b/>
                <w:spacing w:val="-2"/>
                <w:sz w:val="22"/>
              </w:rPr>
              <w:t>Disease</w:t>
            </w:r>
          </w:p>
          <w:p>
            <w:pPr>
              <w:pStyle w:val="TableParagraph"/>
              <w:spacing w:line="249" w:lineRule="exact"/>
              <w:rPr>
                <w:b/>
                <w:sz w:val="22"/>
              </w:rPr>
            </w:pPr>
            <w:r>
              <w:rPr>
                <w:b/>
                <w:sz w:val="22"/>
              </w:rPr>
              <w:t>Prevenfion</w:t>
            </w:r>
            <w:r>
              <w:rPr>
                <w:b/>
                <w:spacing w:val="-6"/>
                <w:sz w:val="22"/>
              </w:rPr>
              <w:t> </w:t>
            </w:r>
            <w:r>
              <w:rPr>
                <w:b/>
                <w:sz w:val="22"/>
              </w:rPr>
              <w:t>and</w:t>
            </w:r>
            <w:r>
              <w:rPr>
                <w:b/>
                <w:spacing w:val="-5"/>
                <w:sz w:val="22"/>
              </w:rPr>
              <w:t> </w:t>
            </w:r>
            <w:r>
              <w:rPr>
                <w:b/>
                <w:spacing w:val="-2"/>
                <w:sz w:val="22"/>
              </w:rPr>
              <w:t>Control</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8" w:lineRule="exact"/>
              <w:rPr>
                <w:sz w:val="22"/>
              </w:rPr>
            </w:pPr>
            <w:r>
              <w:rPr>
                <w:sz w:val="22"/>
              </w:rPr>
              <w:t>Oral</w:t>
            </w:r>
            <w:r>
              <w:rPr>
                <w:spacing w:val="-7"/>
                <w:sz w:val="22"/>
              </w:rPr>
              <w:t> </w:t>
            </w:r>
            <w:r>
              <w:rPr>
                <w:sz w:val="22"/>
              </w:rPr>
              <w:t>Health</w:t>
            </w:r>
            <w:r>
              <w:rPr>
                <w:spacing w:val="-5"/>
                <w:sz w:val="22"/>
              </w:rPr>
              <w:t> </w:t>
            </w:r>
            <w:r>
              <w:rPr>
                <w:spacing w:val="-4"/>
                <w:sz w:val="22"/>
              </w:rPr>
              <w:t>Care</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9" w:lineRule="exact"/>
              <w:rPr>
                <w:sz w:val="22"/>
              </w:rPr>
            </w:pPr>
            <w:r>
              <w:rPr>
                <w:sz w:val="22"/>
              </w:rPr>
              <w:t>Prevenfive</w:t>
            </w:r>
            <w:r>
              <w:rPr>
                <w:spacing w:val="-10"/>
                <w:sz w:val="22"/>
              </w:rPr>
              <w:t> </w:t>
            </w:r>
            <w:r>
              <w:rPr>
                <w:spacing w:val="-2"/>
                <w:sz w:val="22"/>
              </w:rPr>
              <w:t>Services</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8" w:lineRule="exact"/>
              <w:rPr>
                <w:sz w:val="22"/>
              </w:rPr>
            </w:pPr>
            <w:r>
              <w:rPr>
                <w:sz w:val="22"/>
              </w:rPr>
              <w:t>Early</w:t>
            </w:r>
            <w:r>
              <w:rPr>
                <w:spacing w:val="-7"/>
                <w:sz w:val="22"/>
              </w:rPr>
              <w:t> </w:t>
            </w:r>
            <w:r>
              <w:rPr>
                <w:spacing w:val="-2"/>
                <w:sz w:val="22"/>
              </w:rPr>
              <w:t>Intervenfion</w:t>
            </w:r>
          </w:p>
        </w:tc>
        <w:tc>
          <w:tcPr>
            <w:tcW w:w="2340" w:type="dxa"/>
            <w:vMerge/>
            <w:tcBorders>
              <w:top w:val="nil"/>
            </w:tcBorders>
          </w:tcPr>
          <w:p>
            <w:pPr>
              <w:rPr>
                <w:sz w:val="2"/>
                <w:szCs w:val="2"/>
              </w:rPr>
            </w:pPr>
          </w:p>
        </w:tc>
      </w:tr>
      <w:tr>
        <w:trPr>
          <w:trHeight w:val="268" w:hRule="atLeast"/>
        </w:trPr>
        <w:tc>
          <w:tcPr>
            <w:tcW w:w="2875" w:type="dxa"/>
            <w:vMerge/>
            <w:tcBorders>
              <w:top w:val="nil"/>
            </w:tcBorders>
          </w:tcPr>
          <w:p>
            <w:pPr>
              <w:rPr>
                <w:sz w:val="2"/>
                <w:szCs w:val="2"/>
              </w:rPr>
            </w:pPr>
          </w:p>
        </w:tc>
        <w:tc>
          <w:tcPr>
            <w:tcW w:w="4680" w:type="dxa"/>
          </w:tcPr>
          <w:p>
            <w:pPr>
              <w:pStyle w:val="TableParagraph"/>
              <w:spacing w:line="249" w:lineRule="exact"/>
              <w:rPr>
                <w:sz w:val="22"/>
              </w:rPr>
            </w:pPr>
            <w:r>
              <w:rPr>
                <w:sz w:val="22"/>
              </w:rPr>
              <w:t>Childhood</w:t>
            </w:r>
            <w:r>
              <w:rPr>
                <w:spacing w:val="-10"/>
                <w:sz w:val="22"/>
              </w:rPr>
              <w:t> </w:t>
            </w:r>
            <w:r>
              <w:rPr>
                <w:sz w:val="22"/>
              </w:rPr>
              <w:t>Behavioral</w:t>
            </w:r>
            <w:r>
              <w:rPr>
                <w:spacing w:val="-9"/>
                <w:sz w:val="22"/>
              </w:rPr>
              <w:t> </w:t>
            </w:r>
            <w:r>
              <w:rPr>
                <w:spacing w:val="-2"/>
                <w:sz w:val="22"/>
              </w:rPr>
              <w:t>Health</w:t>
            </w:r>
          </w:p>
        </w:tc>
        <w:tc>
          <w:tcPr>
            <w:tcW w:w="2340" w:type="dxa"/>
            <w:vMerge/>
            <w:tcBorders>
              <w:top w:val="nil"/>
            </w:tcBorders>
          </w:tcPr>
          <w:p>
            <w:pPr>
              <w:rPr>
                <w:sz w:val="2"/>
                <w:szCs w:val="2"/>
              </w:rPr>
            </w:pPr>
          </w:p>
        </w:tc>
      </w:tr>
      <w:tr>
        <w:trPr>
          <w:trHeight w:val="268" w:hRule="atLeast"/>
        </w:trPr>
        <w:tc>
          <w:tcPr>
            <w:tcW w:w="2875" w:type="dxa"/>
            <w:vMerge w:val="restart"/>
          </w:tcPr>
          <w:p>
            <w:pPr>
              <w:pStyle w:val="TableParagraph"/>
              <w:tabs>
                <w:tab w:pos="467" w:val="left" w:leader="none"/>
              </w:tabs>
              <w:spacing w:line="267" w:lineRule="exact"/>
              <w:rPr>
                <w:b/>
                <w:sz w:val="22"/>
              </w:rPr>
            </w:pPr>
            <w:r>
              <w:rPr>
                <w:b/>
                <w:spacing w:val="-5"/>
                <w:sz w:val="20"/>
              </w:rPr>
              <w:t>5.</w:t>
            </w:r>
            <w:r>
              <w:rPr>
                <w:b/>
                <w:sz w:val="20"/>
              </w:rPr>
              <w:tab/>
            </w:r>
            <w:r>
              <w:rPr>
                <w:b/>
                <w:sz w:val="22"/>
              </w:rPr>
              <w:t>Educafion</w:t>
            </w:r>
            <w:r>
              <w:rPr>
                <w:b/>
                <w:spacing w:val="-6"/>
                <w:sz w:val="22"/>
              </w:rPr>
              <w:t> </w:t>
            </w:r>
            <w:r>
              <w:rPr>
                <w:b/>
                <w:sz w:val="22"/>
              </w:rPr>
              <w:t>Access</w:t>
            </w:r>
            <w:r>
              <w:rPr>
                <w:b/>
                <w:spacing w:val="-5"/>
                <w:sz w:val="22"/>
              </w:rPr>
              <w:t> and</w:t>
            </w:r>
          </w:p>
          <w:p>
            <w:pPr>
              <w:pStyle w:val="TableParagraph"/>
              <w:spacing w:line="240" w:lineRule="auto"/>
              <w:ind w:left="467"/>
              <w:rPr>
                <w:b/>
                <w:sz w:val="22"/>
              </w:rPr>
            </w:pPr>
            <w:r>
              <w:rPr>
                <w:b/>
                <w:spacing w:val="-2"/>
                <w:sz w:val="22"/>
              </w:rPr>
              <w:t>Quality</w:t>
            </w:r>
          </w:p>
        </w:tc>
        <w:tc>
          <w:tcPr>
            <w:tcW w:w="4680" w:type="dxa"/>
          </w:tcPr>
          <w:p>
            <w:pPr>
              <w:pStyle w:val="TableParagraph"/>
              <w:spacing w:line="248" w:lineRule="exact"/>
              <w:rPr>
                <w:sz w:val="22"/>
              </w:rPr>
            </w:pPr>
            <w:r>
              <w:rPr>
                <w:sz w:val="22"/>
              </w:rPr>
              <w:t>Health</w:t>
            </w:r>
            <w:r>
              <w:rPr>
                <w:spacing w:val="-6"/>
                <w:sz w:val="22"/>
              </w:rPr>
              <w:t> </w:t>
            </w:r>
            <w:r>
              <w:rPr>
                <w:sz w:val="22"/>
              </w:rPr>
              <w:t>and</w:t>
            </w:r>
            <w:r>
              <w:rPr>
                <w:spacing w:val="-8"/>
                <w:sz w:val="22"/>
              </w:rPr>
              <w:t> </w:t>
            </w:r>
            <w:r>
              <w:rPr>
                <w:sz w:val="22"/>
              </w:rPr>
              <w:t>Wellness</w:t>
            </w:r>
            <w:r>
              <w:rPr>
                <w:spacing w:val="-7"/>
                <w:sz w:val="22"/>
              </w:rPr>
              <w:t> </w:t>
            </w:r>
            <w:r>
              <w:rPr>
                <w:sz w:val="22"/>
              </w:rPr>
              <w:t>Promofing</w:t>
            </w:r>
            <w:r>
              <w:rPr>
                <w:spacing w:val="-5"/>
                <w:sz w:val="22"/>
              </w:rPr>
              <w:t> </w:t>
            </w:r>
            <w:r>
              <w:rPr>
                <w:spacing w:val="-2"/>
                <w:sz w:val="22"/>
              </w:rPr>
              <w:t>Schools</w:t>
            </w:r>
          </w:p>
        </w:tc>
        <w:tc>
          <w:tcPr>
            <w:tcW w:w="2340" w:type="dxa"/>
            <w:vMerge w:val="restart"/>
          </w:tcPr>
          <w:p>
            <w:pPr>
              <w:pStyle w:val="TableParagraph"/>
              <w:spacing w:line="267" w:lineRule="exact"/>
              <w:rPr>
                <w:sz w:val="22"/>
              </w:rPr>
            </w:pPr>
            <w:r>
              <w:rPr>
                <w:sz w:val="22"/>
              </w:rPr>
              <w:t>60%</w:t>
            </w:r>
            <w:r>
              <w:rPr>
                <w:spacing w:val="-2"/>
                <w:sz w:val="22"/>
              </w:rPr>
              <w:t> </w:t>
            </w:r>
            <w:r>
              <w:rPr>
                <w:sz w:val="22"/>
              </w:rPr>
              <w:t>very</w:t>
            </w:r>
            <w:r>
              <w:rPr>
                <w:spacing w:val="-3"/>
                <w:sz w:val="22"/>
              </w:rPr>
              <w:t> </w:t>
            </w:r>
            <w:r>
              <w:rPr>
                <w:spacing w:val="-2"/>
                <w:sz w:val="22"/>
              </w:rPr>
              <w:t>important</w:t>
            </w:r>
          </w:p>
          <w:p>
            <w:pPr>
              <w:pStyle w:val="TableParagraph"/>
              <w:spacing w:line="240" w:lineRule="auto"/>
              <w:rPr>
                <w:sz w:val="22"/>
              </w:rPr>
            </w:pPr>
            <w:r>
              <w:rPr>
                <w:sz w:val="22"/>
              </w:rPr>
              <w:t>30%</w:t>
            </w:r>
            <w:r>
              <w:rPr>
                <w:spacing w:val="-1"/>
                <w:sz w:val="22"/>
              </w:rPr>
              <w:t> </w:t>
            </w:r>
            <w:r>
              <w:rPr>
                <w:spacing w:val="-2"/>
                <w:sz w:val="22"/>
              </w:rPr>
              <w:t>important</w:t>
            </w:r>
          </w:p>
          <w:p>
            <w:pPr>
              <w:pStyle w:val="TableParagraph"/>
              <w:spacing w:line="249" w:lineRule="exact"/>
              <w:rPr>
                <w:sz w:val="22"/>
              </w:rPr>
            </w:pPr>
            <w:r>
              <w:rPr>
                <w:sz w:val="22"/>
              </w:rPr>
              <w:t>10%</w:t>
            </w:r>
            <w:r>
              <w:rPr>
                <w:spacing w:val="-1"/>
                <w:sz w:val="22"/>
              </w:rPr>
              <w:t> </w:t>
            </w:r>
            <w:r>
              <w:rPr>
                <w:spacing w:val="-2"/>
                <w:sz w:val="22"/>
              </w:rPr>
              <w:t>unsure</w:t>
            </w:r>
          </w:p>
        </w:tc>
      </w:tr>
      <w:tr>
        <w:trPr>
          <w:trHeight w:val="527" w:hRule="atLeast"/>
        </w:trPr>
        <w:tc>
          <w:tcPr>
            <w:tcW w:w="2875" w:type="dxa"/>
            <w:vMerge/>
            <w:tcBorders>
              <w:top w:val="nil"/>
            </w:tcBorders>
          </w:tcPr>
          <w:p>
            <w:pPr>
              <w:rPr>
                <w:sz w:val="2"/>
                <w:szCs w:val="2"/>
              </w:rPr>
            </w:pPr>
          </w:p>
        </w:tc>
        <w:tc>
          <w:tcPr>
            <w:tcW w:w="4680" w:type="dxa"/>
          </w:tcPr>
          <w:p>
            <w:pPr>
              <w:pStyle w:val="TableParagraph"/>
              <w:rPr>
                <w:sz w:val="22"/>
              </w:rPr>
            </w:pPr>
            <w:r>
              <w:rPr>
                <w:sz w:val="22"/>
              </w:rPr>
              <w:t>Opportunifies</w:t>
            </w:r>
            <w:r>
              <w:rPr>
                <w:spacing w:val="-5"/>
                <w:sz w:val="22"/>
              </w:rPr>
              <w:t> </w:t>
            </w:r>
            <w:r>
              <w:rPr>
                <w:sz w:val="22"/>
              </w:rPr>
              <w:t>for</w:t>
            </w:r>
            <w:r>
              <w:rPr>
                <w:spacing w:val="-5"/>
                <w:sz w:val="22"/>
              </w:rPr>
              <w:t> </w:t>
            </w:r>
            <w:r>
              <w:rPr>
                <w:sz w:val="22"/>
              </w:rPr>
              <w:t>Confinued</w:t>
            </w:r>
            <w:r>
              <w:rPr>
                <w:spacing w:val="-6"/>
                <w:sz w:val="22"/>
              </w:rPr>
              <w:t> </w:t>
            </w:r>
            <w:r>
              <w:rPr>
                <w:spacing w:val="-2"/>
                <w:sz w:val="22"/>
              </w:rPr>
              <w:t>Educafion</w:t>
            </w:r>
          </w:p>
        </w:tc>
        <w:tc>
          <w:tcPr>
            <w:tcW w:w="2340" w:type="dxa"/>
            <w:vMerge/>
            <w:tcBorders>
              <w:top w:val="nil"/>
            </w:tcBorders>
          </w:tcPr>
          <w:p>
            <w:pPr>
              <w:rPr>
                <w:sz w:val="2"/>
                <w:szCs w:val="2"/>
              </w:rPr>
            </w:pPr>
          </w:p>
        </w:tc>
      </w:tr>
    </w:tbl>
    <w:p>
      <w:pPr>
        <w:spacing w:after="0"/>
        <w:rPr>
          <w:sz w:val="2"/>
          <w:szCs w:val="2"/>
        </w:rPr>
        <w:sectPr>
          <w:pgSz w:w="12240" w:h="15840"/>
          <w:pgMar w:header="161" w:footer="1223" w:top="1360" w:bottom="1420" w:left="0" w:right="0"/>
        </w:sectPr>
      </w:pPr>
    </w:p>
    <w:p>
      <w:pPr>
        <w:pStyle w:val="Heading2"/>
        <w:rPr>
          <w:i/>
        </w:rPr>
      </w:pPr>
      <w:r>
        <w:rPr>
          <w:i/>
        </w:rPr>
        <w:t>Domain:</w:t>
      </w:r>
      <w:r>
        <w:rPr>
          <w:i/>
          <w:spacing w:val="-10"/>
        </w:rPr>
        <w:t> </w:t>
      </w:r>
      <w:r>
        <w:rPr>
          <w:i/>
        </w:rPr>
        <w:t>Economic</w:t>
      </w:r>
      <w:r>
        <w:rPr>
          <w:i/>
          <w:spacing w:val="-9"/>
        </w:rPr>
        <w:t> </w:t>
      </w:r>
      <w:r>
        <w:rPr>
          <w:i/>
          <w:spacing w:val="-2"/>
        </w:rPr>
        <w:t>Stability</w:t>
      </w:r>
    </w:p>
    <w:p>
      <w:pPr>
        <w:pStyle w:val="BodyText"/>
        <w:spacing w:line="259" w:lineRule="auto" w:before="186"/>
        <w:ind w:right="1467"/>
      </w:pPr>
      <w:r>
        <w:rPr/>
        <w:t>Economic</w:t>
      </w:r>
      <w:r>
        <w:rPr>
          <w:spacing w:val="-6"/>
        </w:rPr>
        <w:t> </w:t>
      </w:r>
      <w:r>
        <w:rPr/>
        <w:t>stability</w:t>
      </w:r>
      <w:r>
        <w:rPr>
          <w:spacing w:val="-5"/>
        </w:rPr>
        <w:t> </w:t>
      </w:r>
      <w:r>
        <w:rPr/>
        <w:t>is</w:t>
      </w:r>
      <w:r>
        <w:rPr>
          <w:spacing w:val="-7"/>
        </w:rPr>
        <w:t> </w:t>
      </w:r>
      <w:r>
        <w:rPr/>
        <w:t>inﬂuenced</w:t>
      </w:r>
      <w:r>
        <w:rPr>
          <w:spacing w:val="-6"/>
        </w:rPr>
        <w:t> </w:t>
      </w:r>
      <w:r>
        <w:rPr/>
        <w:t>by</w:t>
      </w:r>
      <w:r>
        <w:rPr>
          <w:spacing w:val="-7"/>
        </w:rPr>
        <w:t> </w:t>
      </w:r>
      <w:r>
        <w:rPr/>
        <w:t>each</w:t>
      </w:r>
      <w:r>
        <w:rPr>
          <w:spacing w:val="-8"/>
        </w:rPr>
        <w:t> </w:t>
      </w:r>
      <w:r>
        <w:rPr/>
        <w:t>of</w:t>
      </w:r>
      <w:r>
        <w:rPr>
          <w:spacing w:val="-7"/>
        </w:rPr>
        <w:t> </w:t>
      </w:r>
      <w:r>
        <w:rPr/>
        <w:t>the</w:t>
      </w:r>
      <w:r>
        <w:rPr>
          <w:spacing w:val="-5"/>
        </w:rPr>
        <w:t> </w:t>
      </w:r>
      <w:r>
        <w:rPr/>
        <w:t>priorifies</w:t>
      </w:r>
      <w:r>
        <w:rPr>
          <w:spacing w:val="-6"/>
        </w:rPr>
        <w:t> </w:t>
      </w:r>
      <w:r>
        <w:rPr/>
        <w:t>listed</w:t>
      </w:r>
      <w:r>
        <w:rPr>
          <w:spacing w:val="-7"/>
        </w:rPr>
        <w:t> </w:t>
      </w:r>
      <w:r>
        <w:rPr/>
        <w:t>above:</w:t>
      </w:r>
      <w:r>
        <w:rPr>
          <w:spacing w:val="-5"/>
        </w:rPr>
        <w:t> </w:t>
      </w:r>
      <w:r>
        <w:rPr/>
        <w:t>poverty,</w:t>
      </w:r>
      <w:r>
        <w:rPr>
          <w:spacing w:val="-5"/>
        </w:rPr>
        <w:t> </w:t>
      </w:r>
      <w:r>
        <w:rPr/>
        <w:t>unemployment,</w:t>
      </w:r>
      <w:r>
        <w:rPr>
          <w:spacing w:val="-5"/>
        </w:rPr>
        <w:t> </w:t>
      </w:r>
      <w:r>
        <w:rPr/>
        <w:t>nutrifion security, and housing stability and aﬀordability. Socioeconomic disparifies are closely linked to poor health, aﬀecfing physical, mental, and educafional outcomes. Children and older adults are especially vulnerable to these adverse eﬀects.</w:t>
      </w:r>
    </w:p>
    <w:p>
      <w:pPr>
        <w:pStyle w:val="BodyText"/>
        <w:spacing w:before="160"/>
      </w:pPr>
      <w:r>
        <w:rPr/>
        <w:t>Unemployment</w:t>
      </w:r>
      <w:r>
        <w:rPr>
          <w:spacing w:val="-8"/>
        </w:rPr>
        <w:t> </w:t>
      </w:r>
      <w:r>
        <w:rPr/>
        <w:t>and</w:t>
      </w:r>
      <w:r>
        <w:rPr>
          <w:spacing w:val="-9"/>
        </w:rPr>
        <w:t> </w:t>
      </w:r>
      <w:r>
        <w:rPr/>
        <w:t>underemployment</w:t>
      </w:r>
      <w:r>
        <w:rPr>
          <w:spacing w:val="-6"/>
        </w:rPr>
        <w:t> </w:t>
      </w:r>
      <w:r>
        <w:rPr/>
        <w:t>contribute</w:t>
      </w:r>
      <w:r>
        <w:rPr>
          <w:spacing w:val="-7"/>
        </w:rPr>
        <w:t> </w:t>
      </w:r>
      <w:r>
        <w:rPr/>
        <w:t>to</w:t>
      </w:r>
      <w:r>
        <w:rPr>
          <w:spacing w:val="-9"/>
        </w:rPr>
        <w:t> </w:t>
      </w:r>
      <w:r>
        <w:rPr/>
        <w:t>major</w:t>
      </w:r>
      <w:r>
        <w:rPr>
          <w:spacing w:val="-7"/>
        </w:rPr>
        <w:t> </w:t>
      </w:r>
      <w:r>
        <w:rPr/>
        <w:t>health</w:t>
      </w:r>
      <w:r>
        <w:rPr>
          <w:spacing w:val="-11"/>
        </w:rPr>
        <w:t> </w:t>
      </w:r>
      <w:r>
        <w:rPr/>
        <w:t>inequifies.</w:t>
      </w:r>
      <w:r>
        <w:rPr>
          <w:spacing w:val="-7"/>
        </w:rPr>
        <w:t> </w:t>
      </w:r>
      <w:r>
        <w:rPr/>
        <w:t>Unemployed</w:t>
      </w:r>
      <w:r>
        <w:rPr>
          <w:spacing w:val="-9"/>
        </w:rPr>
        <w:t> </w:t>
      </w:r>
      <w:r>
        <w:rPr>
          <w:spacing w:val="-2"/>
        </w:rPr>
        <w:t>individuals</w:t>
      </w:r>
    </w:p>
    <w:p>
      <w:pPr>
        <w:pStyle w:val="BodyText"/>
        <w:spacing w:line="259" w:lineRule="auto" w:before="22"/>
        <w:ind w:right="1467"/>
      </w:pPr>
      <w:r>
        <w:rPr/>
        <w:t>face greater barriers to health care and experience worsening health as unemployment persists. Employment</w:t>
      </w:r>
      <w:r>
        <w:rPr>
          <w:spacing w:val="-6"/>
        </w:rPr>
        <w:t> </w:t>
      </w:r>
      <w:r>
        <w:rPr/>
        <w:t>challenges</w:t>
      </w:r>
      <w:r>
        <w:rPr>
          <w:spacing w:val="-8"/>
        </w:rPr>
        <w:t> </w:t>
      </w:r>
      <w:r>
        <w:rPr/>
        <w:t>stem</w:t>
      </w:r>
      <w:r>
        <w:rPr>
          <w:spacing w:val="-4"/>
        </w:rPr>
        <w:t> </w:t>
      </w:r>
      <w:r>
        <w:rPr/>
        <w:t>from</w:t>
      </w:r>
      <w:r>
        <w:rPr>
          <w:spacing w:val="-4"/>
        </w:rPr>
        <w:t> </w:t>
      </w:r>
      <w:r>
        <w:rPr/>
        <w:t>shifts</w:t>
      </w:r>
      <w:r>
        <w:rPr>
          <w:spacing w:val="-6"/>
        </w:rPr>
        <w:t> </w:t>
      </w:r>
      <w:r>
        <w:rPr/>
        <w:t>in</w:t>
      </w:r>
      <w:r>
        <w:rPr>
          <w:spacing w:val="-9"/>
        </w:rPr>
        <w:t> </w:t>
      </w:r>
      <w:r>
        <w:rPr/>
        <w:t>the</w:t>
      </w:r>
      <w:r>
        <w:rPr>
          <w:spacing w:val="-5"/>
        </w:rPr>
        <w:t> </w:t>
      </w:r>
      <w:r>
        <w:rPr/>
        <w:t>labor</w:t>
      </w:r>
      <w:r>
        <w:rPr>
          <w:spacing w:val="-9"/>
        </w:rPr>
        <w:t> </w:t>
      </w:r>
      <w:r>
        <w:rPr/>
        <w:t>market,</w:t>
      </w:r>
      <w:r>
        <w:rPr>
          <w:spacing w:val="-8"/>
        </w:rPr>
        <w:t> </w:t>
      </w:r>
      <w:r>
        <w:rPr/>
        <w:t>wage</w:t>
      </w:r>
      <w:r>
        <w:rPr>
          <w:spacing w:val="-8"/>
        </w:rPr>
        <w:t> </w:t>
      </w:r>
      <w:r>
        <w:rPr/>
        <w:t>stagnafion,</w:t>
      </w:r>
      <w:r>
        <w:rPr>
          <w:spacing w:val="-8"/>
        </w:rPr>
        <w:t> </w:t>
      </w:r>
      <w:r>
        <w:rPr/>
        <w:t>and</w:t>
      </w:r>
      <w:r>
        <w:rPr>
          <w:spacing w:val="-6"/>
        </w:rPr>
        <w:t> </w:t>
      </w:r>
      <w:r>
        <w:rPr/>
        <w:t>weakening</w:t>
      </w:r>
      <w:r>
        <w:rPr>
          <w:spacing w:val="-6"/>
        </w:rPr>
        <w:t> </w:t>
      </w:r>
      <w:r>
        <w:rPr/>
        <w:t>labor </w:t>
      </w:r>
      <w:r>
        <w:rPr>
          <w:spacing w:val="-2"/>
        </w:rPr>
        <w:t>protecfions.</w:t>
      </w:r>
    </w:p>
    <w:p>
      <w:pPr>
        <w:pStyle w:val="BodyText"/>
        <w:spacing w:line="259" w:lineRule="auto" w:before="159"/>
        <w:ind w:right="1436"/>
      </w:pPr>
      <w:r>
        <w:rPr/>
        <w:t>Food</w:t>
      </w:r>
      <w:r>
        <w:rPr>
          <w:spacing w:val="-7"/>
        </w:rPr>
        <w:t> </w:t>
      </w:r>
      <w:r>
        <w:rPr/>
        <w:t>insecurity</w:t>
      </w:r>
      <w:r>
        <w:rPr>
          <w:spacing w:val="-4"/>
        </w:rPr>
        <w:t> </w:t>
      </w:r>
      <w:r>
        <w:rPr/>
        <w:t>disproporfionately</w:t>
      </w:r>
      <w:r>
        <w:rPr>
          <w:spacing w:val="-4"/>
        </w:rPr>
        <w:t> </w:t>
      </w:r>
      <w:r>
        <w:rPr/>
        <w:t>aﬀects</w:t>
      </w:r>
      <w:r>
        <w:rPr>
          <w:spacing w:val="-6"/>
        </w:rPr>
        <w:t> </w:t>
      </w:r>
      <w:r>
        <w:rPr/>
        <w:t>low-income</w:t>
      </w:r>
      <w:r>
        <w:rPr>
          <w:spacing w:val="-8"/>
        </w:rPr>
        <w:t> </w:t>
      </w:r>
      <w:r>
        <w:rPr/>
        <w:t>households,</w:t>
      </w:r>
      <w:r>
        <w:rPr>
          <w:spacing w:val="-6"/>
        </w:rPr>
        <w:t> </w:t>
      </w:r>
      <w:r>
        <w:rPr/>
        <w:t>people</w:t>
      </w:r>
      <w:r>
        <w:rPr>
          <w:spacing w:val="-4"/>
        </w:rPr>
        <w:t> </w:t>
      </w:r>
      <w:r>
        <w:rPr/>
        <w:t>with</w:t>
      </w:r>
      <w:r>
        <w:rPr>
          <w:spacing w:val="-4"/>
        </w:rPr>
        <w:t> </w:t>
      </w:r>
      <w:r>
        <w:rPr/>
        <w:t>less</w:t>
      </w:r>
      <w:r>
        <w:rPr>
          <w:spacing w:val="-4"/>
        </w:rPr>
        <w:t> </w:t>
      </w:r>
      <w:r>
        <w:rPr/>
        <w:t>educafion,</w:t>
      </w:r>
      <w:r>
        <w:rPr>
          <w:spacing w:val="-4"/>
        </w:rPr>
        <w:t> </w:t>
      </w:r>
      <w:r>
        <w:rPr/>
        <w:t>and</w:t>
      </w:r>
      <w:r>
        <w:rPr>
          <w:spacing w:val="-7"/>
        </w:rPr>
        <w:t> </w:t>
      </w:r>
      <w:r>
        <w:rPr/>
        <w:t>those who are unemployed. Access to aﬀordable, nutrifious food is vital for prevenfing chronic disease and supporfing</w:t>
      </w:r>
      <w:r>
        <w:rPr>
          <w:spacing w:val="-1"/>
        </w:rPr>
        <w:t> </w:t>
      </w:r>
      <w:r>
        <w:rPr/>
        <w:t>healthy development.</w:t>
      </w:r>
      <w:r>
        <w:rPr>
          <w:spacing w:val="-4"/>
        </w:rPr>
        <w:t> </w:t>
      </w:r>
      <w:r>
        <w:rPr/>
        <w:t>Many communifies,</w:t>
      </w:r>
      <w:r>
        <w:rPr>
          <w:spacing w:val="-3"/>
        </w:rPr>
        <w:t> </w:t>
      </w:r>
      <w:r>
        <w:rPr/>
        <w:t>especially</w:t>
      </w:r>
      <w:r>
        <w:rPr>
          <w:spacing w:val="-2"/>
        </w:rPr>
        <w:t> </w:t>
      </w:r>
      <w:r>
        <w:rPr/>
        <w:t>rural</w:t>
      </w:r>
      <w:r>
        <w:rPr>
          <w:spacing w:val="-1"/>
        </w:rPr>
        <w:t> </w:t>
      </w:r>
      <w:r>
        <w:rPr/>
        <w:t>and</w:t>
      </w:r>
      <w:r>
        <w:rPr>
          <w:spacing w:val="-1"/>
        </w:rPr>
        <w:t> </w:t>
      </w:r>
      <w:r>
        <w:rPr/>
        <w:t>low-income communifies,</w:t>
      </w:r>
      <w:r>
        <w:rPr>
          <w:spacing w:val="-3"/>
        </w:rPr>
        <w:t> </w:t>
      </w:r>
      <w:r>
        <w:rPr/>
        <w:t>lack full-service grocery stores and rely on costly convenience outlets with limited healthy opfions.</w:t>
      </w:r>
    </w:p>
    <w:p>
      <w:pPr>
        <w:pStyle w:val="BodyText"/>
        <w:spacing w:line="259" w:lineRule="auto" w:before="157"/>
        <w:ind w:right="1940"/>
        <w:jc w:val="both"/>
      </w:pPr>
      <w:r>
        <w:rPr/>
        <w:t>Housing</w:t>
      </w:r>
      <w:r>
        <w:rPr>
          <w:spacing w:val="-7"/>
        </w:rPr>
        <w:t> </w:t>
      </w:r>
      <w:r>
        <w:rPr/>
        <w:t>insecurity</w:t>
      </w:r>
      <w:r>
        <w:rPr>
          <w:spacing w:val="-6"/>
        </w:rPr>
        <w:t> </w:t>
      </w:r>
      <w:r>
        <w:rPr/>
        <w:t>further</w:t>
      </w:r>
      <w:r>
        <w:rPr>
          <w:spacing w:val="-11"/>
        </w:rPr>
        <w:t> </w:t>
      </w:r>
      <w:r>
        <w:rPr/>
        <w:t>undermines</w:t>
      </w:r>
      <w:r>
        <w:rPr>
          <w:spacing w:val="-7"/>
        </w:rPr>
        <w:t> </w:t>
      </w:r>
      <w:r>
        <w:rPr/>
        <w:t>health</w:t>
      </w:r>
      <w:r>
        <w:rPr>
          <w:spacing w:val="-8"/>
        </w:rPr>
        <w:t> </w:t>
      </w:r>
      <w:r>
        <w:rPr/>
        <w:t>by</w:t>
      </w:r>
      <w:r>
        <w:rPr>
          <w:spacing w:val="-6"/>
        </w:rPr>
        <w:t> </w:t>
      </w:r>
      <w:r>
        <w:rPr/>
        <w:t>increasing</w:t>
      </w:r>
      <w:r>
        <w:rPr>
          <w:spacing w:val="-7"/>
        </w:rPr>
        <w:t> </w:t>
      </w:r>
      <w:r>
        <w:rPr/>
        <w:t>stress,</w:t>
      </w:r>
      <w:r>
        <w:rPr>
          <w:spacing w:val="-7"/>
        </w:rPr>
        <w:t> </w:t>
      </w:r>
      <w:r>
        <w:rPr/>
        <w:t>reducing</w:t>
      </w:r>
      <w:r>
        <w:rPr>
          <w:spacing w:val="-7"/>
        </w:rPr>
        <w:t> </w:t>
      </w:r>
      <w:r>
        <w:rPr/>
        <w:t>stability,</w:t>
      </w:r>
      <w:r>
        <w:rPr>
          <w:spacing w:val="-6"/>
        </w:rPr>
        <w:t> </w:t>
      </w:r>
      <w:r>
        <w:rPr/>
        <w:t>and</w:t>
      </w:r>
      <w:r>
        <w:rPr>
          <w:spacing w:val="-7"/>
        </w:rPr>
        <w:t> </w:t>
      </w:r>
      <w:r>
        <w:rPr/>
        <w:t>increasing exposure</w:t>
      </w:r>
      <w:r>
        <w:rPr>
          <w:spacing w:val="-3"/>
        </w:rPr>
        <w:t> </w:t>
      </w:r>
      <w:r>
        <w:rPr/>
        <w:t>to</w:t>
      </w:r>
      <w:r>
        <w:rPr>
          <w:spacing w:val="-3"/>
        </w:rPr>
        <w:t> </w:t>
      </w:r>
      <w:r>
        <w:rPr/>
        <w:t>unsafe</w:t>
      </w:r>
      <w:r>
        <w:rPr>
          <w:spacing w:val="-1"/>
        </w:rPr>
        <w:t> </w:t>
      </w:r>
      <w:r>
        <w:rPr/>
        <w:t>and/or</w:t>
      </w:r>
      <w:r>
        <w:rPr>
          <w:spacing w:val="-4"/>
        </w:rPr>
        <w:t> </w:t>
      </w:r>
      <w:r>
        <w:rPr/>
        <w:t>unhealthy</w:t>
      </w:r>
      <w:r>
        <w:rPr>
          <w:spacing w:val="-1"/>
        </w:rPr>
        <w:t> </w:t>
      </w:r>
      <w:r>
        <w:rPr/>
        <w:t>environments.</w:t>
      </w:r>
      <w:r>
        <w:rPr>
          <w:spacing w:val="-4"/>
        </w:rPr>
        <w:t> </w:t>
      </w:r>
      <w:r>
        <w:rPr/>
        <w:t>Low-income</w:t>
      </w:r>
      <w:r>
        <w:rPr>
          <w:spacing w:val="-1"/>
        </w:rPr>
        <w:t> </w:t>
      </w:r>
      <w:r>
        <w:rPr/>
        <w:t>families</w:t>
      </w:r>
      <w:r>
        <w:rPr>
          <w:spacing w:val="-4"/>
        </w:rPr>
        <w:t> </w:t>
      </w:r>
      <w:r>
        <w:rPr/>
        <w:t>and</w:t>
      </w:r>
      <w:r>
        <w:rPr>
          <w:spacing w:val="-3"/>
        </w:rPr>
        <w:t> </w:t>
      </w:r>
      <w:r>
        <w:rPr/>
        <w:t>older</w:t>
      </w:r>
      <w:r>
        <w:rPr>
          <w:spacing w:val="-2"/>
        </w:rPr>
        <w:t> </w:t>
      </w:r>
      <w:r>
        <w:rPr/>
        <w:t>adults</w:t>
      </w:r>
      <w:r>
        <w:rPr>
          <w:spacing w:val="-2"/>
        </w:rPr>
        <w:t> </w:t>
      </w:r>
      <w:r>
        <w:rPr/>
        <w:t>face</w:t>
      </w:r>
      <w:r>
        <w:rPr>
          <w:spacing w:val="-1"/>
        </w:rPr>
        <w:t> </w:t>
      </w:r>
      <w:r>
        <w:rPr/>
        <w:t>the greatest housing burdens and associated health risks.</w:t>
      </w:r>
    </w:p>
    <w:p>
      <w:pPr>
        <w:pStyle w:val="Heading3"/>
        <w:spacing w:before="160"/>
      </w:pPr>
      <w:r>
        <w:rPr/>
        <w:t>Priority:</w:t>
      </w:r>
      <w:r>
        <w:rPr>
          <w:spacing w:val="-2"/>
        </w:rPr>
        <w:t> Poverty</w:t>
      </w:r>
    </w:p>
    <w:p>
      <w:pPr>
        <w:pStyle w:val="BodyText"/>
        <w:spacing w:line="259" w:lineRule="auto" w:before="185"/>
        <w:ind w:right="1436"/>
      </w:pPr>
      <w:r>
        <w:rPr/>
        <w:t>Poverty can strain nearly every aspect of community life, from housing stability to healthcare access, transportafion,</w:t>
      </w:r>
      <w:r>
        <w:rPr>
          <w:spacing w:val="-5"/>
        </w:rPr>
        <w:t> </w:t>
      </w:r>
      <w:r>
        <w:rPr/>
        <w:t>and</w:t>
      </w:r>
      <w:r>
        <w:rPr>
          <w:spacing w:val="-5"/>
        </w:rPr>
        <w:t> </w:t>
      </w:r>
      <w:r>
        <w:rPr/>
        <w:t>nutrifious</w:t>
      </w:r>
      <w:r>
        <w:rPr>
          <w:spacing w:val="-5"/>
        </w:rPr>
        <w:t> </w:t>
      </w:r>
      <w:r>
        <w:rPr/>
        <w:t>food.</w:t>
      </w:r>
      <w:r>
        <w:rPr>
          <w:spacing w:val="-5"/>
        </w:rPr>
        <w:t> </w:t>
      </w:r>
      <w:r>
        <w:rPr/>
        <w:t>Families</w:t>
      </w:r>
      <w:r>
        <w:rPr>
          <w:spacing w:val="-5"/>
        </w:rPr>
        <w:t> </w:t>
      </w:r>
      <w:r>
        <w:rPr/>
        <w:t>facing</w:t>
      </w:r>
      <w:r>
        <w:rPr>
          <w:spacing w:val="-5"/>
        </w:rPr>
        <w:t> </w:t>
      </w:r>
      <w:r>
        <w:rPr/>
        <w:t>ﬁnancial</w:t>
      </w:r>
      <w:r>
        <w:rPr>
          <w:spacing w:val="-5"/>
        </w:rPr>
        <w:t> </w:t>
      </w:r>
      <w:r>
        <w:rPr/>
        <w:t>hardship</w:t>
      </w:r>
      <w:r>
        <w:rPr>
          <w:spacing w:val="-6"/>
        </w:rPr>
        <w:t> </w:t>
      </w:r>
      <w:r>
        <w:rPr/>
        <w:t>often</w:t>
      </w:r>
      <w:r>
        <w:rPr>
          <w:spacing w:val="-6"/>
        </w:rPr>
        <w:t> </w:t>
      </w:r>
      <w:r>
        <w:rPr/>
        <w:t>struggle</w:t>
      </w:r>
      <w:r>
        <w:rPr>
          <w:spacing w:val="-4"/>
        </w:rPr>
        <w:t> </w:t>
      </w:r>
      <w:r>
        <w:rPr/>
        <w:t>to</w:t>
      </w:r>
      <w:r>
        <w:rPr>
          <w:spacing w:val="-6"/>
        </w:rPr>
        <w:t> </w:t>
      </w:r>
      <w:r>
        <w:rPr/>
        <w:t>meet</w:t>
      </w:r>
      <w:r>
        <w:rPr>
          <w:spacing w:val="-4"/>
        </w:rPr>
        <w:t> </w:t>
      </w:r>
      <w:r>
        <w:rPr/>
        <w:t>basic</w:t>
      </w:r>
      <w:r>
        <w:rPr>
          <w:spacing w:val="-7"/>
        </w:rPr>
        <w:t> </w:t>
      </w:r>
      <w:r>
        <w:rPr/>
        <w:t>needs, and limited resources can make it diﬃcult for them to ﬁnd sustainable pathways out of poverty.</w:t>
      </w:r>
    </w:p>
    <w:p>
      <w:pPr>
        <w:pStyle w:val="BodyText"/>
        <w:spacing w:line="259" w:lineRule="auto" w:before="159"/>
        <w:ind w:right="1467"/>
      </w:pPr>
      <w:r>
        <w:rPr/>
        <w:t>Map Y2 shows the distribufion of poverty across Yates County. An esfimated 14.1% of residents live in poverty,</w:t>
      </w:r>
      <w:r>
        <w:rPr>
          <w:spacing w:val="-8"/>
        </w:rPr>
        <w:t> </w:t>
      </w:r>
      <w:r>
        <w:rPr/>
        <w:t>with</w:t>
      </w:r>
      <w:r>
        <w:rPr>
          <w:spacing w:val="-9"/>
        </w:rPr>
        <w:t> </w:t>
      </w:r>
      <w:r>
        <w:rPr/>
        <w:t>the</w:t>
      </w:r>
      <w:r>
        <w:rPr>
          <w:spacing w:val="-5"/>
        </w:rPr>
        <w:t> </w:t>
      </w:r>
      <w:r>
        <w:rPr/>
        <w:t>highest</w:t>
      </w:r>
      <w:r>
        <w:rPr>
          <w:spacing w:val="-5"/>
        </w:rPr>
        <w:t> </w:t>
      </w:r>
      <w:r>
        <w:rPr/>
        <w:t>concentrafions</w:t>
      </w:r>
      <w:r>
        <w:rPr>
          <w:spacing w:val="-6"/>
        </w:rPr>
        <w:t> </w:t>
      </w:r>
      <w:r>
        <w:rPr/>
        <w:t>located</w:t>
      </w:r>
      <w:r>
        <w:rPr>
          <w:spacing w:val="-7"/>
        </w:rPr>
        <w:t> </w:t>
      </w:r>
      <w:r>
        <w:rPr/>
        <w:t>in</w:t>
      </w:r>
      <w:r>
        <w:rPr>
          <w:spacing w:val="-7"/>
        </w:rPr>
        <w:t> </w:t>
      </w:r>
      <w:r>
        <w:rPr/>
        <w:t>the</w:t>
      </w:r>
      <w:r>
        <w:rPr>
          <w:spacing w:val="-5"/>
        </w:rPr>
        <w:t> </w:t>
      </w:r>
      <w:r>
        <w:rPr/>
        <w:t>southern</w:t>
      </w:r>
      <w:r>
        <w:rPr>
          <w:spacing w:val="-7"/>
        </w:rPr>
        <w:t> </w:t>
      </w:r>
      <w:r>
        <w:rPr/>
        <w:t>part</w:t>
      </w:r>
      <w:r>
        <w:rPr>
          <w:spacing w:val="-8"/>
        </w:rPr>
        <w:t> </w:t>
      </w:r>
      <w:r>
        <w:rPr/>
        <w:t>of</w:t>
      </w:r>
      <w:r>
        <w:rPr>
          <w:spacing w:val="-8"/>
        </w:rPr>
        <w:t> </w:t>
      </w:r>
      <w:r>
        <w:rPr/>
        <w:t>the</w:t>
      </w:r>
      <w:r>
        <w:rPr>
          <w:spacing w:val="-5"/>
        </w:rPr>
        <w:t> </w:t>
      </w:r>
      <w:r>
        <w:rPr/>
        <w:t>county,</w:t>
      </w:r>
      <w:r>
        <w:rPr>
          <w:spacing w:val="-5"/>
        </w:rPr>
        <w:t> </w:t>
      </w:r>
      <w:r>
        <w:rPr/>
        <w:t>parficularly</w:t>
      </w:r>
      <w:r>
        <w:rPr>
          <w:spacing w:val="-5"/>
        </w:rPr>
        <w:t> </w:t>
      </w:r>
      <w:r>
        <w:rPr/>
        <w:t>around Dundee,</w:t>
      </w:r>
      <w:r>
        <w:rPr>
          <w:spacing w:val="-3"/>
        </w:rPr>
        <w:t> </w:t>
      </w:r>
      <w:r>
        <w:rPr/>
        <w:t>Himrod,</w:t>
      </w:r>
      <w:r>
        <w:rPr>
          <w:spacing w:val="-3"/>
        </w:rPr>
        <w:t> </w:t>
      </w:r>
      <w:r>
        <w:rPr/>
        <w:t>and</w:t>
      </w:r>
      <w:r>
        <w:rPr>
          <w:spacing w:val="-6"/>
        </w:rPr>
        <w:t> </w:t>
      </w:r>
      <w:r>
        <w:rPr/>
        <w:t>Dresden.</w:t>
      </w:r>
      <w:r>
        <w:rPr>
          <w:spacing w:val="-3"/>
        </w:rPr>
        <w:t> </w:t>
      </w:r>
      <w:r>
        <w:rPr/>
        <w:t>Poverty</w:t>
      </w:r>
      <w:r>
        <w:rPr>
          <w:spacing w:val="-4"/>
        </w:rPr>
        <w:t> </w:t>
      </w:r>
      <w:r>
        <w:rPr/>
        <w:t>levels</w:t>
      </w:r>
      <w:r>
        <w:rPr>
          <w:spacing w:val="-5"/>
        </w:rPr>
        <w:t> </w:t>
      </w:r>
      <w:r>
        <w:rPr/>
        <w:t>in</w:t>
      </w:r>
      <w:r>
        <w:rPr>
          <w:spacing w:val="-4"/>
        </w:rPr>
        <w:t> </w:t>
      </w:r>
      <w:r>
        <w:rPr/>
        <w:t>Yates</w:t>
      </w:r>
      <w:r>
        <w:rPr>
          <w:spacing w:val="-5"/>
        </w:rPr>
        <w:t> </w:t>
      </w:r>
      <w:r>
        <w:rPr/>
        <w:t>County</w:t>
      </w:r>
      <w:r>
        <w:rPr>
          <w:spacing w:val="-4"/>
        </w:rPr>
        <w:t> </w:t>
      </w:r>
      <w:r>
        <w:rPr/>
        <w:t>have</w:t>
      </w:r>
      <w:r>
        <w:rPr>
          <w:spacing w:val="-2"/>
        </w:rPr>
        <w:t> </w:t>
      </w:r>
      <w:r>
        <w:rPr/>
        <w:t>been</w:t>
      </w:r>
      <w:r>
        <w:rPr>
          <w:spacing w:val="-4"/>
        </w:rPr>
        <w:t> </w:t>
      </w:r>
      <w:r>
        <w:rPr/>
        <w:t>rising</w:t>
      </w:r>
      <w:r>
        <w:rPr>
          <w:spacing w:val="-4"/>
        </w:rPr>
        <w:t> </w:t>
      </w:r>
      <w:r>
        <w:rPr/>
        <w:t>steadily</w:t>
      </w:r>
      <w:r>
        <w:rPr>
          <w:spacing w:val="-2"/>
        </w:rPr>
        <w:t> </w:t>
      </w:r>
      <w:r>
        <w:rPr/>
        <w:t>since</w:t>
      </w:r>
      <w:r>
        <w:rPr>
          <w:spacing w:val="-2"/>
        </w:rPr>
        <w:t> </w:t>
      </w:r>
      <w:r>
        <w:rPr/>
        <w:t>2018,</w:t>
      </w:r>
      <w:r>
        <w:rPr>
          <w:spacing w:val="-2"/>
        </w:rPr>
        <w:t> </w:t>
      </w:r>
      <w:r>
        <w:rPr/>
        <w:t>and by 2022, the county’s rate exceeded the statewide average. Among children under 18, 23% live in poverty,</w:t>
      </w:r>
      <w:r>
        <w:rPr>
          <w:spacing w:val="-5"/>
        </w:rPr>
        <w:t> </w:t>
      </w:r>
      <w:r>
        <w:rPr/>
        <w:t>which</w:t>
      </w:r>
      <w:r>
        <w:rPr>
          <w:spacing w:val="-4"/>
        </w:rPr>
        <w:t> </w:t>
      </w:r>
      <w:r>
        <w:rPr/>
        <w:t>is</w:t>
      </w:r>
      <w:r>
        <w:rPr>
          <w:spacing w:val="-5"/>
        </w:rPr>
        <w:t> </w:t>
      </w:r>
      <w:r>
        <w:rPr/>
        <w:t>above</w:t>
      </w:r>
      <w:r>
        <w:rPr>
          <w:spacing w:val="-5"/>
        </w:rPr>
        <w:t> </w:t>
      </w:r>
      <w:r>
        <w:rPr/>
        <w:t>the</w:t>
      </w:r>
      <w:r>
        <w:rPr>
          <w:spacing w:val="-4"/>
        </w:rPr>
        <w:t> </w:t>
      </w:r>
      <w:r>
        <w:rPr/>
        <w:t>New</w:t>
      </w:r>
      <w:r>
        <w:rPr>
          <w:spacing w:val="-5"/>
        </w:rPr>
        <w:t> </w:t>
      </w:r>
      <w:r>
        <w:rPr/>
        <w:t>York</w:t>
      </w:r>
      <w:r>
        <w:rPr>
          <w:spacing w:val="-3"/>
        </w:rPr>
        <w:t> </w:t>
      </w:r>
      <w:r>
        <w:rPr/>
        <w:t>State</w:t>
      </w:r>
      <w:r>
        <w:rPr>
          <w:spacing w:val="-3"/>
        </w:rPr>
        <w:t> </w:t>
      </w:r>
      <w:r>
        <w:rPr/>
        <w:t>average</w:t>
      </w:r>
      <w:r>
        <w:rPr>
          <w:spacing w:val="-4"/>
        </w:rPr>
        <w:t> </w:t>
      </w:r>
      <w:r>
        <w:rPr/>
        <w:t>of</w:t>
      </w:r>
      <w:r>
        <w:rPr>
          <w:spacing w:val="-5"/>
        </w:rPr>
        <w:t> </w:t>
      </w:r>
      <w:r>
        <w:rPr/>
        <w:t>19%</w:t>
      </w:r>
      <w:r>
        <w:rPr>
          <w:spacing w:val="-3"/>
        </w:rPr>
        <w:t> </w:t>
      </w:r>
      <w:r>
        <w:rPr/>
        <w:t>but</w:t>
      </w:r>
      <w:r>
        <w:rPr>
          <w:spacing w:val="-3"/>
        </w:rPr>
        <w:t> </w:t>
      </w:r>
      <w:r>
        <w:rPr/>
        <w:t>an</w:t>
      </w:r>
      <w:r>
        <w:rPr>
          <w:spacing w:val="-4"/>
        </w:rPr>
        <w:t> </w:t>
      </w:r>
      <w:r>
        <w:rPr/>
        <w:t>improvement</w:t>
      </w:r>
      <w:r>
        <w:rPr>
          <w:spacing w:val="-5"/>
        </w:rPr>
        <w:t> </w:t>
      </w:r>
      <w:r>
        <w:rPr/>
        <w:t>from</w:t>
      </w:r>
      <w:r>
        <w:rPr>
          <w:spacing w:val="-4"/>
        </w:rPr>
        <w:t> </w:t>
      </w:r>
      <w:r>
        <w:rPr/>
        <w:t>26%</w:t>
      </w:r>
      <w:r>
        <w:rPr>
          <w:spacing w:val="-5"/>
        </w:rPr>
        <w:t> </w:t>
      </w:r>
      <w:r>
        <w:rPr/>
        <w:t>in</w:t>
      </w:r>
      <w:r>
        <w:rPr>
          <w:spacing w:val="-4"/>
        </w:rPr>
        <w:t> </w:t>
      </w:r>
      <w:r>
        <w:rPr/>
        <w:t>2019.</w:t>
      </w:r>
      <w:r>
        <w:rPr>
          <w:spacing w:val="-4"/>
        </w:rPr>
        <w:t> </w:t>
      </w:r>
      <w:r>
        <w:rPr/>
        <w:t>For adults age 65 and</w:t>
      </w:r>
      <w:r>
        <w:rPr>
          <w:spacing w:val="-1"/>
        </w:rPr>
        <w:t> </w:t>
      </w:r>
      <w:r>
        <w:rPr/>
        <w:t>older, 12.5% live in poverty, just under the state average of 12.7%. However, the poverty rate for older adults has increased signiﬁcantly - up 51% since 2018.</w:t>
      </w:r>
    </w:p>
    <w:p>
      <w:pPr>
        <w:pStyle w:val="BodyText"/>
        <w:spacing w:after="0" w:line="259" w:lineRule="auto"/>
        <w:sectPr>
          <w:pgSz w:w="12240" w:h="15840"/>
          <w:pgMar w:header="161" w:footer="1223" w:top="1360" w:bottom="1420" w:left="0" w:right="0"/>
        </w:sectPr>
      </w:pPr>
    </w:p>
    <w:p>
      <w:pPr>
        <w:pStyle w:val="BodyText"/>
        <w:spacing w:before="38"/>
        <w:ind w:left="0"/>
        <w:rPr>
          <w:sz w:val="18"/>
        </w:rPr>
      </w:pPr>
    </w:p>
    <w:p>
      <w:pPr>
        <w:spacing w:before="0"/>
        <w:ind w:left="1562" w:right="0" w:firstLine="0"/>
        <w:jc w:val="left"/>
        <w:rPr>
          <w:i/>
          <w:sz w:val="18"/>
        </w:rPr>
      </w:pPr>
      <w:r>
        <w:rPr>
          <w:i/>
          <w:color w:val="0D2841"/>
          <w:sz w:val="18"/>
        </w:rPr>
        <w:t>Map</w:t>
      </w:r>
      <w:r>
        <w:rPr>
          <w:i/>
          <w:color w:val="0D2841"/>
          <w:spacing w:val="-4"/>
          <w:sz w:val="18"/>
        </w:rPr>
        <w:t> </w:t>
      </w:r>
      <w:r>
        <w:rPr>
          <w:i/>
          <w:color w:val="0D2841"/>
          <w:sz w:val="18"/>
        </w:rPr>
        <w:t>Y2:</w:t>
      </w:r>
      <w:r>
        <w:rPr>
          <w:i/>
          <w:color w:val="0D2841"/>
          <w:spacing w:val="-5"/>
          <w:sz w:val="18"/>
        </w:rPr>
        <w:t> </w:t>
      </w:r>
      <w:r>
        <w:rPr>
          <w:i/>
          <w:color w:val="0D2841"/>
          <w:sz w:val="18"/>
        </w:rPr>
        <w:t>Overall</w:t>
      </w:r>
      <w:r>
        <w:rPr>
          <w:i/>
          <w:color w:val="0D2841"/>
          <w:spacing w:val="-5"/>
          <w:sz w:val="18"/>
        </w:rPr>
        <w:t> </w:t>
      </w:r>
      <w:r>
        <w:rPr>
          <w:i/>
          <w:color w:val="0D2841"/>
          <w:sz w:val="18"/>
        </w:rPr>
        <w:t>Poverty</w:t>
      </w:r>
      <w:r>
        <w:rPr>
          <w:i/>
          <w:color w:val="0D2841"/>
          <w:spacing w:val="-4"/>
          <w:sz w:val="18"/>
        </w:rPr>
        <w:t> </w:t>
      </w:r>
      <w:r>
        <w:rPr>
          <w:i/>
          <w:color w:val="0D2841"/>
          <w:sz w:val="18"/>
        </w:rPr>
        <w:t>Rate</w:t>
      </w:r>
      <w:r>
        <w:rPr>
          <w:i/>
          <w:color w:val="0D2841"/>
          <w:spacing w:val="-5"/>
          <w:sz w:val="18"/>
        </w:rPr>
        <w:t> </w:t>
      </w:r>
      <w:r>
        <w:rPr>
          <w:i/>
          <w:color w:val="0D2841"/>
          <w:sz w:val="18"/>
        </w:rPr>
        <w:t>in</w:t>
      </w:r>
      <w:r>
        <w:rPr>
          <w:i/>
          <w:color w:val="0D2841"/>
          <w:spacing w:val="-6"/>
          <w:sz w:val="18"/>
        </w:rPr>
        <w:t> </w:t>
      </w:r>
      <w:r>
        <w:rPr>
          <w:i/>
          <w:color w:val="0D2841"/>
          <w:sz w:val="18"/>
        </w:rPr>
        <w:t>Yates</w:t>
      </w:r>
      <w:r>
        <w:rPr>
          <w:i/>
          <w:color w:val="0D2841"/>
          <w:spacing w:val="-5"/>
          <w:sz w:val="18"/>
        </w:rPr>
        <w:t> </w:t>
      </w:r>
      <w:r>
        <w:rPr>
          <w:i/>
          <w:color w:val="0D2841"/>
          <w:spacing w:val="-2"/>
          <w:sz w:val="18"/>
        </w:rPr>
        <w:t>County</w:t>
      </w:r>
    </w:p>
    <w:p>
      <w:pPr>
        <w:pStyle w:val="BodyText"/>
        <w:ind w:left="0"/>
        <w:rPr>
          <w:i/>
          <w:sz w:val="9"/>
        </w:rPr>
      </w:pPr>
      <w:r>
        <w:rPr>
          <w:i/>
          <w:sz w:val="9"/>
        </w:rPr>
        <w:drawing>
          <wp:anchor distT="0" distB="0" distL="0" distR="0" allowOverlap="1" layoutInCell="1" locked="0" behindDoc="1" simplePos="0" relativeHeight="487597056">
            <wp:simplePos x="0" y="0"/>
            <wp:positionH relativeFrom="page">
              <wp:posOffset>963192</wp:posOffset>
            </wp:positionH>
            <wp:positionV relativeFrom="paragraph">
              <wp:posOffset>85310</wp:posOffset>
            </wp:positionV>
            <wp:extent cx="6005191" cy="3785616"/>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21" cstate="print"/>
                    <a:stretch>
                      <a:fillRect/>
                    </a:stretch>
                  </pic:blipFill>
                  <pic:spPr>
                    <a:xfrm>
                      <a:off x="0" y="0"/>
                      <a:ext cx="6005191" cy="3785616"/>
                    </a:xfrm>
                    <a:prstGeom prst="rect">
                      <a:avLst/>
                    </a:prstGeom>
                  </pic:spPr>
                </pic:pic>
              </a:graphicData>
            </a:graphic>
          </wp:anchor>
        </w:drawing>
      </w:r>
    </w:p>
    <w:p>
      <w:pPr>
        <w:pStyle w:val="BodyText"/>
        <w:spacing w:before="10"/>
        <w:ind w:left="0"/>
        <w:rPr>
          <w:i/>
          <w:sz w:val="18"/>
        </w:rPr>
      </w:pPr>
    </w:p>
    <w:p>
      <w:pPr>
        <w:pStyle w:val="Heading3"/>
        <w:spacing w:before="0"/>
      </w:pPr>
      <w:r>
        <w:rPr/>
        <w:t>Priority:</w:t>
      </w:r>
      <w:r>
        <w:rPr>
          <w:spacing w:val="-2"/>
        </w:rPr>
        <w:t> Unemployment</w:t>
      </w:r>
    </w:p>
    <w:p>
      <w:pPr>
        <w:pStyle w:val="BodyText"/>
        <w:spacing w:before="4"/>
        <w:ind w:left="0"/>
        <w:rPr>
          <w:b/>
          <w:sz w:val="10"/>
        </w:rPr>
      </w:pPr>
    </w:p>
    <w:p>
      <w:pPr>
        <w:pStyle w:val="BodyText"/>
        <w:spacing w:after="0"/>
        <w:rPr>
          <w:b/>
          <w:sz w:val="10"/>
        </w:rPr>
        <w:sectPr>
          <w:pgSz w:w="12240" w:h="15840"/>
          <w:pgMar w:header="161" w:footer="1223" w:top="1360" w:bottom="1420" w:left="0" w:right="0"/>
        </w:sectPr>
      </w:pPr>
    </w:p>
    <w:p>
      <w:pPr>
        <w:pStyle w:val="BodyText"/>
        <w:spacing w:line="259" w:lineRule="auto" w:before="56"/>
        <w:ind w:right="-8"/>
      </w:pPr>
      <w:r>
        <w:rPr/>
        <w:t>The unemployment rate in Yates County was 4.5% in April 2025. Figure Y5 notes the</w:t>
      </w:r>
      <w:r>
        <w:rPr>
          <w:spacing w:val="-1"/>
        </w:rPr>
        <w:t> </w:t>
      </w:r>
      <w:r>
        <w:rPr/>
        <w:t>trend</w:t>
      </w:r>
      <w:r>
        <w:rPr>
          <w:spacing w:val="-3"/>
        </w:rPr>
        <w:t> </w:t>
      </w:r>
      <w:r>
        <w:rPr/>
        <w:t>in</w:t>
      </w:r>
      <w:r>
        <w:rPr>
          <w:spacing w:val="-3"/>
        </w:rPr>
        <w:t> </w:t>
      </w:r>
      <w:r>
        <w:rPr/>
        <w:t>unemployment rates</w:t>
      </w:r>
      <w:r>
        <w:rPr>
          <w:spacing w:val="-13"/>
        </w:rPr>
        <w:t> </w:t>
      </w:r>
      <w:r>
        <w:rPr/>
        <w:t>recorded</w:t>
      </w:r>
      <w:r>
        <w:rPr>
          <w:spacing w:val="-12"/>
        </w:rPr>
        <w:t> </w:t>
      </w:r>
      <w:r>
        <w:rPr/>
        <w:t>each</w:t>
      </w:r>
      <w:r>
        <w:rPr>
          <w:spacing w:val="-13"/>
        </w:rPr>
        <w:t> </w:t>
      </w:r>
      <w:r>
        <w:rPr/>
        <w:t>January from 2019 to present.</w:t>
      </w:r>
    </w:p>
    <w:p>
      <w:pPr>
        <w:pStyle w:val="BodyText"/>
        <w:spacing w:line="259" w:lineRule="auto"/>
        <w:ind w:right="-8"/>
      </w:pPr>
      <w:r>
        <w:rPr/>
        <w:t>According</w:t>
      </w:r>
      <w:r>
        <w:rPr>
          <w:spacing w:val="-10"/>
        </w:rPr>
        <w:t> </w:t>
      </w:r>
      <w:r>
        <w:rPr/>
        <w:t>to</w:t>
      </w:r>
      <w:r>
        <w:rPr>
          <w:spacing w:val="-9"/>
        </w:rPr>
        <w:t> </w:t>
      </w:r>
      <w:r>
        <w:rPr/>
        <w:t>US</w:t>
      </w:r>
      <w:r>
        <w:rPr>
          <w:spacing w:val="-11"/>
        </w:rPr>
        <w:t> </w:t>
      </w:r>
      <w:r>
        <w:rPr/>
        <w:t>Census</w:t>
      </w:r>
      <w:r>
        <w:rPr>
          <w:spacing w:val="-10"/>
        </w:rPr>
        <w:t> </w:t>
      </w:r>
      <w:r>
        <w:rPr/>
        <w:t>data from 2023, the top three employment</w:t>
      </w:r>
      <w:r>
        <w:rPr>
          <w:spacing w:val="-13"/>
        </w:rPr>
        <w:t> </w:t>
      </w:r>
      <w:r>
        <w:rPr/>
        <w:t>sectors</w:t>
      </w:r>
      <w:r>
        <w:rPr>
          <w:spacing w:val="-12"/>
        </w:rPr>
        <w:t> </w:t>
      </w:r>
      <w:r>
        <w:rPr/>
        <w:t>in</w:t>
      </w:r>
      <w:r>
        <w:rPr>
          <w:spacing w:val="-13"/>
        </w:rPr>
        <w:t> </w:t>
      </w:r>
      <w:r>
        <w:rPr/>
        <w:t>Yates County are (1) educafional services, health care and social</w:t>
      </w:r>
      <w:r>
        <w:rPr>
          <w:spacing w:val="-12"/>
        </w:rPr>
        <w:t> </w:t>
      </w:r>
      <w:r>
        <w:rPr/>
        <w:t>assistance</w:t>
      </w:r>
      <w:r>
        <w:rPr>
          <w:spacing w:val="-11"/>
        </w:rPr>
        <w:t> </w:t>
      </w:r>
      <w:r>
        <w:rPr/>
        <w:t>(24.7%);</w:t>
      </w:r>
      <w:r>
        <w:rPr>
          <w:spacing w:val="-11"/>
        </w:rPr>
        <w:t> </w:t>
      </w:r>
      <w:r>
        <w:rPr/>
        <w:t>(2)</w:t>
      </w:r>
    </w:p>
    <w:p>
      <w:pPr>
        <w:pStyle w:val="BodyText"/>
        <w:spacing w:line="266" w:lineRule="exact"/>
      </w:pPr>
      <w:r>
        <w:rPr/>
        <w:t>manufacturing</w:t>
      </w:r>
      <w:r>
        <w:rPr>
          <w:spacing w:val="-10"/>
        </w:rPr>
        <w:t> </w:t>
      </w:r>
      <w:r>
        <w:rPr/>
        <w:t>(14.5%);</w:t>
      </w:r>
      <w:r>
        <w:rPr>
          <w:spacing w:val="-9"/>
        </w:rPr>
        <w:t> </w:t>
      </w:r>
      <w:r>
        <w:rPr>
          <w:spacing w:val="-5"/>
        </w:rPr>
        <w:t>and</w:t>
      </w:r>
    </w:p>
    <w:p>
      <w:pPr>
        <w:pStyle w:val="BodyText"/>
        <w:spacing w:before="22"/>
      </w:pPr>
      <w:r>
        <w:rPr/>
        <w:t>(3)</w:t>
      </w:r>
      <w:r>
        <w:rPr>
          <w:spacing w:val="-7"/>
        </w:rPr>
        <w:t> </w:t>
      </w:r>
      <w:r>
        <w:rPr/>
        <w:t>retail</w:t>
      </w:r>
      <w:r>
        <w:rPr>
          <w:spacing w:val="-7"/>
        </w:rPr>
        <w:t> </w:t>
      </w:r>
      <w:r>
        <w:rPr/>
        <w:t>trade</w:t>
      </w:r>
      <w:r>
        <w:rPr>
          <w:spacing w:val="-5"/>
        </w:rPr>
        <w:t> </w:t>
      </w:r>
      <w:r>
        <w:rPr>
          <w:spacing w:val="-2"/>
        </w:rPr>
        <w:t>(11.9%).</w:t>
      </w:r>
    </w:p>
    <w:p>
      <w:pPr>
        <w:spacing w:before="72"/>
        <w:ind w:left="286" w:right="0" w:firstLine="0"/>
        <w:jc w:val="left"/>
        <w:rPr>
          <w:i/>
          <w:sz w:val="18"/>
        </w:rPr>
      </w:pPr>
      <w:r>
        <w:rPr/>
        <w:br w:type="column"/>
      </w:r>
      <w:r>
        <w:rPr>
          <w:i/>
          <w:color w:val="0D2841"/>
          <w:sz w:val="18"/>
        </w:rPr>
        <w:t>Figure</w:t>
      </w:r>
      <w:r>
        <w:rPr>
          <w:i/>
          <w:color w:val="0D2841"/>
          <w:spacing w:val="-4"/>
          <w:sz w:val="18"/>
        </w:rPr>
        <w:t> </w:t>
      </w:r>
      <w:r>
        <w:rPr>
          <w:i/>
          <w:color w:val="0D2841"/>
          <w:sz w:val="18"/>
        </w:rPr>
        <w:t>Y5:</w:t>
      </w:r>
      <w:r>
        <w:rPr>
          <w:i/>
          <w:color w:val="0D2841"/>
          <w:spacing w:val="-3"/>
          <w:sz w:val="18"/>
        </w:rPr>
        <w:t> </w:t>
      </w:r>
      <w:r>
        <w:rPr>
          <w:i/>
          <w:color w:val="0D2841"/>
          <w:sz w:val="18"/>
        </w:rPr>
        <w:t>Unemployment</w:t>
      </w:r>
      <w:r>
        <w:rPr>
          <w:i/>
          <w:color w:val="0D2841"/>
          <w:spacing w:val="-4"/>
          <w:sz w:val="18"/>
        </w:rPr>
        <w:t> </w:t>
      </w:r>
      <w:r>
        <w:rPr>
          <w:i/>
          <w:color w:val="0D2841"/>
          <w:sz w:val="18"/>
        </w:rPr>
        <w:t>Rate</w:t>
      </w:r>
      <w:r>
        <w:rPr>
          <w:i/>
          <w:color w:val="0D2841"/>
          <w:spacing w:val="-3"/>
          <w:sz w:val="18"/>
        </w:rPr>
        <w:t> </w:t>
      </w:r>
      <w:r>
        <w:rPr>
          <w:i/>
          <w:color w:val="0D2841"/>
          <w:sz w:val="18"/>
        </w:rPr>
        <w:t>in</w:t>
      </w:r>
      <w:r>
        <w:rPr>
          <w:i/>
          <w:color w:val="0D2841"/>
          <w:spacing w:val="-6"/>
          <w:sz w:val="18"/>
        </w:rPr>
        <w:t> </w:t>
      </w:r>
      <w:r>
        <w:rPr>
          <w:i/>
          <w:color w:val="0D2841"/>
          <w:sz w:val="18"/>
        </w:rPr>
        <w:t>Yates</w:t>
      </w:r>
      <w:r>
        <w:rPr>
          <w:i/>
          <w:color w:val="0D2841"/>
          <w:spacing w:val="-4"/>
          <w:sz w:val="18"/>
        </w:rPr>
        <w:t> </w:t>
      </w:r>
      <w:r>
        <w:rPr>
          <w:i/>
          <w:color w:val="0D2841"/>
          <w:sz w:val="18"/>
        </w:rPr>
        <w:t>County</w:t>
      </w:r>
      <w:r>
        <w:rPr>
          <w:i/>
          <w:color w:val="0D2841"/>
          <w:spacing w:val="-2"/>
          <w:sz w:val="18"/>
        </w:rPr>
        <w:t> </w:t>
      </w:r>
      <w:r>
        <w:rPr>
          <w:i/>
          <w:color w:val="0D2841"/>
          <w:sz w:val="18"/>
        </w:rPr>
        <w:t>as</w:t>
      </w:r>
      <w:r>
        <w:rPr>
          <w:i/>
          <w:color w:val="0D2841"/>
          <w:spacing w:val="-6"/>
          <w:sz w:val="18"/>
        </w:rPr>
        <w:t> </w:t>
      </w:r>
      <w:r>
        <w:rPr>
          <w:i/>
          <w:color w:val="0D2841"/>
          <w:sz w:val="18"/>
        </w:rPr>
        <w:t>reported</w:t>
      </w:r>
      <w:r>
        <w:rPr>
          <w:i/>
          <w:color w:val="0D2841"/>
          <w:spacing w:val="-2"/>
          <w:sz w:val="18"/>
        </w:rPr>
        <w:t> </w:t>
      </w:r>
      <w:r>
        <w:rPr>
          <w:i/>
          <w:color w:val="0D2841"/>
          <w:sz w:val="18"/>
        </w:rPr>
        <w:t>in</w:t>
      </w:r>
      <w:r>
        <w:rPr>
          <w:i/>
          <w:color w:val="0D2841"/>
          <w:spacing w:val="-3"/>
          <w:sz w:val="18"/>
        </w:rPr>
        <w:t> </w:t>
      </w:r>
      <w:r>
        <w:rPr>
          <w:i/>
          <w:color w:val="0D2841"/>
          <w:sz w:val="18"/>
        </w:rPr>
        <w:t>January</w:t>
      </w:r>
      <w:r>
        <w:rPr>
          <w:i/>
          <w:color w:val="0D2841"/>
          <w:spacing w:val="-3"/>
          <w:sz w:val="18"/>
        </w:rPr>
        <w:t> </w:t>
      </w:r>
      <w:r>
        <w:rPr>
          <w:i/>
          <w:color w:val="0D2841"/>
          <w:sz w:val="18"/>
        </w:rPr>
        <w:t>of</w:t>
      </w:r>
      <w:r>
        <w:rPr>
          <w:i/>
          <w:color w:val="0D2841"/>
          <w:spacing w:val="-3"/>
          <w:sz w:val="18"/>
        </w:rPr>
        <w:t> </w:t>
      </w:r>
      <w:r>
        <w:rPr>
          <w:i/>
          <w:color w:val="0D2841"/>
          <w:sz w:val="18"/>
        </w:rPr>
        <w:t>each</w:t>
      </w:r>
      <w:r>
        <w:rPr>
          <w:i/>
          <w:color w:val="0D2841"/>
          <w:spacing w:val="-5"/>
          <w:sz w:val="18"/>
        </w:rPr>
        <w:t> </w:t>
      </w:r>
      <w:r>
        <w:rPr>
          <w:i/>
          <w:color w:val="0D2841"/>
          <w:spacing w:val="-4"/>
          <w:sz w:val="18"/>
        </w:rPr>
        <w:t>year</w:t>
      </w:r>
    </w:p>
    <w:p>
      <w:pPr>
        <w:pStyle w:val="BodyText"/>
        <w:spacing w:before="8"/>
        <w:ind w:left="0"/>
        <w:rPr>
          <w:i/>
          <w:sz w:val="6"/>
        </w:rPr>
      </w:pPr>
      <w:r>
        <w:rPr>
          <w:i/>
          <w:sz w:val="6"/>
        </w:rPr>
        <mc:AlternateContent>
          <mc:Choice Requires="wps">
            <w:drawing>
              <wp:anchor distT="0" distB="0" distL="0" distR="0" allowOverlap="1" layoutInCell="1" locked="0" behindDoc="1" simplePos="0" relativeHeight="487597568">
                <wp:simplePos x="0" y="0"/>
                <wp:positionH relativeFrom="page">
                  <wp:posOffset>2735642</wp:posOffset>
                </wp:positionH>
                <wp:positionV relativeFrom="paragraph">
                  <wp:posOffset>67443</wp:posOffset>
                </wp:positionV>
                <wp:extent cx="4399915" cy="235331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4399915" cy="2353310"/>
                          <a:chExt cx="4399915" cy="2353310"/>
                        </a:xfrm>
                      </wpg:grpSpPr>
                      <wps:wsp>
                        <wps:cNvPr id="52" name="Graphic 52"/>
                        <wps:cNvSpPr/>
                        <wps:spPr>
                          <a:xfrm>
                            <a:off x="420433" y="74611"/>
                            <a:ext cx="3779520" cy="1429385"/>
                          </a:xfrm>
                          <a:custGeom>
                            <a:avLst/>
                            <a:gdLst/>
                            <a:ahLst/>
                            <a:cxnLst/>
                            <a:rect l="l" t="t" r="r" b="b"/>
                            <a:pathLst>
                              <a:path w="3779520" h="1429385">
                                <a:moveTo>
                                  <a:pt x="0" y="1429385"/>
                                </a:moveTo>
                                <a:lnTo>
                                  <a:pt x="3779520" y="1429385"/>
                                </a:lnTo>
                              </a:path>
                              <a:path w="3779520" h="1429385">
                                <a:moveTo>
                                  <a:pt x="0" y="1144524"/>
                                </a:moveTo>
                                <a:lnTo>
                                  <a:pt x="3779520" y="1144524"/>
                                </a:lnTo>
                              </a:path>
                              <a:path w="3779520" h="1429385">
                                <a:moveTo>
                                  <a:pt x="0" y="859536"/>
                                </a:moveTo>
                                <a:lnTo>
                                  <a:pt x="3779520" y="859536"/>
                                </a:lnTo>
                              </a:path>
                              <a:path w="3779520" h="1429385">
                                <a:moveTo>
                                  <a:pt x="0" y="573024"/>
                                </a:moveTo>
                                <a:lnTo>
                                  <a:pt x="3779520" y="573024"/>
                                </a:lnTo>
                              </a:path>
                              <a:path w="3779520" h="1429385">
                                <a:moveTo>
                                  <a:pt x="0" y="286385"/>
                                </a:moveTo>
                                <a:lnTo>
                                  <a:pt x="3779520" y="286385"/>
                                </a:lnTo>
                              </a:path>
                              <a:path w="3779520" h="1429385">
                                <a:moveTo>
                                  <a:pt x="0" y="0"/>
                                </a:moveTo>
                                <a:lnTo>
                                  <a:pt x="3779520" y="0"/>
                                </a:lnTo>
                              </a:path>
                            </a:pathLst>
                          </a:custGeom>
                          <a:ln w="9017">
                            <a:solidFill>
                              <a:srgbClr val="D8D8D8"/>
                            </a:solidFill>
                            <a:prstDash val="solid"/>
                          </a:ln>
                        </wps:spPr>
                        <wps:bodyPr wrap="square" lIns="0" tIns="0" rIns="0" bIns="0" rtlCol="0">
                          <a:prstTxWarp prst="textNoShape">
                            <a:avLst/>
                          </a:prstTxWarp>
                          <a:noAutofit/>
                        </wps:bodyPr>
                      </wps:wsp>
                      <wps:wsp>
                        <wps:cNvPr id="53" name="Graphic 53"/>
                        <wps:cNvSpPr/>
                        <wps:spPr>
                          <a:xfrm>
                            <a:off x="420433" y="1790636"/>
                            <a:ext cx="3779520" cy="1270"/>
                          </a:xfrm>
                          <a:custGeom>
                            <a:avLst/>
                            <a:gdLst/>
                            <a:ahLst/>
                            <a:cxnLst/>
                            <a:rect l="l" t="t" r="r" b="b"/>
                            <a:pathLst>
                              <a:path w="3779520" h="0">
                                <a:moveTo>
                                  <a:pt x="0" y="0"/>
                                </a:moveTo>
                                <a:lnTo>
                                  <a:pt x="3779520" y="0"/>
                                </a:lnTo>
                              </a:path>
                            </a:pathLst>
                          </a:custGeom>
                          <a:ln w="9017">
                            <a:solidFill>
                              <a:srgbClr val="D8D8D8"/>
                            </a:solidFill>
                            <a:prstDash val="solid"/>
                          </a:ln>
                        </wps:spPr>
                        <wps:bodyPr wrap="square" lIns="0" tIns="0" rIns="0" bIns="0" rtlCol="0">
                          <a:prstTxWarp prst="textNoShape">
                            <a:avLst/>
                          </a:prstTxWarp>
                          <a:noAutofit/>
                        </wps:bodyPr>
                      </wps:wsp>
                      <wps:wsp>
                        <wps:cNvPr id="54" name="Graphic 54"/>
                        <wps:cNvSpPr/>
                        <wps:spPr>
                          <a:xfrm>
                            <a:off x="690309" y="275779"/>
                            <a:ext cx="3240405" cy="457200"/>
                          </a:xfrm>
                          <a:custGeom>
                            <a:avLst/>
                            <a:gdLst/>
                            <a:ahLst/>
                            <a:cxnLst/>
                            <a:rect l="l" t="t" r="r" b="b"/>
                            <a:pathLst>
                              <a:path w="3240405" h="457200">
                                <a:moveTo>
                                  <a:pt x="0" y="284988"/>
                                </a:moveTo>
                                <a:lnTo>
                                  <a:pt x="539369" y="141732"/>
                                </a:lnTo>
                                <a:lnTo>
                                  <a:pt x="1080389" y="0"/>
                                </a:lnTo>
                                <a:lnTo>
                                  <a:pt x="1619885" y="457072"/>
                                </a:lnTo>
                                <a:lnTo>
                                  <a:pt x="2159380" y="371728"/>
                                </a:lnTo>
                                <a:lnTo>
                                  <a:pt x="2700401" y="284988"/>
                                </a:lnTo>
                                <a:lnTo>
                                  <a:pt x="3239897" y="228599"/>
                                </a:lnTo>
                              </a:path>
                            </a:pathLst>
                          </a:custGeom>
                          <a:ln w="28954">
                            <a:solidFill>
                              <a:srgbClr val="145F82"/>
                            </a:solidFill>
                            <a:prstDash val="solid"/>
                          </a:ln>
                        </wps:spPr>
                        <wps:bodyPr wrap="square" lIns="0" tIns="0" rIns="0" bIns="0" rtlCol="0">
                          <a:prstTxWarp prst="textNoShape">
                            <a:avLst/>
                          </a:prstTxWarp>
                          <a:noAutofit/>
                        </wps:bodyPr>
                      </wps:wsp>
                      <wps:wsp>
                        <wps:cNvPr id="55" name="Graphic 55"/>
                        <wps:cNvSpPr/>
                        <wps:spPr>
                          <a:xfrm>
                            <a:off x="4508" y="4508"/>
                            <a:ext cx="4391025" cy="2343785"/>
                          </a:xfrm>
                          <a:custGeom>
                            <a:avLst/>
                            <a:gdLst/>
                            <a:ahLst/>
                            <a:cxnLst/>
                            <a:rect l="l" t="t" r="r" b="b"/>
                            <a:pathLst>
                              <a:path w="4391025" h="2343785">
                                <a:moveTo>
                                  <a:pt x="0" y="0"/>
                                </a:moveTo>
                                <a:lnTo>
                                  <a:pt x="4390516" y="0"/>
                                </a:lnTo>
                                <a:lnTo>
                                  <a:pt x="4390516" y="2343785"/>
                                </a:lnTo>
                                <a:lnTo>
                                  <a:pt x="0" y="2343785"/>
                                </a:lnTo>
                                <a:lnTo>
                                  <a:pt x="0" y="0"/>
                                </a:lnTo>
                                <a:close/>
                              </a:path>
                            </a:pathLst>
                          </a:custGeom>
                          <a:ln w="9016">
                            <a:solidFill>
                              <a:srgbClr val="D8D8D8"/>
                            </a:solidFill>
                            <a:prstDash val="solid"/>
                          </a:ln>
                        </wps:spPr>
                        <wps:bodyPr wrap="square" lIns="0" tIns="0" rIns="0" bIns="0" rtlCol="0">
                          <a:prstTxWarp prst="textNoShape">
                            <a:avLst/>
                          </a:prstTxWarp>
                          <a:noAutofit/>
                        </wps:bodyPr>
                      </wps:wsp>
                      <wps:wsp>
                        <wps:cNvPr id="56" name="Textbox 56"/>
                        <wps:cNvSpPr txBox="1"/>
                        <wps:spPr>
                          <a:xfrm>
                            <a:off x="33337" y="25335"/>
                            <a:ext cx="297815" cy="114300"/>
                          </a:xfrm>
                          <a:prstGeom prst="rect">
                            <a:avLst/>
                          </a:prstGeom>
                        </wps:spPr>
                        <wps:txbx>
                          <w:txbxContent>
                            <w:p>
                              <w:pPr>
                                <w:spacing w:line="180" w:lineRule="exact" w:before="0"/>
                                <w:ind w:left="0" w:right="0" w:firstLine="0"/>
                                <w:jc w:val="left"/>
                                <w:rPr>
                                  <w:sz w:val="18"/>
                                </w:rPr>
                              </w:pPr>
                              <w:r>
                                <w:rPr>
                                  <w:color w:val="585858"/>
                                  <w:spacing w:val="-2"/>
                                  <w:sz w:val="18"/>
                                </w:rPr>
                                <w:t>6.00%</w:t>
                              </w:r>
                            </w:p>
                          </w:txbxContent>
                        </wps:txbx>
                        <wps:bodyPr wrap="square" lIns="0" tIns="0" rIns="0" bIns="0" rtlCol="0">
                          <a:noAutofit/>
                        </wps:bodyPr>
                      </wps:wsp>
                      <wps:wsp>
                        <wps:cNvPr id="57" name="Textbox 57"/>
                        <wps:cNvSpPr txBox="1"/>
                        <wps:spPr>
                          <a:xfrm>
                            <a:off x="1632141" y="74103"/>
                            <a:ext cx="297815" cy="114300"/>
                          </a:xfrm>
                          <a:prstGeom prst="rect">
                            <a:avLst/>
                          </a:prstGeom>
                        </wps:spPr>
                        <wps:txbx>
                          <w:txbxContent>
                            <w:p>
                              <w:pPr>
                                <w:spacing w:line="180" w:lineRule="exact" w:before="0"/>
                                <w:ind w:left="0" w:right="0" w:firstLine="0"/>
                                <w:jc w:val="left"/>
                                <w:rPr>
                                  <w:sz w:val="18"/>
                                </w:rPr>
                              </w:pPr>
                              <w:r>
                                <w:rPr>
                                  <w:color w:val="404040"/>
                                  <w:spacing w:val="-2"/>
                                  <w:sz w:val="18"/>
                                </w:rPr>
                                <w:t>5.30%</w:t>
                              </w:r>
                            </w:p>
                          </w:txbxContent>
                        </wps:txbx>
                        <wps:bodyPr wrap="square" lIns="0" tIns="0" rIns="0" bIns="0" rtlCol="0">
                          <a:noAutofit/>
                        </wps:bodyPr>
                      </wps:wsp>
                      <wps:wsp>
                        <wps:cNvPr id="58" name="Textbox 58"/>
                        <wps:cNvSpPr txBox="1"/>
                        <wps:spPr>
                          <a:xfrm>
                            <a:off x="1092645" y="217486"/>
                            <a:ext cx="297180" cy="114300"/>
                          </a:xfrm>
                          <a:prstGeom prst="rect">
                            <a:avLst/>
                          </a:prstGeom>
                        </wps:spPr>
                        <wps:txbx>
                          <w:txbxContent>
                            <w:p>
                              <w:pPr>
                                <w:spacing w:line="180" w:lineRule="exact" w:before="0"/>
                                <w:ind w:left="0" w:right="0" w:firstLine="0"/>
                                <w:jc w:val="left"/>
                                <w:rPr>
                                  <w:sz w:val="18"/>
                                </w:rPr>
                              </w:pPr>
                              <w:r>
                                <w:rPr>
                                  <w:color w:val="404040"/>
                                  <w:spacing w:val="-2"/>
                                  <w:sz w:val="18"/>
                                </w:rPr>
                                <w:t>4.80%</w:t>
                              </w:r>
                            </w:p>
                          </w:txbxContent>
                        </wps:txbx>
                        <wps:bodyPr wrap="square" lIns="0" tIns="0" rIns="0" bIns="0" rtlCol="0">
                          <a:noAutofit/>
                        </wps:bodyPr>
                      </wps:wsp>
                      <wps:wsp>
                        <wps:cNvPr id="59" name="Textbox 59"/>
                        <wps:cNvSpPr txBox="1"/>
                        <wps:spPr>
                          <a:xfrm>
                            <a:off x="33337" y="311847"/>
                            <a:ext cx="297815" cy="114300"/>
                          </a:xfrm>
                          <a:prstGeom prst="rect">
                            <a:avLst/>
                          </a:prstGeom>
                        </wps:spPr>
                        <wps:txbx>
                          <w:txbxContent>
                            <w:p>
                              <w:pPr>
                                <w:spacing w:line="180" w:lineRule="exact" w:before="0"/>
                                <w:ind w:left="0" w:right="0" w:firstLine="0"/>
                                <w:jc w:val="left"/>
                                <w:rPr>
                                  <w:sz w:val="18"/>
                                </w:rPr>
                              </w:pPr>
                              <w:r>
                                <w:rPr>
                                  <w:color w:val="585858"/>
                                  <w:spacing w:val="-2"/>
                                  <w:sz w:val="18"/>
                                </w:rPr>
                                <w:t>5.00%</w:t>
                              </w:r>
                            </w:p>
                          </w:txbxContent>
                        </wps:txbx>
                        <wps:bodyPr wrap="square" lIns="0" tIns="0" rIns="0" bIns="0" rtlCol="0">
                          <a:noAutofit/>
                        </wps:bodyPr>
                      </wps:wsp>
                      <wps:wsp>
                        <wps:cNvPr id="60" name="Textbox 60"/>
                        <wps:cNvSpPr txBox="1"/>
                        <wps:spPr>
                          <a:xfrm>
                            <a:off x="551496" y="360742"/>
                            <a:ext cx="297815" cy="114300"/>
                          </a:xfrm>
                          <a:prstGeom prst="rect">
                            <a:avLst/>
                          </a:prstGeom>
                        </wps:spPr>
                        <wps:txbx>
                          <w:txbxContent>
                            <w:p>
                              <w:pPr>
                                <w:spacing w:line="180" w:lineRule="exact" w:before="0"/>
                                <w:ind w:left="0" w:right="0" w:firstLine="0"/>
                                <w:jc w:val="left"/>
                                <w:rPr>
                                  <w:sz w:val="18"/>
                                </w:rPr>
                              </w:pPr>
                              <w:r>
                                <w:rPr>
                                  <w:color w:val="404040"/>
                                  <w:spacing w:val="-2"/>
                                  <w:sz w:val="18"/>
                                </w:rPr>
                                <w:t>4.30%</w:t>
                              </w:r>
                            </w:p>
                          </w:txbxContent>
                        </wps:txbx>
                        <wps:bodyPr wrap="square" lIns="0" tIns="0" rIns="0" bIns="0" rtlCol="0">
                          <a:noAutofit/>
                        </wps:bodyPr>
                      </wps:wsp>
                      <wps:wsp>
                        <wps:cNvPr id="61" name="Textbox 61"/>
                        <wps:cNvSpPr txBox="1"/>
                        <wps:spPr>
                          <a:xfrm>
                            <a:off x="3794570" y="302703"/>
                            <a:ext cx="297815" cy="114300"/>
                          </a:xfrm>
                          <a:prstGeom prst="rect">
                            <a:avLst/>
                          </a:prstGeom>
                        </wps:spPr>
                        <wps:txbx>
                          <w:txbxContent>
                            <w:p>
                              <w:pPr>
                                <w:spacing w:line="180" w:lineRule="exact" w:before="0"/>
                                <w:ind w:left="0" w:right="0" w:firstLine="0"/>
                                <w:jc w:val="left"/>
                                <w:rPr>
                                  <w:sz w:val="18"/>
                                </w:rPr>
                              </w:pPr>
                              <w:r>
                                <w:rPr>
                                  <w:color w:val="404040"/>
                                  <w:spacing w:val="-2"/>
                                  <w:sz w:val="18"/>
                                </w:rPr>
                                <w:t>4.50%</w:t>
                              </w:r>
                            </w:p>
                          </w:txbxContent>
                        </wps:txbx>
                        <wps:bodyPr wrap="square" lIns="0" tIns="0" rIns="0" bIns="0" rtlCol="0">
                          <a:noAutofit/>
                        </wps:bodyPr>
                      </wps:wsp>
                      <wps:wsp>
                        <wps:cNvPr id="62" name="Textbox 62"/>
                        <wps:cNvSpPr txBox="1"/>
                        <wps:spPr>
                          <a:xfrm>
                            <a:off x="2714180" y="446086"/>
                            <a:ext cx="297180" cy="114300"/>
                          </a:xfrm>
                          <a:prstGeom prst="rect">
                            <a:avLst/>
                          </a:prstGeom>
                        </wps:spPr>
                        <wps:txbx>
                          <w:txbxContent>
                            <w:p>
                              <w:pPr>
                                <w:spacing w:line="180" w:lineRule="exact" w:before="0"/>
                                <w:ind w:left="0" w:right="0" w:firstLine="0"/>
                                <w:jc w:val="left"/>
                                <w:rPr>
                                  <w:sz w:val="18"/>
                                </w:rPr>
                              </w:pPr>
                              <w:r>
                                <w:rPr>
                                  <w:color w:val="404040"/>
                                  <w:spacing w:val="-2"/>
                                  <w:sz w:val="18"/>
                                </w:rPr>
                                <w:t>4.00%</w:t>
                              </w:r>
                            </w:p>
                          </w:txbxContent>
                        </wps:txbx>
                        <wps:bodyPr wrap="square" lIns="0" tIns="0" rIns="0" bIns="0" rtlCol="0">
                          <a:noAutofit/>
                        </wps:bodyPr>
                      </wps:wsp>
                      <wps:wsp>
                        <wps:cNvPr id="63" name="Textbox 63"/>
                        <wps:cNvSpPr txBox="1"/>
                        <wps:spPr>
                          <a:xfrm>
                            <a:off x="3255072" y="360742"/>
                            <a:ext cx="297815" cy="114300"/>
                          </a:xfrm>
                          <a:prstGeom prst="rect">
                            <a:avLst/>
                          </a:prstGeom>
                        </wps:spPr>
                        <wps:txbx>
                          <w:txbxContent>
                            <w:p>
                              <w:pPr>
                                <w:spacing w:line="180" w:lineRule="exact" w:before="0"/>
                                <w:ind w:left="0" w:right="0" w:firstLine="0"/>
                                <w:jc w:val="left"/>
                                <w:rPr>
                                  <w:sz w:val="18"/>
                                </w:rPr>
                              </w:pPr>
                              <w:r>
                                <w:rPr>
                                  <w:color w:val="404040"/>
                                  <w:spacing w:val="-2"/>
                                  <w:sz w:val="18"/>
                                </w:rPr>
                                <w:t>4.30%</w:t>
                              </w:r>
                            </w:p>
                          </w:txbxContent>
                        </wps:txbx>
                        <wps:bodyPr wrap="square" lIns="0" tIns="0" rIns="0" bIns="0" rtlCol="0">
                          <a:noAutofit/>
                        </wps:bodyPr>
                      </wps:wsp>
                      <wps:wsp>
                        <wps:cNvPr id="64" name="Textbox 64"/>
                        <wps:cNvSpPr txBox="1"/>
                        <wps:spPr>
                          <a:xfrm>
                            <a:off x="33337" y="598486"/>
                            <a:ext cx="297815" cy="114300"/>
                          </a:xfrm>
                          <a:prstGeom prst="rect">
                            <a:avLst/>
                          </a:prstGeom>
                        </wps:spPr>
                        <wps:txbx>
                          <w:txbxContent>
                            <w:p>
                              <w:pPr>
                                <w:spacing w:line="180" w:lineRule="exact" w:before="0"/>
                                <w:ind w:left="0" w:right="0" w:firstLine="0"/>
                                <w:jc w:val="left"/>
                                <w:rPr>
                                  <w:sz w:val="18"/>
                                </w:rPr>
                              </w:pPr>
                              <w:r>
                                <w:rPr>
                                  <w:color w:val="585858"/>
                                  <w:spacing w:val="-2"/>
                                  <w:sz w:val="18"/>
                                </w:rPr>
                                <w:t>4.00%</w:t>
                              </w:r>
                            </w:p>
                          </w:txbxContent>
                        </wps:txbx>
                        <wps:bodyPr wrap="square" lIns="0" tIns="0" rIns="0" bIns="0" rtlCol="0">
                          <a:noAutofit/>
                        </wps:bodyPr>
                      </wps:wsp>
                      <wps:wsp>
                        <wps:cNvPr id="65" name="Textbox 65"/>
                        <wps:cNvSpPr txBox="1"/>
                        <wps:spPr>
                          <a:xfrm>
                            <a:off x="2173034" y="531303"/>
                            <a:ext cx="297815" cy="114300"/>
                          </a:xfrm>
                          <a:prstGeom prst="rect">
                            <a:avLst/>
                          </a:prstGeom>
                        </wps:spPr>
                        <wps:txbx>
                          <w:txbxContent>
                            <w:p>
                              <w:pPr>
                                <w:spacing w:line="180" w:lineRule="exact" w:before="0"/>
                                <w:ind w:left="0" w:right="0" w:firstLine="0"/>
                                <w:jc w:val="left"/>
                                <w:rPr>
                                  <w:sz w:val="18"/>
                                </w:rPr>
                              </w:pPr>
                              <w:r>
                                <w:rPr>
                                  <w:color w:val="404040"/>
                                  <w:spacing w:val="-2"/>
                                  <w:sz w:val="18"/>
                                </w:rPr>
                                <w:t>3.70%</w:t>
                              </w:r>
                            </w:p>
                          </w:txbxContent>
                        </wps:txbx>
                        <wps:bodyPr wrap="square" lIns="0" tIns="0" rIns="0" bIns="0" rtlCol="0">
                          <a:noAutofit/>
                        </wps:bodyPr>
                      </wps:wsp>
                      <wps:wsp>
                        <wps:cNvPr id="66" name="Textbox 66"/>
                        <wps:cNvSpPr txBox="1"/>
                        <wps:spPr>
                          <a:xfrm>
                            <a:off x="33337" y="884873"/>
                            <a:ext cx="297815" cy="972819"/>
                          </a:xfrm>
                          <a:prstGeom prst="rect">
                            <a:avLst/>
                          </a:prstGeom>
                        </wps:spPr>
                        <wps:txbx>
                          <w:txbxContent>
                            <w:p>
                              <w:pPr>
                                <w:spacing w:line="183" w:lineRule="exact" w:before="0"/>
                                <w:ind w:left="0" w:right="0" w:firstLine="0"/>
                                <w:jc w:val="left"/>
                                <w:rPr>
                                  <w:sz w:val="18"/>
                                </w:rPr>
                              </w:pPr>
                              <w:r>
                                <w:rPr>
                                  <w:color w:val="585858"/>
                                  <w:spacing w:val="-2"/>
                                  <w:sz w:val="18"/>
                                </w:rPr>
                                <w:t>3.00%</w:t>
                              </w:r>
                            </w:p>
                            <w:p>
                              <w:pPr>
                                <w:spacing w:line="240" w:lineRule="auto" w:before="11"/>
                                <w:rPr>
                                  <w:sz w:val="18"/>
                                </w:rPr>
                              </w:pPr>
                            </w:p>
                            <w:p>
                              <w:pPr>
                                <w:spacing w:before="1"/>
                                <w:ind w:left="0" w:right="0" w:firstLine="0"/>
                                <w:jc w:val="left"/>
                                <w:rPr>
                                  <w:sz w:val="18"/>
                                </w:rPr>
                              </w:pPr>
                              <w:r>
                                <w:rPr>
                                  <w:color w:val="585858"/>
                                  <w:spacing w:val="-2"/>
                                  <w:sz w:val="18"/>
                                </w:rPr>
                                <w:t>2.00%</w:t>
                              </w:r>
                            </w:p>
                            <w:p>
                              <w:pPr>
                                <w:spacing w:line="240" w:lineRule="auto" w:before="9"/>
                                <w:rPr>
                                  <w:sz w:val="18"/>
                                </w:rPr>
                              </w:pPr>
                            </w:p>
                            <w:p>
                              <w:pPr>
                                <w:spacing w:before="0"/>
                                <w:ind w:left="0" w:right="0" w:firstLine="0"/>
                                <w:jc w:val="left"/>
                                <w:rPr>
                                  <w:sz w:val="18"/>
                                </w:rPr>
                              </w:pPr>
                              <w:r>
                                <w:rPr>
                                  <w:color w:val="585858"/>
                                  <w:spacing w:val="-2"/>
                                  <w:sz w:val="18"/>
                                </w:rPr>
                                <w:t>1.00%</w:t>
                              </w:r>
                            </w:p>
                            <w:p>
                              <w:pPr>
                                <w:spacing w:line="240" w:lineRule="auto" w:before="12"/>
                                <w:rPr>
                                  <w:sz w:val="18"/>
                                </w:rPr>
                              </w:pPr>
                            </w:p>
                            <w:p>
                              <w:pPr>
                                <w:spacing w:line="216" w:lineRule="exact" w:before="0"/>
                                <w:ind w:left="0" w:right="0" w:firstLine="0"/>
                                <w:jc w:val="left"/>
                                <w:rPr>
                                  <w:sz w:val="18"/>
                                </w:rPr>
                              </w:pPr>
                              <w:r>
                                <w:rPr>
                                  <w:color w:val="585858"/>
                                  <w:spacing w:val="-2"/>
                                  <w:sz w:val="18"/>
                                </w:rPr>
                                <w:t>0.00%</w:t>
                              </w:r>
                            </w:p>
                          </w:txbxContent>
                        </wps:txbx>
                        <wps:bodyPr wrap="square" lIns="0" tIns="0" rIns="0" bIns="0" rtlCol="0">
                          <a:noAutofit/>
                        </wps:bodyPr>
                      </wps:wsp>
                      <wps:wsp>
                        <wps:cNvPr id="67" name="Textbox 67"/>
                        <wps:cNvSpPr txBox="1"/>
                        <wps:spPr>
                          <a:xfrm>
                            <a:off x="577405" y="1892236"/>
                            <a:ext cx="245110" cy="114300"/>
                          </a:xfrm>
                          <a:prstGeom prst="rect">
                            <a:avLst/>
                          </a:prstGeom>
                        </wps:spPr>
                        <wps:txbx>
                          <w:txbxContent>
                            <w:p>
                              <w:pPr>
                                <w:spacing w:line="180" w:lineRule="exact" w:before="0"/>
                                <w:ind w:left="0" w:right="0" w:firstLine="0"/>
                                <w:jc w:val="left"/>
                                <w:rPr>
                                  <w:sz w:val="18"/>
                                </w:rPr>
                              </w:pPr>
                              <w:r>
                                <w:rPr>
                                  <w:color w:val="585858"/>
                                  <w:spacing w:val="-4"/>
                                  <w:sz w:val="18"/>
                                </w:rPr>
                                <w:t>2019</w:t>
                              </w:r>
                            </w:p>
                          </w:txbxContent>
                        </wps:txbx>
                        <wps:bodyPr wrap="square" lIns="0" tIns="0" rIns="0" bIns="0" rtlCol="0">
                          <a:noAutofit/>
                        </wps:bodyPr>
                      </wps:wsp>
                      <wps:wsp>
                        <wps:cNvPr id="68" name="Textbox 68"/>
                        <wps:cNvSpPr txBox="1"/>
                        <wps:spPr>
                          <a:xfrm>
                            <a:off x="1118553" y="1892236"/>
                            <a:ext cx="244475" cy="114300"/>
                          </a:xfrm>
                          <a:prstGeom prst="rect">
                            <a:avLst/>
                          </a:prstGeom>
                        </wps:spPr>
                        <wps:txbx>
                          <w:txbxContent>
                            <w:p>
                              <w:pPr>
                                <w:spacing w:line="180" w:lineRule="exact" w:before="0"/>
                                <w:ind w:left="0" w:right="0" w:firstLine="0"/>
                                <w:jc w:val="left"/>
                                <w:rPr>
                                  <w:sz w:val="18"/>
                                </w:rPr>
                              </w:pPr>
                              <w:r>
                                <w:rPr>
                                  <w:color w:val="585858"/>
                                  <w:spacing w:val="-4"/>
                                  <w:sz w:val="18"/>
                                </w:rPr>
                                <w:t>2020</w:t>
                              </w:r>
                            </w:p>
                          </w:txbxContent>
                        </wps:txbx>
                        <wps:bodyPr wrap="square" lIns="0" tIns="0" rIns="0" bIns="0" rtlCol="0">
                          <a:noAutofit/>
                        </wps:bodyPr>
                      </wps:wsp>
                      <wps:wsp>
                        <wps:cNvPr id="69" name="Textbox 69"/>
                        <wps:cNvSpPr txBox="1"/>
                        <wps:spPr>
                          <a:xfrm>
                            <a:off x="1659446" y="1892236"/>
                            <a:ext cx="245110" cy="114300"/>
                          </a:xfrm>
                          <a:prstGeom prst="rect">
                            <a:avLst/>
                          </a:prstGeom>
                        </wps:spPr>
                        <wps:txbx>
                          <w:txbxContent>
                            <w:p>
                              <w:pPr>
                                <w:spacing w:line="180" w:lineRule="exact" w:before="0"/>
                                <w:ind w:left="0" w:right="0" w:firstLine="0"/>
                                <w:jc w:val="left"/>
                                <w:rPr>
                                  <w:sz w:val="18"/>
                                </w:rPr>
                              </w:pPr>
                              <w:r>
                                <w:rPr>
                                  <w:color w:val="585858"/>
                                  <w:spacing w:val="-4"/>
                                  <w:sz w:val="18"/>
                                </w:rPr>
                                <w:t>2021</w:t>
                              </w:r>
                            </w:p>
                          </w:txbxContent>
                        </wps:txbx>
                        <wps:bodyPr wrap="square" lIns="0" tIns="0" rIns="0" bIns="0" rtlCol="0">
                          <a:noAutofit/>
                        </wps:bodyPr>
                      </wps:wsp>
                      <wps:wsp>
                        <wps:cNvPr id="70" name="Textbox 70"/>
                        <wps:cNvSpPr txBox="1"/>
                        <wps:spPr>
                          <a:xfrm>
                            <a:off x="2198940" y="1892236"/>
                            <a:ext cx="245110" cy="114300"/>
                          </a:xfrm>
                          <a:prstGeom prst="rect">
                            <a:avLst/>
                          </a:prstGeom>
                        </wps:spPr>
                        <wps:txbx>
                          <w:txbxContent>
                            <w:p>
                              <w:pPr>
                                <w:spacing w:line="180" w:lineRule="exact" w:before="0"/>
                                <w:ind w:left="0" w:right="0" w:firstLine="0"/>
                                <w:jc w:val="left"/>
                                <w:rPr>
                                  <w:sz w:val="18"/>
                                </w:rPr>
                              </w:pPr>
                              <w:r>
                                <w:rPr>
                                  <w:color w:val="585858"/>
                                  <w:spacing w:val="-4"/>
                                  <w:sz w:val="18"/>
                                </w:rPr>
                                <w:t>2022</w:t>
                              </w:r>
                            </w:p>
                          </w:txbxContent>
                        </wps:txbx>
                        <wps:bodyPr wrap="square" lIns="0" tIns="0" rIns="0" bIns="0" rtlCol="0">
                          <a:noAutofit/>
                        </wps:bodyPr>
                      </wps:wsp>
                      <wps:wsp>
                        <wps:cNvPr id="71" name="Textbox 71"/>
                        <wps:cNvSpPr txBox="1"/>
                        <wps:spPr>
                          <a:xfrm>
                            <a:off x="2740089" y="1892236"/>
                            <a:ext cx="244475" cy="114300"/>
                          </a:xfrm>
                          <a:prstGeom prst="rect">
                            <a:avLst/>
                          </a:prstGeom>
                        </wps:spPr>
                        <wps:txbx>
                          <w:txbxContent>
                            <w:p>
                              <w:pPr>
                                <w:spacing w:line="180" w:lineRule="exact" w:before="0"/>
                                <w:ind w:left="0" w:right="0" w:firstLine="0"/>
                                <w:jc w:val="left"/>
                                <w:rPr>
                                  <w:sz w:val="18"/>
                                </w:rPr>
                              </w:pPr>
                              <w:r>
                                <w:rPr>
                                  <w:color w:val="585858"/>
                                  <w:spacing w:val="-4"/>
                                  <w:sz w:val="18"/>
                                </w:rPr>
                                <w:t>2023</w:t>
                              </w:r>
                            </w:p>
                          </w:txbxContent>
                        </wps:txbx>
                        <wps:bodyPr wrap="square" lIns="0" tIns="0" rIns="0" bIns="0" rtlCol="0">
                          <a:noAutofit/>
                        </wps:bodyPr>
                      </wps:wsp>
                      <wps:wsp>
                        <wps:cNvPr id="72" name="Textbox 72"/>
                        <wps:cNvSpPr txBox="1"/>
                        <wps:spPr>
                          <a:xfrm>
                            <a:off x="3281109" y="1892236"/>
                            <a:ext cx="244475" cy="114300"/>
                          </a:xfrm>
                          <a:prstGeom prst="rect">
                            <a:avLst/>
                          </a:prstGeom>
                        </wps:spPr>
                        <wps:txbx>
                          <w:txbxContent>
                            <w:p>
                              <w:pPr>
                                <w:spacing w:line="180" w:lineRule="exact" w:before="0"/>
                                <w:ind w:left="0" w:right="0" w:firstLine="0"/>
                                <w:jc w:val="left"/>
                                <w:rPr>
                                  <w:sz w:val="18"/>
                                </w:rPr>
                              </w:pPr>
                              <w:r>
                                <w:rPr>
                                  <w:color w:val="585858"/>
                                  <w:spacing w:val="-4"/>
                                  <w:sz w:val="18"/>
                                </w:rPr>
                                <w:t>2024</w:t>
                              </w:r>
                            </w:p>
                          </w:txbxContent>
                        </wps:txbx>
                        <wps:bodyPr wrap="square" lIns="0" tIns="0" rIns="0" bIns="0" rtlCol="0">
                          <a:noAutofit/>
                        </wps:bodyPr>
                      </wps:wsp>
                      <wps:wsp>
                        <wps:cNvPr id="73" name="Textbox 73"/>
                        <wps:cNvSpPr txBox="1"/>
                        <wps:spPr>
                          <a:xfrm>
                            <a:off x="3822001" y="1892236"/>
                            <a:ext cx="245110" cy="114300"/>
                          </a:xfrm>
                          <a:prstGeom prst="rect">
                            <a:avLst/>
                          </a:prstGeom>
                        </wps:spPr>
                        <wps:txbx>
                          <w:txbxContent>
                            <w:p>
                              <w:pPr>
                                <w:spacing w:line="180" w:lineRule="exact" w:before="0"/>
                                <w:ind w:left="0" w:right="0" w:firstLine="0"/>
                                <w:jc w:val="left"/>
                                <w:rPr>
                                  <w:sz w:val="18"/>
                                </w:rPr>
                              </w:pPr>
                              <w:r>
                                <w:rPr>
                                  <w:color w:val="585858"/>
                                  <w:spacing w:val="-4"/>
                                  <w:sz w:val="18"/>
                                </w:rPr>
                                <w:t>2025</w:t>
                              </w:r>
                            </w:p>
                          </w:txbxContent>
                        </wps:txbx>
                        <wps:bodyPr wrap="square" lIns="0" tIns="0" rIns="0" bIns="0" rtlCol="0">
                          <a:noAutofit/>
                        </wps:bodyPr>
                      </wps:wsp>
                    </wpg:wgp>
                  </a:graphicData>
                </a:graphic>
              </wp:anchor>
            </w:drawing>
          </mc:Choice>
          <mc:Fallback>
            <w:pict>
              <v:group style="position:absolute;margin-left:215.404907pt;margin-top:5.310491pt;width:346.45pt;height:185.3pt;mso-position-horizontal-relative:page;mso-position-vertical-relative:paragraph;z-index:-15718912;mso-wrap-distance-left:0;mso-wrap-distance-right:0" id="docshapegroup39" coordorigin="4308,106" coordsize="6929,3706">
                <v:shape style="position:absolute;left:4970;top:223;width:5952;height:2251" id="docshape40" coordorigin="4970,224" coordsize="5952,2251" path="m4970,2475l10922,2475m4970,2026l10922,2026m4970,1577l10922,1577m4970,1126l10922,1126m4970,675l10922,675m4970,224l10922,224e" filled="false" stroked="true" strokeweight=".71pt" strokecolor="#d8d8d8">
                  <v:path arrowok="t"/>
                  <v:stroke dashstyle="solid"/>
                </v:shape>
                <v:line style="position:absolute" from="4970,2926" to="10922,2926" stroked="true" strokeweight=".71pt" strokecolor="#d8d8d8">
                  <v:stroke dashstyle="solid"/>
                </v:line>
                <v:shape style="position:absolute;left:5395;top:540;width:5103;height:720" id="docshape41" coordorigin="5395,541" coordsize="5103,720" path="m5395,989l6245,764,7097,541,7946,1260,8796,1126,9648,989,10497,901e" filled="false" stroked="true" strokeweight="2.2799pt" strokecolor="#145f82">
                  <v:path arrowok="t"/>
                  <v:stroke dashstyle="solid"/>
                </v:shape>
                <v:rect style="position:absolute;left:4315;top:113;width:6915;height:3691" id="docshape42" filled="false" stroked="true" strokeweight=".71pt" strokecolor="#d8d8d8">
                  <v:stroke dashstyle="solid"/>
                </v:rect>
                <v:shape style="position:absolute;left:4360;top:146;width:469;height:180" type="#_x0000_t202" id="docshape43" filled="false" stroked="false">
                  <v:textbox inset="0,0,0,0">
                    <w:txbxContent>
                      <w:p>
                        <w:pPr>
                          <w:spacing w:line="180" w:lineRule="exact" w:before="0"/>
                          <w:ind w:left="0" w:right="0" w:firstLine="0"/>
                          <w:jc w:val="left"/>
                          <w:rPr>
                            <w:sz w:val="18"/>
                          </w:rPr>
                        </w:pPr>
                        <w:r>
                          <w:rPr>
                            <w:color w:val="585858"/>
                            <w:spacing w:val="-2"/>
                            <w:sz w:val="18"/>
                          </w:rPr>
                          <w:t>6.00%</w:t>
                        </w:r>
                      </w:p>
                    </w:txbxContent>
                  </v:textbox>
                  <w10:wrap type="none"/>
                </v:shape>
                <v:shape style="position:absolute;left:6878;top:222;width:469;height:180" type="#_x0000_t202" id="docshape44" filled="false" stroked="false">
                  <v:textbox inset="0,0,0,0">
                    <w:txbxContent>
                      <w:p>
                        <w:pPr>
                          <w:spacing w:line="180" w:lineRule="exact" w:before="0"/>
                          <w:ind w:left="0" w:right="0" w:firstLine="0"/>
                          <w:jc w:val="left"/>
                          <w:rPr>
                            <w:sz w:val="18"/>
                          </w:rPr>
                        </w:pPr>
                        <w:r>
                          <w:rPr>
                            <w:color w:val="404040"/>
                            <w:spacing w:val="-2"/>
                            <w:sz w:val="18"/>
                          </w:rPr>
                          <w:t>5.30%</w:t>
                        </w:r>
                      </w:p>
                    </w:txbxContent>
                  </v:textbox>
                  <w10:wrap type="none"/>
                </v:shape>
                <v:shape style="position:absolute;left:6028;top:448;width:468;height:180" type="#_x0000_t202" id="docshape45" filled="false" stroked="false">
                  <v:textbox inset="0,0,0,0">
                    <w:txbxContent>
                      <w:p>
                        <w:pPr>
                          <w:spacing w:line="180" w:lineRule="exact" w:before="0"/>
                          <w:ind w:left="0" w:right="0" w:firstLine="0"/>
                          <w:jc w:val="left"/>
                          <w:rPr>
                            <w:sz w:val="18"/>
                          </w:rPr>
                        </w:pPr>
                        <w:r>
                          <w:rPr>
                            <w:color w:val="404040"/>
                            <w:spacing w:val="-2"/>
                            <w:sz w:val="18"/>
                          </w:rPr>
                          <w:t>4.80%</w:t>
                        </w:r>
                      </w:p>
                    </w:txbxContent>
                  </v:textbox>
                  <w10:wrap type="none"/>
                </v:shape>
                <v:shape style="position:absolute;left:4360;top:597;width:469;height:180" type="#_x0000_t202" id="docshape46" filled="false" stroked="false">
                  <v:textbox inset="0,0,0,0">
                    <w:txbxContent>
                      <w:p>
                        <w:pPr>
                          <w:spacing w:line="180" w:lineRule="exact" w:before="0"/>
                          <w:ind w:left="0" w:right="0" w:firstLine="0"/>
                          <w:jc w:val="left"/>
                          <w:rPr>
                            <w:sz w:val="18"/>
                          </w:rPr>
                        </w:pPr>
                        <w:r>
                          <w:rPr>
                            <w:color w:val="585858"/>
                            <w:spacing w:val="-2"/>
                            <w:sz w:val="18"/>
                          </w:rPr>
                          <w:t>5.00%</w:t>
                        </w:r>
                      </w:p>
                    </w:txbxContent>
                  </v:textbox>
                  <w10:wrap type="none"/>
                </v:shape>
                <v:shape style="position:absolute;left:5176;top:674;width:469;height:180" type="#_x0000_t202" id="docshape47" filled="false" stroked="false">
                  <v:textbox inset="0,0,0,0">
                    <w:txbxContent>
                      <w:p>
                        <w:pPr>
                          <w:spacing w:line="180" w:lineRule="exact" w:before="0"/>
                          <w:ind w:left="0" w:right="0" w:firstLine="0"/>
                          <w:jc w:val="left"/>
                          <w:rPr>
                            <w:sz w:val="18"/>
                          </w:rPr>
                        </w:pPr>
                        <w:r>
                          <w:rPr>
                            <w:color w:val="404040"/>
                            <w:spacing w:val="-2"/>
                            <w:sz w:val="18"/>
                          </w:rPr>
                          <w:t>4.30%</w:t>
                        </w:r>
                      </w:p>
                    </w:txbxContent>
                  </v:textbox>
                  <w10:wrap type="none"/>
                </v:shape>
                <v:shape style="position:absolute;left:10283;top:582;width:469;height:180" type="#_x0000_t202" id="docshape48" filled="false" stroked="false">
                  <v:textbox inset="0,0,0,0">
                    <w:txbxContent>
                      <w:p>
                        <w:pPr>
                          <w:spacing w:line="180" w:lineRule="exact" w:before="0"/>
                          <w:ind w:left="0" w:right="0" w:firstLine="0"/>
                          <w:jc w:val="left"/>
                          <w:rPr>
                            <w:sz w:val="18"/>
                          </w:rPr>
                        </w:pPr>
                        <w:r>
                          <w:rPr>
                            <w:color w:val="404040"/>
                            <w:spacing w:val="-2"/>
                            <w:sz w:val="18"/>
                          </w:rPr>
                          <w:t>4.50%</w:t>
                        </w:r>
                      </w:p>
                    </w:txbxContent>
                  </v:textbox>
                  <w10:wrap type="none"/>
                </v:shape>
                <v:shape style="position:absolute;left:8582;top:808;width:468;height:180" type="#_x0000_t202" id="docshape49" filled="false" stroked="false">
                  <v:textbox inset="0,0,0,0">
                    <w:txbxContent>
                      <w:p>
                        <w:pPr>
                          <w:spacing w:line="180" w:lineRule="exact" w:before="0"/>
                          <w:ind w:left="0" w:right="0" w:firstLine="0"/>
                          <w:jc w:val="left"/>
                          <w:rPr>
                            <w:sz w:val="18"/>
                          </w:rPr>
                        </w:pPr>
                        <w:r>
                          <w:rPr>
                            <w:color w:val="404040"/>
                            <w:spacing w:val="-2"/>
                            <w:sz w:val="18"/>
                          </w:rPr>
                          <w:t>4.00%</w:t>
                        </w:r>
                      </w:p>
                    </w:txbxContent>
                  </v:textbox>
                  <w10:wrap type="none"/>
                </v:shape>
                <v:shape style="position:absolute;left:9434;top:674;width:469;height:180" type="#_x0000_t202" id="docshape50" filled="false" stroked="false">
                  <v:textbox inset="0,0,0,0">
                    <w:txbxContent>
                      <w:p>
                        <w:pPr>
                          <w:spacing w:line="180" w:lineRule="exact" w:before="0"/>
                          <w:ind w:left="0" w:right="0" w:firstLine="0"/>
                          <w:jc w:val="left"/>
                          <w:rPr>
                            <w:sz w:val="18"/>
                          </w:rPr>
                        </w:pPr>
                        <w:r>
                          <w:rPr>
                            <w:color w:val="404040"/>
                            <w:spacing w:val="-2"/>
                            <w:sz w:val="18"/>
                          </w:rPr>
                          <w:t>4.30%</w:t>
                        </w:r>
                      </w:p>
                    </w:txbxContent>
                  </v:textbox>
                  <w10:wrap type="none"/>
                </v:shape>
                <v:shape style="position:absolute;left:4360;top:1048;width:469;height:180" type="#_x0000_t202" id="docshape51" filled="false" stroked="false">
                  <v:textbox inset="0,0,0,0">
                    <w:txbxContent>
                      <w:p>
                        <w:pPr>
                          <w:spacing w:line="180" w:lineRule="exact" w:before="0"/>
                          <w:ind w:left="0" w:right="0" w:firstLine="0"/>
                          <w:jc w:val="left"/>
                          <w:rPr>
                            <w:sz w:val="18"/>
                          </w:rPr>
                        </w:pPr>
                        <w:r>
                          <w:rPr>
                            <w:color w:val="585858"/>
                            <w:spacing w:val="-2"/>
                            <w:sz w:val="18"/>
                          </w:rPr>
                          <w:t>4.00%</w:t>
                        </w:r>
                      </w:p>
                    </w:txbxContent>
                  </v:textbox>
                  <w10:wrap type="none"/>
                </v:shape>
                <v:shape style="position:absolute;left:7730;top:942;width:469;height:180" type="#_x0000_t202" id="docshape52" filled="false" stroked="false">
                  <v:textbox inset="0,0,0,0">
                    <w:txbxContent>
                      <w:p>
                        <w:pPr>
                          <w:spacing w:line="180" w:lineRule="exact" w:before="0"/>
                          <w:ind w:left="0" w:right="0" w:firstLine="0"/>
                          <w:jc w:val="left"/>
                          <w:rPr>
                            <w:sz w:val="18"/>
                          </w:rPr>
                        </w:pPr>
                        <w:r>
                          <w:rPr>
                            <w:color w:val="404040"/>
                            <w:spacing w:val="-2"/>
                            <w:sz w:val="18"/>
                          </w:rPr>
                          <w:t>3.70%</w:t>
                        </w:r>
                      </w:p>
                    </w:txbxContent>
                  </v:textbox>
                  <w10:wrap type="none"/>
                </v:shape>
                <v:shape style="position:absolute;left:4360;top:1499;width:469;height:1532" type="#_x0000_t202" id="docshape53" filled="false" stroked="false">
                  <v:textbox inset="0,0,0,0">
                    <w:txbxContent>
                      <w:p>
                        <w:pPr>
                          <w:spacing w:line="183" w:lineRule="exact" w:before="0"/>
                          <w:ind w:left="0" w:right="0" w:firstLine="0"/>
                          <w:jc w:val="left"/>
                          <w:rPr>
                            <w:sz w:val="18"/>
                          </w:rPr>
                        </w:pPr>
                        <w:r>
                          <w:rPr>
                            <w:color w:val="585858"/>
                            <w:spacing w:val="-2"/>
                            <w:sz w:val="18"/>
                          </w:rPr>
                          <w:t>3.00%</w:t>
                        </w:r>
                      </w:p>
                      <w:p>
                        <w:pPr>
                          <w:spacing w:line="240" w:lineRule="auto" w:before="11"/>
                          <w:rPr>
                            <w:sz w:val="18"/>
                          </w:rPr>
                        </w:pPr>
                      </w:p>
                      <w:p>
                        <w:pPr>
                          <w:spacing w:before="1"/>
                          <w:ind w:left="0" w:right="0" w:firstLine="0"/>
                          <w:jc w:val="left"/>
                          <w:rPr>
                            <w:sz w:val="18"/>
                          </w:rPr>
                        </w:pPr>
                        <w:r>
                          <w:rPr>
                            <w:color w:val="585858"/>
                            <w:spacing w:val="-2"/>
                            <w:sz w:val="18"/>
                          </w:rPr>
                          <w:t>2.00%</w:t>
                        </w:r>
                      </w:p>
                      <w:p>
                        <w:pPr>
                          <w:spacing w:line="240" w:lineRule="auto" w:before="9"/>
                          <w:rPr>
                            <w:sz w:val="18"/>
                          </w:rPr>
                        </w:pPr>
                      </w:p>
                      <w:p>
                        <w:pPr>
                          <w:spacing w:before="0"/>
                          <w:ind w:left="0" w:right="0" w:firstLine="0"/>
                          <w:jc w:val="left"/>
                          <w:rPr>
                            <w:sz w:val="18"/>
                          </w:rPr>
                        </w:pPr>
                        <w:r>
                          <w:rPr>
                            <w:color w:val="585858"/>
                            <w:spacing w:val="-2"/>
                            <w:sz w:val="18"/>
                          </w:rPr>
                          <w:t>1.00%</w:t>
                        </w:r>
                      </w:p>
                      <w:p>
                        <w:pPr>
                          <w:spacing w:line="240" w:lineRule="auto" w:before="12"/>
                          <w:rPr>
                            <w:sz w:val="18"/>
                          </w:rPr>
                        </w:pPr>
                      </w:p>
                      <w:p>
                        <w:pPr>
                          <w:spacing w:line="216" w:lineRule="exact" w:before="0"/>
                          <w:ind w:left="0" w:right="0" w:firstLine="0"/>
                          <w:jc w:val="left"/>
                          <w:rPr>
                            <w:sz w:val="18"/>
                          </w:rPr>
                        </w:pPr>
                        <w:r>
                          <w:rPr>
                            <w:color w:val="585858"/>
                            <w:spacing w:val="-2"/>
                            <w:sz w:val="18"/>
                          </w:rPr>
                          <w:t>0.00%</w:t>
                        </w:r>
                      </w:p>
                    </w:txbxContent>
                  </v:textbox>
                  <w10:wrap type="none"/>
                </v:shape>
                <v:shape style="position:absolute;left:5217;top:3086;width:386;height:180" type="#_x0000_t202" id="docshape54" filled="false" stroked="false">
                  <v:textbox inset="0,0,0,0">
                    <w:txbxContent>
                      <w:p>
                        <w:pPr>
                          <w:spacing w:line="180" w:lineRule="exact" w:before="0"/>
                          <w:ind w:left="0" w:right="0" w:firstLine="0"/>
                          <w:jc w:val="left"/>
                          <w:rPr>
                            <w:sz w:val="18"/>
                          </w:rPr>
                        </w:pPr>
                        <w:r>
                          <w:rPr>
                            <w:color w:val="585858"/>
                            <w:spacing w:val="-4"/>
                            <w:sz w:val="18"/>
                          </w:rPr>
                          <w:t>2019</w:t>
                        </w:r>
                      </w:p>
                    </w:txbxContent>
                  </v:textbox>
                  <w10:wrap type="none"/>
                </v:shape>
                <v:shape style="position:absolute;left:6069;top:3086;width:385;height:180" type="#_x0000_t202" id="docshape55" filled="false" stroked="false">
                  <v:textbox inset="0,0,0,0">
                    <w:txbxContent>
                      <w:p>
                        <w:pPr>
                          <w:spacing w:line="180" w:lineRule="exact" w:before="0"/>
                          <w:ind w:left="0" w:right="0" w:firstLine="0"/>
                          <w:jc w:val="left"/>
                          <w:rPr>
                            <w:sz w:val="18"/>
                          </w:rPr>
                        </w:pPr>
                        <w:r>
                          <w:rPr>
                            <w:color w:val="585858"/>
                            <w:spacing w:val="-4"/>
                            <w:sz w:val="18"/>
                          </w:rPr>
                          <w:t>2020</w:t>
                        </w:r>
                      </w:p>
                    </w:txbxContent>
                  </v:textbox>
                  <w10:wrap type="none"/>
                </v:shape>
                <v:shape style="position:absolute;left:6921;top:3086;width:386;height:180" type="#_x0000_t202" id="docshape56" filled="false" stroked="false">
                  <v:textbox inset="0,0,0,0">
                    <w:txbxContent>
                      <w:p>
                        <w:pPr>
                          <w:spacing w:line="180" w:lineRule="exact" w:before="0"/>
                          <w:ind w:left="0" w:right="0" w:firstLine="0"/>
                          <w:jc w:val="left"/>
                          <w:rPr>
                            <w:sz w:val="18"/>
                          </w:rPr>
                        </w:pPr>
                        <w:r>
                          <w:rPr>
                            <w:color w:val="585858"/>
                            <w:spacing w:val="-4"/>
                            <w:sz w:val="18"/>
                          </w:rPr>
                          <w:t>2021</w:t>
                        </w:r>
                      </w:p>
                    </w:txbxContent>
                  </v:textbox>
                  <w10:wrap type="none"/>
                </v:shape>
                <v:shape style="position:absolute;left:7771;top:3086;width:386;height:180" type="#_x0000_t202" id="docshape57" filled="false" stroked="false">
                  <v:textbox inset="0,0,0,0">
                    <w:txbxContent>
                      <w:p>
                        <w:pPr>
                          <w:spacing w:line="180" w:lineRule="exact" w:before="0"/>
                          <w:ind w:left="0" w:right="0" w:firstLine="0"/>
                          <w:jc w:val="left"/>
                          <w:rPr>
                            <w:sz w:val="18"/>
                          </w:rPr>
                        </w:pPr>
                        <w:r>
                          <w:rPr>
                            <w:color w:val="585858"/>
                            <w:spacing w:val="-4"/>
                            <w:sz w:val="18"/>
                          </w:rPr>
                          <w:t>2022</w:t>
                        </w:r>
                      </w:p>
                    </w:txbxContent>
                  </v:textbox>
                  <w10:wrap type="none"/>
                </v:shape>
                <v:shape style="position:absolute;left:8623;top:3086;width:385;height:180" type="#_x0000_t202" id="docshape58" filled="false" stroked="false">
                  <v:textbox inset="0,0,0,0">
                    <w:txbxContent>
                      <w:p>
                        <w:pPr>
                          <w:spacing w:line="180" w:lineRule="exact" w:before="0"/>
                          <w:ind w:left="0" w:right="0" w:firstLine="0"/>
                          <w:jc w:val="left"/>
                          <w:rPr>
                            <w:sz w:val="18"/>
                          </w:rPr>
                        </w:pPr>
                        <w:r>
                          <w:rPr>
                            <w:color w:val="585858"/>
                            <w:spacing w:val="-4"/>
                            <w:sz w:val="18"/>
                          </w:rPr>
                          <w:t>2023</w:t>
                        </w:r>
                      </w:p>
                    </w:txbxContent>
                  </v:textbox>
                  <w10:wrap type="none"/>
                </v:shape>
                <v:shape style="position:absolute;left:9475;top:3086;width:385;height:180" type="#_x0000_t202" id="docshape59" filled="false" stroked="false">
                  <v:textbox inset="0,0,0,0">
                    <w:txbxContent>
                      <w:p>
                        <w:pPr>
                          <w:spacing w:line="180" w:lineRule="exact" w:before="0"/>
                          <w:ind w:left="0" w:right="0" w:firstLine="0"/>
                          <w:jc w:val="left"/>
                          <w:rPr>
                            <w:sz w:val="18"/>
                          </w:rPr>
                        </w:pPr>
                        <w:r>
                          <w:rPr>
                            <w:color w:val="585858"/>
                            <w:spacing w:val="-4"/>
                            <w:sz w:val="18"/>
                          </w:rPr>
                          <w:t>2024</w:t>
                        </w:r>
                      </w:p>
                    </w:txbxContent>
                  </v:textbox>
                  <w10:wrap type="none"/>
                </v:shape>
                <v:shape style="position:absolute;left:10327;top:3086;width:386;height:180" type="#_x0000_t202" id="docshape60" filled="false" stroked="false">
                  <v:textbox inset="0,0,0,0">
                    <w:txbxContent>
                      <w:p>
                        <w:pPr>
                          <w:spacing w:line="180" w:lineRule="exact" w:before="0"/>
                          <w:ind w:left="0" w:right="0" w:firstLine="0"/>
                          <w:jc w:val="left"/>
                          <w:rPr>
                            <w:sz w:val="18"/>
                          </w:rPr>
                        </w:pPr>
                        <w:r>
                          <w:rPr>
                            <w:color w:val="585858"/>
                            <w:spacing w:val="-4"/>
                            <w:sz w:val="18"/>
                          </w:rPr>
                          <w:t>2025</w:t>
                        </w:r>
                      </w:p>
                    </w:txbxContent>
                  </v:textbox>
                  <w10:wrap type="none"/>
                </v:shape>
                <w10:wrap type="topAndBottom"/>
              </v:group>
            </w:pict>
          </mc:Fallback>
        </mc:AlternateContent>
      </w:r>
    </w:p>
    <w:p>
      <w:pPr>
        <w:spacing w:before="81"/>
        <w:ind w:left="286" w:right="0" w:firstLine="0"/>
        <w:jc w:val="left"/>
        <w:rPr>
          <w:i/>
          <w:sz w:val="18"/>
        </w:rPr>
      </w:pPr>
      <w:r>
        <w:rPr>
          <w:i/>
          <w:color w:val="0D2841"/>
          <w:sz w:val="18"/>
        </w:rPr>
        <w:t>Source:</w:t>
      </w:r>
      <w:r>
        <w:rPr>
          <w:i/>
          <w:color w:val="0D2841"/>
          <w:spacing w:val="-3"/>
          <w:sz w:val="18"/>
        </w:rPr>
        <w:t> </w:t>
      </w:r>
      <w:r>
        <w:rPr>
          <w:i/>
          <w:color w:val="0D2841"/>
          <w:sz w:val="18"/>
        </w:rPr>
        <w:t>Bureau</w:t>
      </w:r>
      <w:r>
        <w:rPr>
          <w:i/>
          <w:color w:val="0D2841"/>
          <w:spacing w:val="-1"/>
          <w:sz w:val="18"/>
        </w:rPr>
        <w:t> </w:t>
      </w:r>
      <w:r>
        <w:rPr>
          <w:i/>
          <w:color w:val="0D2841"/>
          <w:sz w:val="18"/>
        </w:rPr>
        <w:t>of</w:t>
      </w:r>
      <w:r>
        <w:rPr>
          <w:i/>
          <w:color w:val="0D2841"/>
          <w:spacing w:val="-2"/>
          <w:sz w:val="18"/>
        </w:rPr>
        <w:t> </w:t>
      </w:r>
      <w:r>
        <w:rPr>
          <w:i/>
          <w:color w:val="0D2841"/>
          <w:sz w:val="18"/>
        </w:rPr>
        <w:t>Labor</w:t>
      </w:r>
      <w:r>
        <w:rPr>
          <w:i/>
          <w:color w:val="0D2841"/>
          <w:spacing w:val="-2"/>
          <w:sz w:val="18"/>
        </w:rPr>
        <w:t> Stafisfics</w:t>
      </w:r>
    </w:p>
    <w:p>
      <w:pPr>
        <w:spacing w:after="0"/>
        <w:jc w:val="left"/>
        <w:rPr>
          <w:i/>
          <w:sz w:val="18"/>
        </w:rPr>
        <w:sectPr>
          <w:type w:val="continuous"/>
          <w:pgSz w:w="12240" w:h="15840"/>
          <w:pgMar w:header="161" w:footer="1223" w:top="1360" w:bottom="1420" w:left="0" w:right="0"/>
          <w:cols w:num="2" w:equalWidth="0">
            <w:col w:w="3994" w:space="40"/>
            <w:col w:w="8206"/>
          </w:cols>
        </w:sectPr>
      </w:pPr>
    </w:p>
    <w:p>
      <w:pPr>
        <w:pStyle w:val="BodyText"/>
        <w:spacing w:before="51"/>
        <w:ind w:left="0"/>
        <w:rPr>
          <w:i/>
        </w:rPr>
      </w:pPr>
    </w:p>
    <w:p>
      <w:pPr>
        <w:pStyle w:val="BodyText"/>
        <w:spacing w:line="259" w:lineRule="auto"/>
        <w:ind w:right="1479"/>
        <w:jc w:val="both"/>
      </w:pPr>
      <w:r>
        <w:rPr/>
        <w:t>2023</w:t>
      </w:r>
      <w:r>
        <w:rPr>
          <w:spacing w:val="-3"/>
        </w:rPr>
        <w:t> </w:t>
      </w:r>
      <w:r>
        <w:rPr/>
        <w:t>U.S</w:t>
      </w:r>
      <w:r>
        <w:rPr>
          <w:spacing w:val="-4"/>
        </w:rPr>
        <w:t> </w:t>
      </w:r>
      <w:r>
        <w:rPr/>
        <w:t>Census</w:t>
      </w:r>
      <w:r>
        <w:rPr>
          <w:spacing w:val="-4"/>
        </w:rPr>
        <w:t> </w:t>
      </w:r>
      <w:r>
        <w:rPr/>
        <w:t>data</w:t>
      </w:r>
      <w:r>
        <w:rPr>
          <w:spacing w:val="-6"/>
        </w:rPr>
        <w:t> </w:t>
      </w:r>
      <w:r>
        <w:rPr/>
        <w:t>indicate</w:t>
      </w:r>
      <w:r>
        <w:rPr>
          <w:spacing w:val="-3"/>
        </w:rPr>
        <w:t> </w:t>
      </w:r>
      <w:r>
        <w:rPr/>
        <w:t>that</w:t>
      </w:r>
      <w:r>
        <w:rPr>
          <w:spacing w:val="-6"/>
        </w:rPr>
        <w:t> </w:t>
      </w:r>
      <w:r>
        <w:rPr/>
        <w:t>the</w:t>
      </w:r>
      <w:r>
        <w:rPr>
          <w:spacing w:val="-6"/>
        </w:rPr>
        <w:t> </w:t>
      </w:r>
      <w:r>
        <w:rPr/>
        <w:t>median</w:t>
      </w:r>
      <w:r>
        <w:rPr>
          <w:spacing w:val="-5"/>
        </w:rPr>
        <w:t> </w:t>
      </w:r>
      <w:r>
        <w:rPr/>
        <w:t>household</w:t>
      </w:r>
      <w:r>
        <w:rPr>
          <w:spacing w:val="-5"/>
        </w:rPr>
        <w:t> </w:t>
      </w:r>
      <w:r>
        <w:rPr/>
        <w:t>income</w:t>
      </w:r>
      <w:r>
        <w:rPr>
          <w:spacing w:val="-3"/>
        </w:rPr>
        <w:t> </w:t>
      </w:r>
      <w:r>
        <w:rPr/>
        <w:t>in</w:t>
      </w:r>
      <w:r>
        <w:rPr>
          <w:spacing w:val="-7"/>
        </w:rPr>
        <w:t> </w:t>
      </w:r>
      <w:r>
        <w:rPr/>
        <w:t>Yates</w:t>
      </w:r>
      <w:r>
        <w:rPr>
          <w:spacing w:val="-3"/>
        </w:rPr>
        <w:t> </w:t>
      </w:r>
      <w:r>
        <w:rPr/>
        <w:t>County</w:t>
      </w:r>
      <w:r>
        <w:rPr>
          <w:spacing w:val="-3"/>
        </w:rPr>
        <w:t> </w:t>
      </w:r>
      <w:r>
        <w:rPr/>
        <w:t>is</w:t>
      </w:r>
      <w:r>
        <w:rPr>
          <w:spacing w:val="-6"/>
        </w:rPr>
        <w:t> </w:t>
      </w:r>
      <w:r>
        <w:rPr/>
        <w:t>$67,521,</w:t>
      </w:r>
      <w:r>
        <w:rPr>
          <w:spacing w:val="-3"/>
        </w:rPr>
        <w:t> </w:t>
      </w:r>
      <w:r>
        <w:rPr/>
        <w:t>lower</w:t>
      </w:r>
      <w:r>
        <w:rPr>
          <w:spacing w:val="-4"/>
        </w:rPr>
        <w:t> </w:t>
      </w:r>
      <w:r>
        <w:rPr/>
        <w:t>than the</w:t>
      </w:r>
      <w:r>
        <w:rPr>
          <w:spacing w:val="-3"/>
        </w:rPr>
        <w:t> </w:t>
      </w:r>
      <w:r>
        <w:rPr/>
        <w:t>state</w:t>
      </w:r>
      <w:r>
        <w:rPr>
          <w:spacing w:val="-6"/>
        </w:rPr>
        <w:t> </w:t>
      </w:r>
      <w:r>
        <w:rPr/>
        <w:t>median</w:t>
      </w:r>
      <w:r>
        <w:rPr>
          <w:spacing w:val="-7"/>
        </w:rPr>
        <w:t> </w:t>
      </w:r>
      <w:r>
        <w:rPr/>
        <w:t>of</w:t>
      </w:r>
      <w:r>
        <w:rPr>
          <w:spacing w:val="-6"/>
        </w:rPr>
        <w:t> </w:t>
      </w:r>
      <w:r>
        <w:rPr/>
        <w:t>$85,820.</w:t>
      </w:r>
      <w:r>
        <w:rPr>
          <w:spacing w:val="-4"/>
        </w:rPr>
        <w:t> </w:t>
      </w:r>
      <w:r>
        <w:rPr/>
        <w:t>The</w:t>
      </w:r>
      <w:r>
        <w:rPr>
          <w:spacing w:val="-3"/>
        </w:rPr>
        <w:t> </w:t>
      </w:r>
      <w:r>
        <w:rPr/>
        <w:t>gross</w:t>
      </w:r>
      <w:r>
        <w:rPr>
          <w:spacing w:val="-3"/>
        </w:rPr>
        <w:t> </w:t>
      </w:r>
      <w:r>
        <w:rPr/>
        <w:t>hourly</w:t>
      </w:r>
      <w:r>
        <w:rPr>
          <w:spacing w:val="-5"/>
        </w:rPr>
        <w:t> </w:t>
      </w:r>
      <w:r>
        <w:rPr/>
        <w:t>wage</w:t>
      </w:r>
      <w:r>
        <w:rPr>
          <w:spacing w:val="-3"/>
        </w:rPr>
        <w:t> </w:t>
      </w:r>
      <w:r>
        <w:rPr/>
        <w:t>needed</w:t>
      </w:r>
      <w:r>
        <w:rPr>
          <w:spacing w:val="-5"/>
        </w:rPr>
        <w:t> </w:t>
      </w:r>
      <w:r>
        <w:rPr/>
        <w:t>for</w:t>
      </w:r>
      <w:r>
        <w:rPr>
          <w:spacing w:val="-4"/>
        </w:rPr>
        <w:t> </w:t>
      </w:r>
      <w:r>
        <w:rPr/>
        <w:t>a</w:t>
      </w:r>
      <w:r>
        <w:rPr>
          <w:spacing w:val="-4"/>
        </w:rPr>
        <w:t> </w:t>
      </w:r>
      <w:r>
        <w:rPr/>
        <w:t>family</w:t>
      </w:r>
      <w:r>
        <w:rPr>
          <w:spacing w:val="-6"/>
        </w:rPr>
        <w:t> </w:t>
      </w:r>
      <w:r>
        <w:rPr/>
        <w:t>of</w:t>
      </w:r>
      <w:r>
        <w:rPr>
          <w:spacing w:val="-6"/>
        </w:rPr>
        <w:t> </w:t>
      </w:r>
      <w:r>
        <w:rPr/>
        <w:t>one</w:t>
      </w:r>
      <w:r>
        <w:rPr>
          <w:spacing w:val="-3"/>
        </w:rPr>
        <w:t> </w:t>
      </w:r>
      <w:r>
        <w:rPr/>
        <w:t>adult</w:t>
      </w:r>
      <w:r>
        <w:rPr>
          <w:spacing w:val="-3"/>
        </w:rPr>
        <w:t> </w:t>
      </w:r>
      <w:r>
        <w:rPr/>
        <w:t>and</w:t>
      </w:r>
      <w:r>
        <w:rPr>
          <w:spacing w:val="-4"/>
        </w:rPr>
        <w:t> </w:t>
      </w:r>
      <w:r>
        <w:rPr/>
        <w:t>two</w:t>
      </w:r>
      <w:r>
        <w:rPr>
          <w:spacing w:val="-2"/>
        </w:rPr>
        <w:t> </w:t>
      </w:r>
      <w:r>
        <w:rPr/>
        <w:t>children</w:t>
      </w:r>
      <w:r>
        <w:rPr>
          <w:spacing w:val="-7"/>
        </w:rPr>
        <w:t> </w:t>
      </w:r>
      <w:r>
        <w:rPr/>
        <w:t>to cover household expenses gradually increased from $38.36 in 2021 to $51.14 in 2024. This ﬁgure</w:t>
      </w:r>
    </w:p>
    <w:p>
      <w:pPr>
        <w:pStyle w:val="BodyText"/>
        <w:spacing w:after="0" w:line="259" w:lineRule="auto"/>
        <w:jc w:val="both"/>
        <w:sectPr>
          <w:type w:val="continuous"/>
          <w:pgSz w:w="12240" w:h="15840"/>
          <w:pgMar w:header="161" w:footer="1223" w:top="1360" w:bottom="1420" w:left="0" w:right="0"/>
        </w:sectPr>
      </w:pPr>
    </w:p>
    <w:p>
      <w:pPr>
        <w:pStyle w:val="BodyText"/>
        <w:spacing w:before="64"/>
      </w:pPr>
      <w:r>
        <w:rPr/>
        <w:t>remains</w:t>
      </w:r>
      <w:r>
        <w:rPr>
          <w:spacing w:val="-8"/>
        </w:rPr>
        <w:t> </w:t>
      </w:r>
      <w:r>
        <w:rPr/>
        <w:t>lower</w:t>
      </w:r>
      <w:r>
        <w:rPr>
          <w:spacing w:val="-7"/>
        </w:rPr>
        <w:t> </w:t>
      </w:r>
      <w:r>
        <w:rPr/>
        <w:t>than</w:t>
      </w:r>
      <w:r>
        <w:rPr>
          <w:spacing w:val="-5"/>
        </w:rPr>
        <w:t> </w:t>
      </w:r>
      <w:r>
        <w:rPr/>
        <w:t>the</w:t>
      </w:r>
      <w:r>
        <w:rPr>
          <w:spacing w:val="-3"/>
        </w:rPr>
        <w:t> </w:t>
      </w:r>
      <w:r>
        <w:rPr/>
        <w:t>2024</w:t>
      </w:r>
      <w:r>
        <w:rPr>
          <w:spacing w:val="-5"/>
        </w:rPr>
        <w:t> </w:t>
      </w:r>
      <w:r>
        <w:rPr/>
        <w:t>state</w:t>
      </w:r>
      <w:r>
        <w:rPr>
          <w:spacing w:val="-5"/>
        </w:rPr>
        <w:t> </w:t>
      </w:r>
      <w:r>
        <w:rPr/>
        <w:t>value</w:t>
      </w:r>
      <w:r>
        <w:rPr>
          <w:spacing w:val="-4"/>
        </w:rPr>
        <w:t> </w:t>
      </w:r>
      <w:r>
        <w:rPr/>
        <w:t>of</w:t>
      </w:r>
      <w:r>
        <w:rPr>
          <w:spacing w:val="-6"/>
        </w:rPr>
        <w:t> </w:t>
      </w:r>
      <w:r>
        <w:rPr/>
        <w:t>$61.75</w:t>
      </w:r>
      <w:r>
        <w:rPr>
          <w:spacing w:val="-3"/>
        </w:rPr>
        <w:t> </w:t>
      </w:r>
      <w:r>
        <w:rPr/>
        <w:t>but</w:t>
      </w:r>
      <w:r>
        <w:rPr>
          <w:spacing w:val="-4"/>
        </w:rPr>
        <w:t> </w:t>
      </w:r>
      <w:r>
        <w:rPr/>
        <w:t>higher</w:t>
      </w:r>
      <w:r>
        <w:rPr>
          <w:spacing w:val="-4"/>
        </w:rPr>
        <w:t> </w:t>
      </w:r>
      <w:r>
        <w:rPr/>
        <w:t>than</w:t>
      </w:r>
      <w:r>
        <w:rPr>
          <w:spacing w:val="-4"/>
        </w:rPr>
        <w:t> </w:t>
      </w:r>
      <w:r>
        <w:rPr/>
        <w:t>those</w:t>
      </w:r>
      <w:r>
        <w:rPr>
          <w:spacing w:val="-5"/>
        </w:rPr>
        <w:t> </w:t>
      </w:r>
      <w:r>
        <w:rPr/>
        <w:t>of</w:t>
      </w:r>
      <w:r>
        <w:rPr>
          <w:spacing w:val="-6"/>
        </w:rPr>
        <w:t> </w:t>
      </w:r>
      <w:r>
        <w:rPr/>
        <w:t>neighboring</w:t>
      </w:r>
      <w:r>
        <w:rPr>
          <w:spacing w:val="-3"/>
        </w:rPr>
        <w:t> </w:t>
      </w:r>
      <w:r>
        <w:rPr>
          <w:spacing w:val="-2"/>
        </w:rPr>
        <w:t>counfies,</w:t>
      </w:r>
    </w:p>
    <w:p>
      <w:pPr>
        <w:pStyle w:val="BodyText"/>
        <w:spacing w:before="22"/>
      </w:pPr>
      <w:r>
        <w:rPr/>
        <w:t>Seneca,</w:t>
      </w:r>
      <w:r>
        <w:rPr>
          <w:spacing w:val="-5"/>
        </w:rPr>
        <w:t> </w:t>
      </w:r>
      <w:r>
        <w:rPr/>
        <w:t>Steuben,</w:t>
      </w:r>
      <w:r>
        <w:rPr>
          <w:spacing w:val="-5"/>
        </w:rPr>
        <w:t> </w:t>
      </w:r>
      <w:r>
        <w:rPr/>
        <w:t>and</w:t>
      </w:r>
      <w:r>
        <w:rPr>
          <w:spacing w:val="-6"/>
        </w:rPr>
        <w:t> </w:t>
      </w:r>
      <w:r>
        <w:rPr>
          <w:spacing w:val="-2"/>
        </w:rPr>
        <w:t>Schuyler.</w:t>
      </w:r>
    </w:p>
    <w:p>
      <w:pPr>
        <w:pStyle w:val="Heading3"/>
        <w:spacing w:before="180"/>
      </w:pPr>
      <w:r>
        <w:rPr/>
        <w:t>Priority: Nutrifion </w:t>
      </w:r>
      <w:r>
        <w:rPr>
          <w:spacing w:val="-2"/>
        </w:rPr>
        <w:t>Security</w:t>
      </w:r>
    </w:p>
    <w:p>
      <w:pPr>
        <w:pStyle w:val="BodyText"/>
        <w:spacing w:line="259" w:lineRule="auto" w:before="185"/>
        <w:ind w:right="1467"/>
      </w:pPr>
      <w:r>
        <w:rPr/>
        <w:t>It</w:t>
      </w:r>
      <w:r>
        <w:rPr>
          <w:spacing w:val="-4"/>
        </w:rPr>
        <w:t> </w:t>
      </w:r>
      <w:r>
        <w:rPr/>
        <w:t>is</w:t>
      </w:r>
      <w:r>
        <w:rPr>
          <w:spacing w:val="-5"/>
        </w:rPr>
        <w:t> </w:t>
      </w:r>
      <w:r>
        <w:rPr/>
        <w:t>important</w:t>
      </w:r>
      <w:r>
        <w:rPr>
          <w:spacing w:val="-4"/>
        </w:rPr>
        <w:t> </w:t>
      </w:r>
      <w:r>
        <w:rPr/>
        <w:t>to</w:t>
      </w:r>
      <w:r>
        <w:rPr>
          <w:spacing w:val="-3"/>
        </w:rPr>
        <w:t> </w:t>
      </w:r>
      <w:r>
        <w:rPr/>
        <w:t>note</w:t>
      </w:r>
      <w:r>
        <w:rPr>
          <w:spacing w:val="-6"/>
        </w:rPr>
        <w:t> </w:t>
      </w:r>
      <w:r>
        <w:rPr/>
        <w:t>the</w:t>
      </w:r>
      <w:r>
        <w:rPr>
          <w:spacing w:val="-6"/>
        </w:rPr>
        <w:t> </w:t>
      </w:r>
      <w:r>
        <w:rPr/>
        <w:t>deﬁnifional</w:t>
      </w:r>
      <w:r>
        <w:rPr>
          <w:spacing w:val="-5"/>
        </w:rPr>
        <w:t> </w:t>
      </w:r>
      <w:r>
        <w:rPr/>
        <w:t>diﬀerence</w:t>
      </w:r>
      <w:r>
        <w:rPr>
          <w:spacing w:val="-4"/>
        </w:rPr>
        <w:t> </w:t>
      </w:r>
      <w:r>
        <w:rPr/>
        <w:t>between</w:t>
      </w:r>
      <w:r>
        <w:rPr>
          <w:spacing w:val="-5"/>
        </w:rPr>
        <w:t> </w:t>
      </w:r>
      <w:r>
        <w:rPr/>
        <w:t>nutrifion</w:t>
      </w:r>
      <w:r>
        <w:rPr>
          <w:spacing w:val="-5"/>
        </w:rPr>
        <w:t> </w:t>
      </w:r>
      <w:r>
        <w:rPr/>
        <w:t>and</w:t>
      </w:r>
      <w:r>
        <w:rPr>
          <w:spacing w:val="-5"/>
        </w:rPr>
        <w:t> </w:t>
      </w:r>
      <w:r>
        <w:rPr/>
        <w:t>food</w:t>
      </w:r>
      <w:r>
        <w:rPr>
          <w:spacing w:val="-5"/>
        </w:rPr>
        <w:t> </w:t>
      </w:r>
      <w:r>
        <w:rPr/>
        <w:t>security</w:t>
      </w:r>
      <w:r>
        <w:rPr>
          <w:spacing w:val="-4"/>
        </w:rPr>
        <w:t> </w:t>
      </w:r>
      <w:r>
        <w:rPr/>
        <w:t>for</w:t>
      </w:r>
      <w:r>
        <w:rPr>
          <w:spacing w:val="-5"/>
        </w:rPr>
        <w:t> </w:t>
      </w:r>
      <w:r>
        <w:rPr/>
        <w:t>data</w:t>
      </w:r>
      <w:r>
        <w:rPr>
          <w:spacing w:val="-6"/>
        </w:rPr>
        <w:t> </w:t>
      </w:r>
      <w:r>
        <w:rPr/>
        <w:t>relevance. The New York State Prevenfion Agenda deﬁnes food security as having access to enough food. When a person reports they are food insecure, they recognize they have limited</w:t>
      </w:r>
      <w:r>
        <w:rPr>
          <w:spacing w:val="-1"/>
        </w:rPr>
        <w:t> </w:t>
      </w:r>
      <w:r>
        <w:rPr/>
        <w:t>or uncertain access to food due to</w:t>
      </w:r>
      <w:r>
        <w:rPr>
          <w:spacing w:val="-4"/>
        </w:rPr>
        <w:t> </w:t>
      </w:r>
      <w:r>
        <w:rPr/>
        <w:t>limited</w:t>
      </w:r>
      <w:r>
        <w:rPr>
          <w:spacing w:val="-8"/>
        </w:rPr>
        <w:t> </w:t>
      </w:r>
      <w:r>
        <w:rPr/>
        <w:t>economic</w:t>
      </w:r>
      <w:r>
        <w:rPr>
          <w:spacing w:val="-7"/>
        </w:rPr>
        <w:t> </w:t>
      </w:r>
      <w:r>
        <w:rPr/>
        <w:t>resources.</w:t>
      </w:r>
      <w:r>
        <w:rPr>
          <w:spacing w:val="-8"/>
        </w:rPr>
        <w:t> </w:t>
      </w:r>
      <w:r>
        <w:rPr/>
        <w:t>Map</w:t>
      </w:r>
      <w:r>
        <w:rPr>
          <w:spacing w:val="-6"/>
        </w:rPr>
        <w:t> </w:t>
      </w:r>
      <w:r>
        <w:rPr/>
        <w:t>Y3</w:t>
      </w:r>
      <w:r>
        <w:rPr>
          <w:spacing w:val="-4"/>
        </w:rPr>
        <w:t> </w:t>
      </w:r>
      <w:r>
        <w:rPr/>
        <w:t>shows</w:t>
      </w:r>
      <w:r>
        <w:rPr>
          <w:spacing w:val="-7"/>
        </w:rPr>
        <w:t> </w:t>
      </w:r>
      <w:r>
        <w:rPr/>
        <w:t>the</w:t>
      </w:r>
      <w:r>
        <w:rPr>
          <w:spacing w:val="-4"/>
        </w:rPr>
        <w:t> </w:t>
      </w:r>
      <w:r>
        <w:rPr/>
        <w:t>food</w:t>
      </w:r>
      <w:r>
        <w:rPr>
          <w:spacing w:val="-5"/>
        </w:rPr>
        <w:t> </w:t>
      </w:r>
      <w:r>
        <w:rPr/>
        <w:t>insecurity</w:t>
      </w:r>
      <w:r>
        <w:rPr>
          <w:spacing w:val="-6"/>
        </w:rPr>
        <w:t> </w:t>
      </w:r>
      <w:r>
        <w:rPr/>
        <w:t>rates</w:t>
      </w:r>
      <w:r>
        <w:rPr>
          <w:spacing w:val="-7"/>
        </w:rPr>
        <w:t> </w:t>
      </w:r>
      <w:r>
        <w:rPr/>
        <w:t>of</w:t>
      </w:r>
      <w:r>
        <w:rPr>
          <w:spacing w:val="-7"/>
        </w:rPr>
        <w:t> </w:t>
      </w:r>
      <w:r>
        <w:rPr/>
        <w:t>Yates</w:t>
      </w:r>
      <w:r>
        <w:rPr>
          <w:spacing w:val="-5"/>
        </w:rPr>
        <w:t> </w:t>
      </w:r>
      <w:r>
        <w:rPr/>
        <w:t>and</w:t>
      </w:r>
      <w:r>
        <w:rPr>
          <w:spacing w:val="-5"/>
        </w:rPr>
        <w:t> </w:t>
      </w:r>
      <w:r>
        <w:rPr/>
        <w:t>configuous</w:t>
      </w:r>
      <w:r>
        <w:rPr>
          <w:spacing w:val="-5"/>
        </w:rPr>
        <w:t> </w:t>
      </w:r>
      <w:r>
        <w:rPr/>
        <w:t>counfies. On the other hand, nutrifion security looks not only at food access, but also at consistent and equitable access</w:t>
      </w:r>
      <w:r>
        <w:rPr>
          <w:spacing w:val="-1"/>
        </w:rPr>
        <w:t> </w:t>
      </w:r>
      <w:r>
        <w:rPr/>
        <w:t>to healthy, safe, aﬀordable food. New York State has transifioned to focus</w:t>
      </w:r>
      <w:r>
        <w:rPr>
          <w:spacing w:val="-1"/>
        </w:rPr>
        <w:t> </w:t>
      </w:r>
      <w:r>
        <w:rPr/>
        <w:t>on nutrifion insecurity data, but food insecurity data remains relevant to ensure equitable access of food</w:t>
      </w:r>
      <w:r>
        <w:rPr>
          <w:spacing w:val="-1"/>
        </w:rPr>
        <w:t> </w:t>
      </w:r>
      <w:r>
        <w:rPr/>
        <w:t>exists across all parts of the state.</w:t>
      </w:r>
    </w:p>
    <w:p>
      <w:pPr>
        <w:pStyle w:val="BodyText"/>
        <w:spacing w:line="259" w:lineRule="auto" w:before="156"/>
        <w:ind w:right="1450"/>
      </w:pPr>
      <w:r>
        <w:rPr/>
        <w:t>Nutrifion and food insecurity can lead to higher rates of chronic disease, poor child development, and overall diminished health and well-being. When families lack consistent access to aﬀordable and nutrifious</w:t>
      </w:r>
      <w:r>
        <w:rPr>
          <w:spacing w:val="-4"/>
        </w:rPr>
        <w:t> </w:t>
      </w:r>
      <w:r>
        <w:rPr/>
        <w:t>food</w:t>
      </w:r>
      <w:r>
        <w:rPr>
          <w:spacing w:val="-5"/>
        </w:rPr>
        <w:t> </w:t>
      </w:r>
      <w:r>
        <w:rPr/>
        <w:t>as</w:t>
      </w:r>
      <w:r>
        <w:rPr>
          <w:spacing w:val="-6"/>
        </w:rPr>
        <w:t> </w:t>
      </w:r>
      <w:r>
        <w:rPr/>
        <w:t>well</w:t>
      </w:r>
      <w:r>
        <w:rPr>
          <w:spacing w:val="-6"/>
        </w:rPr>
        <w:t> </w:t>
      </w:r>
      <w:r>
        <w:rPr/>
        <w:t>as</w:t>
      </w:r>
      <w:r>
        <w:rPr>
          <w:spacing w:val="-4"/>
        </w:rPr>
        <w:t> </w:t>
      </w:r>
      <w:r>
        <w:rPr/>
        <w:t>community</w:t>
      </w:r>
      <w:r>
        <w:rPr>
          <w:spacing w:val="-3"/>
        </w:rPr>
        <w:t> </w:t>
      </w:r>
      <w:r>
        <w:rPr/>
        <w:t>systems,</w:t>
      </w:r>
      <w:r>
        <w:rPr>
          <w:spacing w:val="-4"/>
        </w:rPr>
        <w:t> </w:t>
      </w:r>
      <w:r>
        <w:rPr/>
        <w:t>such</w:t>
      </w:r>
      <w:r>
        <w:rPr>
          <w:spacing w:val="-7"/>
        </w:rPr>
        <w:t> </w:t>
      </w:r>
      <w:r>
        <w:rPr/>
        <w:t>as</w:t>
      </w:r>
      <w:r>
        <w:rPr>
          <w:spacing w:val="-6"/>
        </w:rPr>
        <w:t> </w:t>
      </w:r>
      <w:r>
        <w:rPr/>
        <w:t>healthcare</w:t>
      </w:r>
      <w:r>
        <w:rPr>
          <w:spacing w:val="-5"/>
        </w:rPr>
        <w:t> </w:t>
      </w:r>
      <w:r>
        <w:rPr/>
        <w:t>and</w:t>
      </w:r>
      <w:r>
        <w:rPr>
          <w:spacing w:val="-4"/>
        </w:rPr>
        <w:t> </w:t>
      </w:r>
      <w:r>
        <w:rPr/>
        <w:t>schools,</w:t>
      </w:r>
      <w:r>
        <w:rPr>
          <w:spacing w:val="-6"/>
        </w:rPr>
        <w:t> </w:t>
      </w:r>
      <w:r>
        <w:rPr/>
        <w:t>they</w:t>
      </w:r>
      <w:r>
        <w:rPr>
          <w:spacing w:val="-5"/>
        </w:rPr>
        <w:t> </w:t>
      </w:r>
      <w:r>
        <w:rPr/>
        <w:t>may</w:t>
      </w:r>
      <w:r>
        <w:rPr>
          <w:spacing w:val="-3"/>
        </w:rPr>
        <w:t> </w:t>
      </w:r>
      <w:r>
        <w:rPr/>
        <w:t>feel</w:t>
      </w:r>
      <w:r>
        <w:rPr>
          <w:spacing w:val="-6"/>
        </w:rPr>
        <w:t> </w:t>
      </w:r>
      <w:r>
        <w:rPr/>
        <w:t>the</w:t>
      </w:r>
      <w:r>
        <w:rPr>
          <w:spacing w:val="-3"/>
        </w:rPr>
        <w:t> </w:t>
      </w:r>
      <w:r>
        <w:rPr/>
        <w:t>strain</w:t>
      </w:r>
      <w:r>
        <w:rPr>
          <w:spacing w:val="-4"/>
        </w:rPr>
        <w:t> </w:t>
      </w:r>
      <w:r>
        <w:rPr/>
        <w:t>of long-term inequifies, resulfing in poorer health outcomes.</w:t>
      </w:r>
    </w:p>
    <w:p>
      <w:pPr>
        <w:pStyle w:val="BodyText"/>
        <w:spacing w:after="0" w:line="259" w:lineRule="auto"/>
        <w:sectPr>
          <w:pgSz w:w="12240" w:h="15840"/>
          <w:pgMar w:header="161" w:footer="1223" w:top="1360" w:bottom="1420" w:left="0" w:right="0"/>
        </w:sectPr>
      </w:pPr>
    </w:p>
    <w:p>
      <w:pPr>
        <w:pStyle w:val="BodyText"/>
        <w:spacing w:before="11"/>
        <w:ind w:left="0"/>
      </w:pPr>
    </w:p>
    <w:p>
      <w:pPr>
        <w:pStyle w:val="BodyText"/>
      </w:pPr>
      <w:r>
        <w:rPr/>
        <w:t>Approximately one in four adults (24.9%) in New York State experience food insecurity. Having</w:t>
      </w:r>
      <w:r>
        <w:rPr>
          <w:spacing w:val="-10"/>
        </w:rPr>
        <w:t> </w:t>
      </w:r>
      <w:r>
        <w:rPr/>
        <w:t>access</w:t>
      </w:r>
      <w:r>
        <w:rPr>
          <w:spacing w:val="-12"/>
        </w:rPr>
        <w:t> </w:t>
      </w:r>
      <w:r>
        <w:rPr/>
        <w:t>to</w:t>
      </w:r>
      <w:r>
        <w:rPr>
          <w:spacing w:val="-11"/>
        </w:rPr>
        <w:t> </w:t>
      </w:r>
      <w:r>
        <w:rPr/>
        <w:t>aﬀordable,</w:t>
      </w:r>
      <w:r>
        <w:rPr>
          <w:spacing w:val="-10"/>
        </w:rPr>
        <w:t> </w:t>
      </w:r>
      <w:r>
        <w:rPr/>
        <w:t>healthy</w:t>
      </w:r>
      <w:r>
        <w:rPr>
          <w:spacing w:val="-9"/>
        </w:rPr>
        <w:t> </w:t>
      </w:r>
      <w:r>
        <w:rPr/>
        <w:t>food</w:t>
      </w:r>
      <w:r>
        <w:rPr>
          <w:spacing w:val="-10"/>
        </w:rPr>
        <w:t> </w:t>
      </w:r>
      <w:r>
        <w:rPr/>
        <w:t>helps reduce hunger and prevent chronic disease.</w:t>
      </w:r>
    </w:p>
    <w:p>
      <w:pPr>
        <w:pStyle w:val="BodyText"/>
      </w:pPr>
      <w:r>
        <w:rPr/>
        <w:t>Food and nutrifion security rates may be inﬂuenced</w:t>
      </w:r>
      <w:r>
        <w:rPr>
          <w:spacing w:val="-12"/>
        </w:rPr>
        <w:t> </w:t>
      </w:r>
      <w:r>
        <w:rPr/>
        <w:t>by</w:t>
      </w:r>
      <w:r>
        <w:rPr>
          <w:spacing w:val="-12"/>
        </w:rPr>
        <w:t> </w:t>
      </w:r>
      <w:r>
        <w:rPr/>
        <w:t>several</w:t>
      </w:r>
      <w:r>
        <w:rPr>
          <w:spacing w:val="-11"/>
        </w:rPr>
        <w:t> </w:t>
      </w:r>
      <w:r>
        <w:rPr/>
        <w:t>factors,</w:t>
      </w:r>
      <w:r>
        <w:rPr>
          <w:spacing w:val="-11"/>
        </w:rPr>
        <w:t> </w:t>
      </w:r>
      <w:r>
        <w:rPr/>
        <w:t>including</w:t>
      </w:r>
      <w:r>
        <w:rPr>
          <w:spacing w:val="-11"/>
        </w:rPr>
        <w:t> </w:t>
      </w:r>
      <w:r>
        <w:rPr/>
        <w:t>income, employment, race/ethnicity, and disability</w:t>
      </w:r>
      <w:hyperlink w:history="true" w:anchor="_bookmark4">
        <w:r>
          <w:rPr/>
          <w:t>.</w:t>
        </w:r>
        <w:r>
          <w:rPr>
            <w:vertAlign w:val="superscript"/>
          </w:rPr>
          <w:t>36</w:t>
        </w:r>
      </w:hyperlink>
      <w:r>
        <w:rPr>
          <w:vertAlign w:val="baseline"/>
        </w:rPr>
        <w:t> Areas with higher poverty rates (Dundee, Himrod, and Dresden) will likely face greater challenges in accessing healthy, safe, and aﬀordable food.</w:t>
      </w:r>
    </w:p>
    <w:p>
      <w:pPr>
        <w:pStyle w:val="BodyText"/>
        <w:spacing w:before="10"/>
        <w:ind w:left="0"/>
      </w:pPr>
    </w:p>
    <w:p>
      <w:pPr>
        <w:pStyle w:val="BodyText"/>
      </w:pPr>
      <w:r>
        <w:rPr/>
        <w:t>Addifionally, children are disproporfionately impacted by food insecurity. Feeding America closely monitors annual food insecurity and food</w:t>
      </w:r>
      <w:r>
        <w:rPr>
          <w:spacing w:val="-13"/>
        </w:rPr>
        <w:t> </w:t>
      </w:r>
      <w:r>
        <w:rPr/>
        <w:t>costs</w:t>
      </w:r>
      <w:r>
        <w:rPr>
          <w:spacing w:val="-12"/>
        </w:rPr>
        <w:t> </w:t>
      </w:r>
      <w:r>
        <w:rPr/>
        <w:t>using</w:t>
      </w:r>
      <w:r>
        <w:rPr>
          <w:spacing w:val="-13"/>
        </w:rPr>
        <w:t> </w:t>
      </w:r>
      <w:r>
        <w:rPr/>
        <w:t>real-fime</w:t>
      </w:r>
      <w:r>
        <w:rPr>
          <w:spacing w:val="-12"/>
        </w:rPr>
        <w:t> </w:t>
      </w:r>
      <w:r>
        <w:rPr/>
        <w:t>data.</w:t>
      </w:r>
      <w:r>
        <w:rPr>
          <w:spacing w:val="-12"/>
        </w:rPr>
        <w:t> </w:t>
      </w:r>
      <w:r>
        <w:rPr/>
        <w:t>In</w:t>
      </w:r>
      <w:r>
        <w:rPr>
          <w:spacing w:val="-13"/>
        </w:rPr>
        <w:t> </w:t>
      </w:r>
      <w:r>
        <w:rPr/>
        <w:t>Yates</w:t>
      </w:r>
      <w:r>
        <w:rPr>
          <w:spacing w:val="-12"/>
        </w:rPr>
        <w:t> </w:t>
      </w:r>
      <w:r>
        <w:rPr/>
        <w:t>County, approximately 950 children are food-insecure,</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72"/>
        <w:ind w:left="0"/>
        <w:rPr>
          <w:sz w:val="20"/>
        </w:rPr>
      </w:pPr>
      <w:r>
        <w:rPr>
          <w:sz w:val="20"/>
        </w:rPr>
        <mc:AlternateContent>
          <mc:Choice Requires="wps">
            <w:drawing>
              <wp:anchor distT="0" distB="0" distL="0" distR="0" allowOverlap="1" layoutInCell="1" locked="0" behindDoc="1" simplePos="0" relativeHeight="487598080">
                <wp:simplePos x="0" y="0"/>
                <wp:positionH relativeFrom="page">
                  <wp:posOffset>914400</wp:posOffset>
                </wp:positionH>
                <wp:positionV relativeFrom="paragraph">
                  <wp:posOffset>216193</wp:posOffset>
                </wp:positionV>
                <wp:extent cx="1828800" cy="9525"/>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023125pt;width:144pt;height:.71pt;mso-position-horizontal-relative:page;mso-position-vertical-relative:paragraph;z-index:-15718400;mso-wrap-distance-left:0;mso-wrap-distance-right:0" id="docshape61" filled="true" fillcolor="#000000" stroked="false">
                <v:fill type="solid"/>
                <w10:wrap type="topAndBottom"/>
              </v:rect>
            </w:pict>
          </mc:Fallback>
        </mc:AlternateContent>
      </w:r>
    </w:p>
    <w:p>
      <w:pPr>
        <w:spacing w:before="102"/>
        <w:ind w:left="1440" w:right="0" w:firstLine="0"/>
        <w:jc w:val="left"/>
        <w:rPr>
          <w:sz w:val="20"/>
        </w:rPr>
      </w:pPr>
      <w:r>
        <w:rPr>
          <w:sz w:val="20"/>
          <w:vertAlign w:val="superscript"/>
        </w:rPr>
        <w:t>36</w:t>
      </w:r>
      <w:r>
        <w:rPr>
          <w:spacing w:val="-9"/>
          <w:sz w:val="20"/>
          <w:vertAlign w:val="baseline"/>
        </w:rPr>
        <w:t> </w:t>
      </w:r>
      <w:bookmarkStart w:name="_bookmark4" w:id="5"/>
      <w:bookmarkEnd w:id="5"/>
      <w:r>
        <w:rPr>
          <w:sz w:val="20"/>
          <w:vertAlign w:val="baseline"/>
        </w:rPr>
        <w:t>S</w:t>
      </w:r>
      <w:r>
        <w:rPr>
          <w:sz w:val="20"/>
          <w:vertAlign w:val="baseline"/>
        </w:rPr>
        <w:t>ource:</w:t>
      </w:r>
      <w:r>
        <w:rPr>
          <w:spacing w:val="-9"/>
          <w:sz w:val="20"/>
          <w:vertAlign w:val="baseline"/>
        </w:rPr>
        <w:t> </w:t>
      </w:r>
      <w:r>
        <w:rPr>
          <w:sz w:val="20"/>
          <w:vertAlign w:val="baseline"/>
        </w:rPr>
        <w:t>Healthy</w:t>
      </w:r>
      <w:r>
        <w:rPr>
          <w:spacing w:val="-7"/>
          <w:sz w:val="20"/>
          <w:vertAlign w:val="baseline"/>
        </w:rPr>
        <w:t> </w:t>
      </w:r>
      <w:r>
        <w:rPr>
          <w:sz w:val="20"/>
          <w:vertAlign w:val="baseline"/>
        </w:rPr>
        <w:t>People</w:t>
      </w:r>
      <w:r>
        <w:rPr>
          <w:spacing w:val="-9"/>
          <w:sz w:val="20"/>
          <w:vertAlign w:val="baseline"/>
        </w:rPr>
        <w:t> </w:t>
      </w:r>
      <w:r>
        <w:rPr>
          <w:sz w:val="20"/>
          <w:vertAlign w:val="baseline"/>
        </w:rPr>
        <w:t>2030,</w:t>
      </w:r>
      <w:r>
        <w:rPr>
          <w:spacing w:val="-7"/>
          <w:sz w:val="20"/>
          <w:vertAlign w:val="baseline"/>
        </w:rPr>
        <w:t> </w:t>
      </w:r>
      <w:r>
        <w:rPr>
          <w:spacing w:val="-4"/>
          <w:sz w:val="20"/>
          <w:vertAlign w:val="baseline"/>
        </w:rPr>
        <w:t>2025</w:t>
      </w:r>
    </w:p>
    <w:p>
      <w:pPr>
        <w:spacing w:before="145"/>
        <w:ind w:left="144" w:right="0" w:firstLine="0"/>
        <w:jc w:val="left"/>
        <w:rPr>
          <w:i/>
          <w:sz w:val="18"/>
        </w:rPr>
      </w:pPr>
      <w:r>
        <w:rPr/>
        <w:br w:type="column"/>
      </w:r>
      <w:r>
        <w:rPr>
          <w:i/>
          <w:color w:val="0D2841"/>
          <w:sz w:val="18"/>
        </w:rPr>
        <w:t>Map</w:t>
      </w:r>
      <w:r>
        <w:rPr>
          <w:i/>
          <w:color w:val="0D2841"/>
          <w:spacing w:val="-5"/>
          <w:sz w:val="18"/>
        </w:rPr>
        <w:t> </w:t>
      </w:r>
      <w:r>
        <w:rPr>
          <w:i/>
          <w:color w:val="0D2841"/>
          <w:sz w:val="18"/>
        </w:rPr>
        <w:t>Y3:</w:t>
      </w:r>
      <w:r>
        <w:rPr>
          <w:i/>
          <w:color w:val="0D2841"/>
          <w:spacing w:val="-3"/>
          <w:sz w:val="18"/>
        </w:rPr>
        <w:t> </w:t>
      </w:r>
      <w:r>
        <w:rPr>
          <w:i/>
          <w:color w:val="0D2841"/>
          <w:sz w:val="18"/>
        </w:rPr>
        <w:t>Food</w:t>
      </w:r>
      <w:r>
        <w:rPr>
          <w:i/>
          <w:color w:val="0D2841"/>
          <w:spacing w:val="-2"/>
          <w:sz w:val="18"/>
        </w:rPr>
        <w:t> </w:t>
      </w:r>
      <w:r>
        <w:rPr>
          <w:i/>
          <w:color w:val="0D2841"/>
          <w:sz w:val="18"/>
        </w:rPr>
        <w:t>Insecurity</w:t>
      </w:r>
      <w:r>
        <w:rPr>
          <w:i/>
          <w:color w:val="0D2841"/>
          <w:spacing w:val="-2"/>
          <w:sz w:val="18"/>
        </w:rPr>
        <w:t> </w:t>
      </w:r>
      <w:r>
        <w:rPr>
          <w:i/>
          <w:color w:val="0D2841"/>
          <w:spacing w:val="-4"/>
          <w:sz w:val="18"/>
        </w:rPr>
        <w:t>Rate</w:t>
      </w:r>
    </w:p>
    <w:p>
      <w:pPr>
        <w:pStyle w:val="BodyText"/>
        <w:spacing w:before="8"/>
        <w:ind w:left="0"/>
        <w:rPr>
          <w:i/>
          <w:sz w:val="15"/>
        </w:rPr>
      </w:pPr>
      <w:r>
        <w:rPr>
          <w:i/>
          <w:sz w:val="15"/>
        </w:rPr>
        <w:drawing>
          <wp:anchor distT="0" distB="0" distL="0" distR="0" allowOverlap="1" layoutInCell="1" locked="0" behindDoc="1" simplePos="0" relativeHeight="487598592">
            <wp:simplePos x="0" y="0"/>
            <wp:positionH relativeFrom="page">
              <wp:posOffset>3730762</wp:posOffset>
            </wp:positionH>
            <wp:positionV relativeFrom="paragraph">
              <wp:posOffset>137113</wp:posOffset>
            </wp:positionV>
            <wp:extent cx="3741297" cy="2949702"/>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22" cstate="print"/>
                    <a:stretch>
                      <a:fillRect/>
                    </a:stretch>
                  </pic:blipFill>
                  <pic:spPr>
                    <a:xfrm>
                      <a:off x="0" y="0"/>
                      <a:ext cx="3741297" cy="2949702"/>
                    </a:xfrm>
                    <a:prstGeom prst="rect">
                      <a:avLst/>
                    </a:prstGeom>
                  </pic:spPr>
                </pic:pic>
              </a:graphicData>
            </a:graphic>
          </wp:anchor>
        </w:drawing>
      </w:r>
      <w:r>
        <w:rPr>
          <w:i/>
          <w:sz w:val="15"/>
        </w:rPr>
        <w:drawing>
          <wp:anchor distT="0" distB="0" distL="0" distR="0" allowOverlap="1" layoutInCell="1" locked="0" behindDoc="1" simplePos="0" relativeHeight="487599104">
            <wp:simplePos x="0" y="0"/>
            <wp:positionH relativeFrom="page">
              <wp:posOffset>3799303</wp:posOffset>
            </wp:positionH>
            <wp:positionV relativeFrom="paragraph">
              <wp:posOffset>3145527</wp:posOffset>
            </wp:positionV>
            <wp:extent cx="3803110" cy="408431"/>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23" cstate="print"/>
                    <a:stretch>
                      <a:fillRect/>
                    </a:stretch>
                  </pic:blipFill>
                  <pic:spPr>
                    <a:xfrm>
                      <a:off x="0" y="0"/>
                      <a:ext cx="3803110" cy="408431"/>
                    </a:xfrm>
                    <a:prstGeom prst="rect">
                      <a:avLst/>
                    </a:prstGeom>
                  </pic:spPr>
                </pic:pic>
              </a:graphicData>
            </a:graphic>
          </wp:anchor>
        </w:drawing>
      </w:r>
    </w:p>
    <w:p>
      <w:pPr>
        <w:pStyle w:val="BodyText"/>
        <w:spacing w:before="7"/>
        <w:ind w:left="0"/>
        <w:rPr>
          <w:i/>
          <w:sz w:val="5"/>
        </w:rPr>
      </w:pPr>
    </w:p>
    <w:p>
      <w:pPr>
        <w:pStyle w:val="BodyText"/>
        <w:spacing w:after="0"/>
        <w:rPr>
          <w:i/>
          <w:sz w:val="5"/>
        </w:rPr>
        <w:sectPr>
          <w:type w:val="continuous"/>
          <w:pgSz w:w="12240" w:h="15840"/>
          <w:pgMar w:header="161" w:footer="1223" w:top="1360" w:bottom="1420" w:left="0" w:right="0"/>
          <w:cols w:num="2" w:equalWidth="0">
            <w:col w:w="5696" w:space="40"/>
            <w:col w:w="6504"/>
          </w:cols>
        </w:sectPr>
      </w:pPr>
    </w:p>
    <w:p>
      <w:pPr>
        <w:pStyle w:val="BodyText"/>
        <w:spacing w:before="64"/>
        <w:ind w:right="1467"/>
      </w:pPr>
      <w:r>
        <w:rPr/>
        <w:t>and</w:t>
      </w:r>
      <w:r>
        <w:rPr>
          <w:spacing w:val="-6"/>
        </w:rPr>
        <w:t> </w:t>
      </w:r>
      <w:r>
        <w:rPr/>
        <w:t>the</w:t>
      </w:r>
      <w:r>
        <w:rPr>
          <w:spacing w:val="-8"/>
        </w:rPr>
        <w:t> </w:t>
      </w:r>
      <w:r>
        <w:rPr/>
        <w:t>overall</w:t>
      </w:r>
      <w:r>
        <w:rPr>
          <w:spacing w:val="-6"/>
        </w:rPr>
        <w:t> </w:t>
      </w:r>
      <w:r>
        <w:rPr/>
        <w:t>food</w:t>
      </w:r>
      <w:r>
        <w:rPr>
          <w:spacing w:val="-7"/>
        </w:rPr>
        <w:t> </w:t>
      </w:r>
      <w:r>
        <w:rPr/>
        <w:t>insecurity</w:t>
      </w:r>
      <w:r>
        <w:rPr>
          <w:spacing w:val="-5"/>
        </w:rPr>
        <w:t> </w:t>
      </w:r>
      <w:r>
        <w:rPr/>
        <w:t>rate</w:t>
      </w:r>
      <w:r>
        <w:rPr>
          <w:spacing w:val="-5"/>
        </w:rPr>
        <w:t> </w:t>
      </w:r>
      <w:r>
        <w:rPr/>
        <w:t>for</w:t>
      </w:r>
      <w:r>
        <w:rPr>
          <w:spacing w:val="-6"/>
        </w:rPr>
        <w:t> </w:t>
      </w:r>
      <w:r>
        <w:rPr/>
        <w:t>children</w:t>
      </w:r>
      <w:r>
        <w:rPr>
          <w:spacing w:val="-6"/>
        </w:rPr>
        <w:t> </w:t>
      </w:r>
      <w:r>
        <w:rPr/>
        <w:t>is</w:t>
      </w:r>
      <w:r>
        <w:rPr>
          <w:spacing w:val="-8"/>
        </w:rPr>
        <w:t> </w:t>
      </w:r>
      <w:r>
        <w:rPr/>
        <w:t>16.9%,</w:t>
      </w:r>
      <w:r>
        <w:rPr>
          <w:spacing w:val="-6"/>
        </w:rPr>
        <w:t> </w:t>
      </w:r>
      <w:r>
        <w:rPr/>
        <w:t>which</w:t>
      </w:r>
      <w:r>
        <w:rPr>
          <w:spacing w:val="-6"/>
        </w:rPr>
        <w:t> </w:t>
      </w:r>
      <w:r>
        <w:rPr/>
        <w:t>is</w:t>
      </w:r>
      <w:r>
        <w:rPr>
          <w:spacing w:val="-5"/>
        </w:rPr>
        <w:t> </w:t>
      </w:r>
      <w:r>
        <w:rPr/>
        <w:t>lower</w:t>
      </w:r>
      <w:r>
        <w:rPr>
          <w:spacing w:val="-6"/>
        </w:rPr>
        <w:t> </w:t>
      </w:r>
      <w:r>
        <w:rPr/>
        <w:t>than</w:t>
      </w:r>
      <w:r>
        <w:rPr>
          <w:spacing w:val="-6"/>
        </w:rPr>
        <w:t> </w:t>
      </w:r>
      <w:r>
        <w:rPr/>
        <w:t>the</w:t>
      </w:r>
      <w:r>
        <w:rPr>
          <w:spacing w:val="-8"/>
        </w:rPr>
        <w:t> </w:t>
      </w:r>
      <w:r>
        <w:rPr/>
        <w:t>New</w:t>
      </w:r>
      <w:r>
        <w:rPr>
          <w:spacing w:val="-7"/>
        </w:rPr>
        <w:t> </w:t>
      </w:r>
      <w:r>
        <w:rPr/>
        <w:t>York</w:t>
      </w:r>
      <w:r>
        <w:rPr>
          <w:spacing w:val="-5"/>
        </w:rPr>
        <w:t> </w:t>
      </w:r>
      <w:r>
        <w:rPr/>
        <w:t>State</w:t>
      </w:r>
      <w:r>
        <w:rPr>
          <w:spacing w:val="-5"/>
        </w:rPr>
        <w:t> </w:t>
      </w:r>
      <w:r>
        <w:rPr/>
        <w:t>rate</w:t>
      </w:r>
      <w:r>
        <w:rPr>
          <w:spacing w:val="-5"/>
        </w:rPr>
        <w:t> </w:t>
      </w:r>
      <w:r>
        <w:rPr/>
        <w:t>of </w:t>
      </w:r>
      <w:r>
        <w:rPr>
          <w:spacing w:val="-2"/>
        </w:rPr>
        <w:t>19.0%</w:t>
      </w:r>
      <w:hyperlink w:history="true" w:anchor="_bookmark5">
        <w:r>
          <w:rPr>
            <w:spacing w:val="-2"/>
          </w:rPr>
          <w:t>.</w:t>
        </w:r>
        <w:r>
          <w:rPr>
            <w:spacing w:val="-2"/>
            <w:vertAlign w:val="superscript"/>
          </w:rPr>
          <w:t>37</w:t>
        </w:r>
      </w:hyperlink>
    </w:p>
    <w:p>
      <w:pPr>
        <w:pStyle w:val="BodyText"/>
        <w:spacing w:before="3"/>
        <w:ind w:left="0"/>
        <w:rPr>
          <w:sz w:val="18"/>
        </w:rPr>
      </w:pPr>
    </w:p>
    <w:p>
      <w:pPr>
        <w:pStyle w:val="BodyText"/>
        <w:spacing w:after="0"/>
        <w:rPr>
          <w:sz w:val="18"/>
        </w:rPr>
        <w:sectPr>
          <w:pgSz w:w="12240" w:h="15840"/>
          <w:pgMar w:header="161" w:footer="1223" w:top="1360" w:bottom="1420" w:left="0" w:right="0"/>
        </w:sectPr>
      </w:pPr>
    </w:p>
    <w:p>
      <w:pPr>
        <w:pStyle w:val="BodyText"/>
        <w:spacing w:before="11"/>
        <w:ind w:left="0"/>
        <w:rPr>
          <w:sz w:val="10"/>
        </w:rPr>
      </w:pPr>
    </w:p>
    <w:p>
      <w:pPr>
        <w:spacing w:line="240" w:lineRule="auto"/>
        <w:ind w:left="583" w:right="-58" w:firstLine="0"/>
        <w:rPr>
          <w:sz w:val="20"/>
        </w:rPr>
      </w:pPr>
      <w:r>
        <w:rPr>
          <w:sz w:val="20"/>
        </w:rPr>
        <w:drawing>
          <wp:inline distT="0" distB="0" distL="0" distR="0">
            <wp:extent cx="4062188" cy="2729483"/>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24" cstate="print"/>
                    <a:stretch>
                      <a:fillRect/>
                    </a:stretch>
                  </pic:blipFill>
                  <pic:spPr>
                    <a:xfrm>
                      <a:off x="0" y="0"/>
                      <a:ext cx="4062188" cy="2729483"/>
                    </a:xfrm>
                    <a:prstGeom prst="rect">
                      <a:avLst/>
                    </a:prstGeom>
                  </pic:spPr>
                </pic:pic>
              </a:graphicData>
            </a:graphic>
          </wp:inline>
        </w:drawing>
      </w:r>
      <w:r>
        <w:rPr>
          <w:sz w:val="20"/>
        </w:rPr>
      </w:r>
    </w:p>
    <w:p>
      <w:pPr>
        <w:spacing w:before="89"/>
        <w:ind w:left="580" w:right="0" w:firstLine="0"/>
        <w:jc w:val="left"/>
        <w:rPr>
          <w:i/>
          <w:sz w:val="18"/>
        </w:rPr>
      </w:pPr>
      <w:r>
        <w:rPr>
          <w:i/>
          <w:sz w:val="18"/>
        </w:rPr>
        <w:t>Picture</w:t>
      </w:r>
      <w:r>
        <w:rPr>
          <w:i/>
          <w:spacing w:val="-6"/>
          <w:sz w:val="18"/>
        </w:rPr>
        <w:t> </w:t>
      </w:r>
      <w:r>
        <w:rPr>
          <w:i/>
          <w:sz w:val="18"/>
        </w:rPr>
        <w:t>courtesy</w:t>
      </w:r>
      <w:r>
        <w:rPr>
          <w:i/>
          <w:spacing w:val="-3"/>
          <w:sz w:val="18"/>
        </w:rPr>
        <w:t> </w:t>
      </w:r>
      <w:r>
        <w:rPr>
          <w:i/>
          <w:sz w:val="18"/>
        </w:rPr>
        <w:t>of</w:t>
      </w:r>
      <w:r>
        <w:rPr>
          <w:i/>
          <w:spacing w:val="-4"/>
          <w:sz w:val="18"/>
        </w:rPr>
        <w:t> </w:t>
      </w:r>
      <w:r>
        <w:rPr>
          <w:i/>
          <w:sz w:val="18"/>
        </w:rPr>
        <w:t>Yates</w:t>
      </w:r>
      <w:r>
        <w:rPr>
          <w:i/>
          <w:spacing w:val="-5"/>
          <w:sz w:val="18"/>
        </w:rPr>
        <w:t> </w:t>
      </w:r>
      <w:r>
        <w:rPr>
          <w:i/>
          <w:sz w:val="18"/>
        </w:rPr>
        <w:t>Chambers</w:t>
      </w:r>
      <w:r>
        <w:rPr>
          <w:i/>
          <w:spacing w:val="-5"/>
          <w:sz w:val="18"/>
        </w:rPr>
        <w:t> </w:t>
      </w:r>
      <w:r>
        <w:rPr>
          <w:i/>
          <w:sz w:val="18"/>
        </w:rPr>
        <w:t>of</w:t>
      </w:r>
      <w:r>
        <w:rPr>
          <w:i/>
          <w:spacing w:val="-4"/>
          <w:sz w:val="18"/>
        </w:rPr>
        <w:t> </w:t>
      </w:r>
      <w:r>
        <w:rPr>
          <w:i/>
          <w:sz w:val="18"/>
        </w:rPr>
        <w:t>Commerce</w:t>
      </w:r>
      <w:r>
        <w:rPr>
          <w:i/>
          <w:spacing w:val="-4"/>
          <w:sz w:val="18"/>
        </w:rPr>
        <w:t> </w:t>
      </w:r>
      <w:r>
        <w:rPr>
          <w:i/>
          <w:sz w:val="18"/>
        </w:rPr>
        <w:t>of</w:t>
      </w:r>
      <w:r>
        <w:rPr>
          <w:i/>
          <w:spacing w:val="-4"/>
          <w:sz w:val="18"/>
        </w:rPr>
        <w:t> </w:t>
      </w:r>
      <w:r>
        <w:rPr>
          <w:i/>
          <w:sz w:val="18"/>
        </w:rPr>
        <w:t>Windy</w:t>
      </w:r>
      <w:r>
        <w:rPr>
          <w:i/>
          <w:spacing w:val="-4"/>
          <w:sz w:val="18"/>
        </w:rPr>
        <w:t> </w:t>
      </w:r>
      <w:r>
        <w:rPr>
          <w:i/>
          <w:sz w:val="18"/>
        </w:rPr>
        <w:t>Acres</w:t>
      </w:r>
      <w:r>
        <w:rPr>
          <w:i/>
          <w:spacing w:val="-5"/>
          <w:sz w:val="18"/>
        </w:rPr>
        <w:t> </w:t>
      </w:r>
      <w:r>
        <w:rPr>
          <w:i/>
          <w:sz w:val="18"/>
        </w:rPr>
        <w:t>Farm</w:t>
      </w:r>
      <w:r>
        <w:rPr>
          <w:i/>
          <w:spacing w:val="-4"/>
          <w:sz w:val="18"/>
        </w:rPr>
        <w:t> </w:t>
      </w:r>
      <w:r>
        <w:rPr>
          <w:i/>
          <w:spacing w:val="-2"/>
          <w:sz w:val="18"/>
        </w:rPr>
        <w:t>Market</w:t>
      </w:r>
    </w:p>
    <w:p>
      <w:pPr>
        <w:pStyle w:val="BodyText"/>
        <w:spacing w:line="259" w:lineRule="auto" w:before="56"/>
        <w:ind w:left="132" w:right="1545"/>
      </w:pPr>
      <w:r>
        <w:rPr/>
        <w:br w:type="column"/>
      </w:r>
      <w:r>
        <w:rPr/>
        <w:t>The Food Environment Index of the USDA Food Environment Atlas measures</w:t>
      </w:r>
      <w:r>
        <w:rPr>
          <w:spacing w:val="-8"/>
        </w:rPr>
        <w:t> </w:t>
      </w:r>
      <w:r>
        <w:rPr/>
        <w:t>how</w:t>
      </w:r>
      <w:r>
        <w:rPr>
          <w:spacing w:val="-7"/>
        </w:rPr>
        <w:t> </w:t>
      </w:r>
      <w:r>
        <w:rPr/>
        <w:t>easy</w:t>
      </w:r>
      <w:r>
        <w:rPr>
          <w:spacing w:val="-7"/>
        </w:rPr>
        <w:t> </w:t>
      </w:r>
      <w:r>
        <w:rPr/>
        <w:t>it</w:t>
      </w:r>
      <w:r>
        <w:rPr>
          <w:spacing w:val="-7"/>
        </w:rPr>
        <w:t> </w:t>
      </w:r>
      <w:r>
        <w:rPr/>
        <w:t>is</w:t>
      </w:r>
      <w:r>
        <w:rPr>
          <w:spacing w:val="-8"/>
        </w:rPr>
        <w:t> </w:t>
      </w:r>
      <w:r>
        <w:rPr/>
        <w:t>for</w:t>
      </w:r>
      <w:r>
        <w:rPr>
          <w:spacing w:val="-10"/>
        </w:rPr>
        <w:t> </w:t>
      </w:r>
      <w:r>
        <w:rPr/>
        <w:t>residents</w:t>
      </w:r>
      <w:r>
        <w:rPr>
          <w:spacing w:val="-10"/>
        </w:rPr>
        <w:t> </w:t>
      </w:r>
      <w:r>
        <w:rPr/>
        <w:t>to access healthy, aﬀordable</w:t>
      </w:r>
    </w:p>
    <w:p>
      <w:pPr>
        <w:pStyle w:val="BodyText"/>
        <w:spacing w:line="259" w:lineRule="auto"/>
        <w:ind w:left="132" w:right="1413"/>
      </w:pPr>
      <w:r>
        <w:rPr/>
        <w:t>food,</w:t>
      </w:r>
      <w:r>
        <w:rPr>
          <w:spacing w:val="-11"/>
        </w:rPr>
        <w:t> </w:t>
      </w:r>
      <w:r>
        <w:rPr/>
        <w:t>combining</w:t>
      </w:r>
      <w:r>
        <w:rPr>
          <w:spacing w:val="-12"/>
        </w:rPr>
        <w:t> </w:t>
      </w:r>
      <w:r>
        <w:rPr/>
        <w:t>rates</w:t>
      </w:r>
      <w:r>
        <w:rPr>
          <w:spacing w:val="-13"/>
        </w:rPr>
        <w:t> </w:t>
      </w:r>
      <w:r>
        <w:rPr/>
        <w:t>of</w:t>
      </w:r>
      <w:r>
        <w:rPr>
          <w:spacing w:val="-10"/>
        </w:rPr>
        <w:t> </w:t>
      </w:r>
      <w:r>
        <w:rPr/>
        <w:t>food</w:t>
      </w:r>
      <w:r>
        <w:rPr>
          <w:spacing w:val="-12"/>
        </w:rPr>
        <w:t> </w:t>
      </w:r>
      <w:r>
        <w:rPr/>
        <w:t>insecurity and the percentage of low-income people living far from a grocery store.</w:t>
      </w:r>
    </w:p>
    <w:p>
      <w:pPr>
        <w:pStyle w:val="BodyText"/>
        <w:spacing w:line="259" w:lineRule="auto"/>
        <w:ind w:left="132" w:right="1545"/>
      </w:pPr>
      <w:r>
        <w:rPr/>
        <w:t>Scores range from 0 (worst) to 10 (best).</w:t>
      </w:r>
      <w:r>
        <w:rPr>
          <w:spacing w:val="-13"/>
        </w:rPr>
        <w:t> </w:t>
      </w:r>
      <w:r>
        <w:rPr/>
        <w:t>Yates</w:t>
      </w:r>
      <w:r>
        <w:rPr>
          <w:spacing w:val="-12"/>
        </w:rPr>
        <w:t> </w:t>
      </w:r>
      <w:r>
        <w:rPr/>
        <w:t>County’s</w:t>
      </w:r>
      <w:r>
        <w:rPr>
          <w:spacing w:val="-13"/>
        </w:rPr>
        <w:t> </w:t>
      </w:r>
      <w:r>
        <w:rPr/>
        <w:t>score</w:t>
      </w:r>
      <w:r>
        <w:rPr>
          <w:spacing w:val="-12"/>
        </w:rPr>
        <w:t> </w:t>
      </w:r>
      <w:r>
        <w:rPr/>
        <w:t>decreased from 8.9 in 2018 to 8.8 in 2022 and</w:t>
      </w:r>
    </w:p>
    <w:p>
      <w:pPr>
        <w:pStyle w:val="BodyText"/>
        <w:spacing w:line="267" w:lineRule="exact"/>
        <w:ind w:left="132"/>
      </w:pPr>
      <w:r>
        <w:rPr/>
        <w:t>is</w:t>
      </w:r>
      <w:r>
        <w:rPr>
          <w:spacing w:val="-7"/>
        </w:rPr>
        <w:t> </w:t>
      </w:r>
      <w:r>
        <w:rPr/>
        <w:t>nearly</w:t>
      </w:r>
      <w:r>
        <w:rPr>
          <w:spacing w:val="-8"/>
        </w:rPr>
        <w:t> </w:t>
      </w:r>
      <w:r>
        <w:rPr/>
        <w:t>equal</w:t>
      </w:r>
      <w:r>
        <w:rPr>
          <w:spacing w:val="-6"/>
        </w:rPr>
        <w:t> </w:t>
      </w:r>
      <w:r>
        <w:rPr/>
        <w:t>to</w:t>
      </w:r>
      <w:r>
        <w:rPr>
          <w:spacing w:val="-4"/>
        </w:rPr>
        <w:t> </w:t>
      </w:r>
      <w:r>
        <w:rPr/>
        <w:t>the</w:t>
      </w:r>
      <w:r>
        <w:rPr>
          <w:spacing w:val="-8"/>
        </w:rPr>
        <w:t> </w:t>
      </w:r>
      <w:r>
        <w:rPr/>
        <w:t>state</w:t>
      </w:r>
      <w:r>
        <w:rPr>
          <w:spacing w:val="-8"/>
        </w:rPr>
        <w:t> </w:t>
      </w:r>
      <w:r>
        <w:rPr/>
        <w:t>average</w:t>
      </w:r>
      <w:r>
        <w:rPr>
          <w:spacing w:val="-5"/>
        </w:rPr>
        <w:t> of</w:t>
      </w:r>
    </w:p>
    <w:p>
      <w:pPr>
        <w:pStyle w:val="BodyText"/>
        <w:spacing w:line="259" w:lineRule="auto" w:before="22"/>
        <w:ind w:left="132" w:right="1545"/>
      </w:pPr>
      <w:r>
        <w:rPr/>
        <w:t>8.7. This indicates that, on average, residents face barriers to healthy food access</w:t>
      </w:r>
      <w:r>
        <w:rPr>
          <w:spacing w:val="-8"/>
        </w:rPr>
        <w:t> </w:t>
      </w:r>
      <w:r>
        <w:rPr/>
        <w:t>similar</w:t>
      </w:r>
      <w:r>
        <w:rPr>
          <w:spacing w:val="-8"/>
        </w:rPr>
        <w:t> </w:t>
      </w:r>
      <w:r>
        <w:rPr/>
        <w:t>to</w:t>
      </w:r>
      <w:r>
        <w:rPr>
          <w:spacing w:val="-6"/>
        </w:rPr>
        <w:t> </w:t>
      </w:r>
      <w:r>
        <w:rPr/>
        <w:t>those</w:t>
      </w:r>
      <w:r>
        <w:rPr>
          <w:spacing w:val="-7"/>
        </w:rPr>
        <w:t> </w:t>
      </w:r>
      <w:r>
        <w:rPr/>
        <w:t>elsewhere</w:t>
      </w:r>
      <w:r>
        <w:rPr>
          <w:spacing w:val="-7"/>
        </w:rPr>
        <w:t> </w:t>
      </w:r>
      <w:r>
        <w:rPr/>
        <w:t>in</w:t>
      </w:r>
      <w:r>
        <w:rPr>
          <w:spacing w:val="-7"/>
        </w:rPr>
        <w:t> </w:t>
      </w:r>
      <w:r>
        <w:rPr/>
        <w:t>the </w:t>
      </w:r>
      <w:r>
        <w:rPr>
          <w:spacing w:val="-2"/>
        </w:rPr>
        <w:t>state.</w:t>
      </w:r>
    </w:p>
    <w:p>
      <w:pPr>
        <w:pStyle w:val="BodyText"/>
        <w:spacing w:after="0" w:line="259" w:lineRule="auto"/>
        <w:sectPr>
          <w:type w:val="continuous"/>
          <w:pgSz w:w="12240" w:h="15840"/>
          <w:pgMar w:header="161" w:footer="1223" w:top="1360" w:bottom="1420" w:left="0" w:right="0"/>
          <w:cols w:num="2" w:equalWidth="0">
            <w:col w:w="6977" w:space="40"/>
            <w:col w:w="5223"/>
          </w:cols>
        </w:sectPr>
      </w:pPr>
    </w:p>
    <w:p>
      <w:pPr>
        <w:pStyle w:val="BodyText"/>
        <w:spacing w:before="6"/>
        <w:ind w:left="0"/>
        <w:rPr>
          <w:sz w:val="24"/>
        </w:rPr>
      </w:pPr>
    </w:p>
    <w:p>
      <w:pPr>
        <w:pStyle w:val="Heading3"/>
        <w:spacing w:before="1"/>
      </w:pPr>
      <w:r>
        <w:rPr/>
        <w:t>Priority:</w:t>
      </w:r>
      <w:r>
        <w:rPr>
          <w:spacing w:val="-5"/>
        </w:rPr>
        <w:t> </w:t>
      </w:r>
      <w:r>
        <w:rPr/>
        <w:t>Housing</w:t>
      </w:r>
      <w:r>
        <w:rPr>
          <w:spacing w:val="-3"/>
        </w:rPr>
        <w:t> </w:t>
      </w:r>
      <w:r>
        <w:rPr/>
        <w:t>Stability</w:t>
      </w:r>
      <w:r>
        <w:rPr>
          <w:spacing w:val="-4"/>
        </w:rPr>
        <w:t> </w:t>
      </w:r>
      <w:r>
        <w:rPr/>
        <w:t>and</w:t>
      </w:r>
      <w:r>
        <w:rPr>
          <w:spacing w:val="-2"/>
        </w:rPr>
        <w:t> Aﬀordability</w:t>
      </w:r>
    </w:p>
    <w:p>
      <w:pPr>
        <w:pStyle w:val="BodyText"/>
        <w:spacing w:line="259" w:lineRule="auto" w:before="182"/>
        <w:ind w:right="1467"/>
      </w:pPr>
      <w:r>
        <w:rPr/>
        <w:t>Housing</w:t>
      </w:r>
      <w:r>
        <w:rPr>
          <w:spacing w:val="-1"/>
        </w:rPr>
        <w:t> </w:t>
      </w:r>
      <w:r>
        <w:rPr/>
        <w:t>was</w:t>
      </w:r>
      <w:r>
        <w:rPr>
          <w:spacing w:val="-1"/>
        </w:rPr>
        <w:t> </w:t>
      </w:r>
      <w:r>
        <w:rPr/>
        <w:t>idenfiﬁed</w:t>
      </w:r>
      <w:r>
        <w:rPr>
          <w:spacing w:val="-1"/>
        </w:rPr>
        <w:t> </w:t>
      </w:r>
      <w:r>
        <w:rPr/>
        <w:t>as</w:t>
      </w:r>
      <w:r>
        <w:rPr>
          <w:spacing w:val="-3"/>
        </w:rPr>
        <w:t> </w:t>
      </w:r>
      <w:r>
        <w:rPr/>
        <w:t>a</w:t>
      </w:r>
      <w:r>
        <w:rPr>
          <w:spacing w:val="-3"/>
        </w:rPr>
        <w:t> </w:t>
      </w:r>
      <w:r>
        <w:rPr/>
        <w:t>top</w:t>
      </w:r>
      <w:r>
        <w:rPr>
          <w:spacing w:val="-2"/>
        </w:rPr>
        <w:t> </w:t>
      </w:r>
      <w:r>
        <w:rPr/>
        <w:t>priority aﬀecfing</w:t>
      </w:r>
      <w:r>
        <w:rPr>
          <w:spacing w:val="-2"/>
        </w:rPr>
        <w:t> </w:t>
      </w:r>
      <w:r>
        <w:rPr/>
        <w:t>community</w:t>
      </w:r>
      <w:r>
        <w:rPr>
          <w:spacing w:val="-2"/>
        </w:rPr>
        <w:t> </w:t>
      </w:r>
      <w:r>
        <w:rPr/>
        <w:t>stability,</w:t>
      </w:r>
      <w:r>
        <w:rPr>
          <w:spacing w:val="-3"/>
        </w:rPr>
        <w:t> </w:t>
      </w:r>
      <w:r>
        <w:rPr/>
        <w:t>access</w:t>
      </w:r>
      <w:r>
        <w:rPr>
          <w:spacing w:val="-1"/>
        </w:rPr>
        <w:t> </w:t>
      </w:r>
      <w:r>
        <w:rPr/>
        <w:t>to basic</w:t>
      </w:r>
      <w:r>
        <w:rPr>
          <w:spacing w:val="-1"/>
        </w:rPr>
        <w:t> </w:t>
      </w:r>
      <w:r>
        <w:rPr/>
        <w:t>needs,</w:t>
      </w:r>
      <w:r>
        <w:rPr>
          <w:spacing w:val="-3"/>
        </w:rPr>
        <w:t> </w:t>
      </w:r>
      <w:r>
        <w:rPr/>
        <w:t>and</w:t>
      </w:r>
      <w:r>
        <w:rPr>
          <w:spacing w:val="-4"/>
        </w:rPr>
        <w:t> </w:t>
      </w:r>
      <w:r>
        <w:rPr/>
        <w:t>overall health and well-being in Yates County. Housing instability and a lack of aﬀordable opfions can leave families</w:t>
      </w:r>
      <w:r>
        <w:rPr>
          <w:spacing w:val="-3"/>
        </w:rPr>
        <w:t> </w:t>
      </w:r>
      <w:r>
        <w:rPr/>
        <w:t>struggling</w:t>
      </w:r>
      <w:r>
        <w:rPr>
          <w:spacing w:val="-2"/>
        </w:rPr>
        <w:t> </w:t>
      </w:r>
      <w:r>
        <w:rPr/>
        <w:t>to</w:t>
      </w:r>
      <w:r>
        <w:rPr>
          <w:spacing w:val="-3"/>
        </w:rPr>
        <w:t> </w:t>
      </w:r>
      <w:r>
        <w:rPr/>
        <w:t>meet</w:t>
      </w:r>
      <w:r>
        <w:rPr>
          <w:spacing w:val="-3"/>
        </w:rPr>
        <w:t> </w:t>
      </w:r>
      <w:r>
        <w:rPr/>
        <w:t>basic</w:t>
      </w:r>
      <w:r>
        <w:rPr>
          <w:spacing w:val="-1"/>
        </w:rPr>
        <w:t> </w:t>
      </w:r>
      <w:r>
        <w:rPr/>
        <w:t>needs,</w:t>
      </w:r>
      <w:r>
        <w:rPr>
          <w:spacing w:val="-3"/>
        </w:rPr>
        <w:t> </w:t>
      </w:r>
      <w:r>
        <w:rPr/>
        <w:t>often</w:t>
      </w:r>
      <w:r>
        <w:rPr>
          <w:spacing w:val="-3"/>
        </w:rPr>
        <w:t> </w:t>
      </w:r>
      <w:r>
        <w:rPr/>
        <w:t>forcing</w:t>
      </w:r>
      <w:r>
        <w:rPr>
          <w:spacing w:val="-4"/>
        </w:rPr>
        <w:t> </w:t>
      </w:r>
      <w:r>
        <w:rPr/>
        <w:t>them to</w:t>
      </w:r>
      <w:r>
        <w:rPr>
          <w:spacing w:val="-3"/>
        </w:rPr>
        <w:t> </w:t>
      </w:r>
      <w:r>
        <w:rPr/>
        <w:t>choose</w:t>
      </w:r>
      <w:r>
        <w:rPr>
          <w:spacing w:val="-3"/>
        </w:rPr>
        <w:t> </w:t>
      </w:r>
      <w:r>
        <w:rPr/>
        <w:t>between</w:t>
      </w:r>
      <w:r>
        <w:rPr>
          <w:spacing w:val="-2"/>
        </w:rPr>
        <w:t> </w:t>
      </w:r>
      <w:r>
        <w:rPr/>
        <w:t>housing</w:t>
      </w:r>
      <w:r>
        <w:rPr>
          <w:spacing w:val="-2"/>
        </w:rPr>
        <w:t> </w:t>
      </w:r>
      <w:r>
        <w:rPr/>
        <w:t>costs,</w:t>
      </w:r>
      <w:r>
        <w:rPr>
          <w:spacing w:val="-3"/>
        </w:rPr>
        <w:t> </w:t>
      </w:r>
      <w:r>
        <w:rPr/>
        <w:t>food,</w:t>
      </w:r>
      <w:r>
        <w:rPr>
          <w:spacing w:val="-1"/>
        </w:rPr>
        <w:t> </w:t>
      </w:r>
      <w:r>
        <w:rPr/>
        <w:t>and healthcare.</w:t>
      </w:r>
      <w:r>
        <w:rPr>
          <w:spacing w:val="-7"/>
        </w:rPr>
        <w:t> </w:t>
      </w:r>
      <w:r>
        <w:rPr/>
        <w:t>When</w:t>
      </w:r>
      <w:r>
        <w:rPr>
          <w:spacing w:val="-5"/>
        </w:rPr>
        <w:t> </w:t>
      </w:r>
      <w:r>
        <w:rPr/>
        <w:t>stable</w:t>
      </w:r>
      <w:r>
        <w:rPr>
          <w:spacing w:val="-3"/>
        </w:rPr>
        <w:t> </w:t>
      </w:r>
      <w:r>
        <w:rPr/>
        <w:t>housing</w:t>
      </w:r>
      <w:r>
        <w:rPr>
          <w:spacing w:val="-4"/>
        </w:rPr>
        <w:t> </w:t>
      </w:r>
      <w:r>
        <w:rPr/>
        <w:t>is</w:t>
      </w:r>
      <w:r>
        <w:rPr>
          <w:spacing w:val="-6"/>
        </w:rPr>
        <w:t> </w:t>
      </w:r>
      <w:r>
        <w:rPr/>
        <w:t>out</w:t>
      </w:r>
      <w:r>
        <w:rPr>
          <w:spacing w:val="-6"/>
        </w:rPr>
        <w:t> </w:t>
      </w:r>
      <w:r>
        <w:rPr/>
        <w:t>of</w:t>
      </w:r>
      <w:r>
        <w:rPr>
          <w:spacing w:val="-4"/>
        </w:rPr>
        <w:t> </w:t>
      </w:r>
      <w:r>
        <w:rPr/>
        <w:t>reach,</w:t>
      </w:r>
      <w:r>
        <w:rPr>
          <w:spacing w:val="-4"/>
        </w:rPr>
        <w:t> </w:t>
      </w:r>
      <w:r>
        <w:rPr/>
        <w:t>communifies</w:t>
      </w:r>
      <w:r>
        <w:rPr>
          <w:spacing w:val="-6"/>
        </w:rPr>
        <w:t> </w:t>
      </w:r>
      <w:r>
        <w:rPr/>
        <w:t>experience</w:t>
      </w:r>
      <w:r>
        <w:rPr>
          <w:spacing w:val="-5"/>
        </w:rPr>
        <w:t> </w:t>
      </w:r>
      <w:r>
        <w:rPr/>
        <w:t>higher</w:t>
      </w:r>
      <w:r>
        <w:rPr>
          <w:spacing w:val="-4"/>
        </w:rPr>
        <w:t> </w:t>
      </w:r>
      <w:r>
        <w:rPr/>
        <w:t>rates</w:t>
      </w:r>
      <w:r>
        <w:rPr>
          <w:spacing w:val="-6"/>
        </w:rPr>
        <w:t> </w:t>
      </w:r>
      <w:r>
        <w:rPr/>
        <w:t>of</w:t>
      </w:r>
      <w:r>
        <w:rPr>
          <w:spacing w:val="-4"/>
        </w:rPr>
        <w:t> </w:t>
      </w:r>
      <w:r>
        <w:rPr/>
        <w:t>homelessness, overcrowding, and ﬁnancial stress, which can undermine overall health, safety, and economic growth.</w:t>
      </w:r>
    </w:p>
    <w:p>
      <w:pPr>
        <w:pStyle w:val="BodyText"/>
        <w:spacing w:line="259" w:lineRule="auto" w:before="160"/>
        <w:ind w:right="1467"/>
      </w:pPr>
      <w:r>
        <w:rPr/>
        <w:t>In 2021, 13% of households in Yates County experienced at least one of the following major housing problems: overcrowding, high housing costs, and/or lack of kitchen or plumbing facilifies. This is well below</w:t>
      </w:r>
      <w:r>
        <w:rPr>
          <w:spacing w:val="-5"/>
        </w:rPr>
        <w:t> </w:t>
      </w:r>
      <w:r>
        <w:rPr/>
        <w:t>the</w:t>
      </w:r>
      <w:r>
        <w:rPr>
          <w:spacing w:val="-7"/>
        </w:rPr>
        <w:t> </w:t>
      </w:r>
      <w:r>
        <w:rPr/>
        <w:t>state</w:t>
      </w:r>
      <w:r>
        <w:rPr>
          <w:spacing w:val="-5"/>
        </w:rPr>
        <w:t> </w:t>
      </w:r>
      <w:r>
        <w:rPr/>
        <w:t>average</w:t>
      </w:r>
      <w:r>
        <w:rPr>
          <w:spacing w:val="-7"/>
        </w:rPr>
        <w:t> </w:t>
      </w:r>
      <w:r>
        <w:rPr/>
        <w:t>of</w:t>
      </w:r>
      <w:r>
        <w:rPr>
          <w:spacing w:val="-8"/>
        </w:rPr>
        <w:t> </w:t>
      </w:r>
      <w:r>
        <w:rPr/>
        <w:t>23%</w:t>
      </w:r>
      <w:r>
        <w:rPr>
          <w:spacing w:val="-5"/>
        </w:rPr>
        <w:t> </w:t>
      </w:r>
      <w:r>
        <w:rPr/>
        <w:t>and</w:t>
      </w:r>
      <w:r>
        <w:rPr>
          <w:spacing w:val="-5"/>
        </w:rPr>
        <w:t> </w:t>
      </w:r>
      <w:r>
        <w:rPr/>
        <w:t>reﬂects</w:t>
      </w:r>
      <w:r>
        <w:rPr>
          <w:spacing w:val="-5"/>
        </w:rPr>
        <w:t> </w:t>
      </w:r>
      <w:r>
        <w:rPr/>
        <w:t>a</w:t>
      </w:r>
      <w:r>
        <w:rPr>
          <w:spacing w:val="-7"/>
        </w:rPr>
        <w:t> </w:t>
      </w:r>
      <w:r>
        <w:rPr/>
        <w:t>13%</w:t>
      </w:r>
      <w:r>
        <w:rPr>
          <w:spacing w:val="-5"/>
        </w:rPr>
        <w:t> </w:t>
      </w:r>
      <w:r>
        <w:rPr/>
        <w:t>improvement</w:t>
      </w:r>
      <w:r>
        <w:rPr>
          <w:spacing w:val="-5"/>
        </w:rPr>
        <w:t> </w:t>
      </w:r>
      <w:r>
        <w:rPr/>
        <w:t>since</w:t>
      </w:r>
      <w:r>
        <w:rPr>
          <w:spacing w:val="-7"/>
        </w:rPr>
        <w:t> </w:t>
      </w:r>
      <w:r>
        <w:rPr/>
        <w:t>2017.</w:t>
      </w:r>
      <w:r>
        <w:rPr>
          <w:spacing w:val="-5"/>
        </w:rPr>
        <w:t> </w:t>
      </w:r>
      <w:r>
        <w:rPr/>
        <w:t>Severe</w:t>
      </w:r>
      <w:r>
        <w:rPr>
          <w:spacing w:val="-5"/>
        </w:rPr>
        <w:t> </w:t>
      </w:r>
      <w:r>
        <w:rPr/>
        <w:t>housing</w:t>
      </w:r>
      <w:r>
        <w:rPr>
          <w:spacing w:val="-5"/>
        </w:rPr>
        <w:t> </w:t>
      </w:r>
      <w:r>
        <w:rPr/>
        <w:t>cost</w:t>
      </w:r>
      <w:r>
        <w:rPr>
          <w:spacing w:val="-7"/>
        </w:rPr>
        <w:t> </w:t>
      </w:r>
      <w:r>
        <w:rPr/>
        <w:t>burden has remained stable since 2021, with only 12% of households spending half or more of their income on housing, compared to 19% statewide. This represents an 8% improvement since 2019, when 13% of households were spending half or more of their income on housing. However, this progress is sfill concerning</w:t>
      </w:r>
      <w:r>
        <w:rPr>
          <w:spacing w:val="-1"/>
        </w:rPr>
        <w:t> </w:t>
      </w:r>
      <w:r>
        <w:rPr/>
        <w:t>given</w:t>
      </w:r>
      <w:r>
        <w:rPr>
          <w:spacing w:val="-2"/>
        </w:rPr>
        <w:t> </w:t>
      </w:r>
      <w:r>
        <w:rPr/>
        <w:t>that</w:t>
      </w:r>
      <w:r>
        <w:rPr>
          <w:spacing w:val="-3"/>
        </w:rPr>
        <w:t> </w:t>
      </w:r>
      <w:r>
        <w:rPr/>
        <w:t>14%</w:t>
      </w:r>
      <w:r>
        <w:rPr>
          <w:spacing w:val="-3"/>
        </w:rPr>
        <w:t> </w:t>
      </w:r>
      <w:r>
        <w:rPr/>
        <w:t>of</w:t>
      </w:r>
      <w:r>
        <w:rPr>
          <w:spacing w:val="-1"/>
        </w:rPr>
        <w:t> </w:t>
      </w:r>
      <w:r>
        <w:rPr/>
        <w:t>the</w:t>
      </w:r>
      <w:r>
        <w:rPr>
          <w:spacing w:val="-2"/>
        </w:rPr>
        <w:t> </w:t>
      </w:r>
      <w:r>
        <w:rPr/>
        <w:t>populafion</w:t>
      </w:r>
      <w:r>
        <w:rPr>
          <w:spacing w:val="-2"/>
        </w:rPr>
        <w:t> </w:t>
      </w:r>
      <w:r>
        <w:rPr/>
        <w:t>lives</w:t>
      </w:r>
      <w:r>
        <w:rPr>
          <w:spacing w:val="-3"/>
        </w:rPr>
        <w:t> </w:t>
      </w:r>
      <w:r>
        <w:rPr/>
        <w:t>in</w:t>
      </w:r>
      <w:r>
        <w:rPr>
          <w:spacing w:val="-1"/>
        </w:rPr>
        <w:t> </w:t>
      </w:r>
      <w:r>
        <w:rPr/>
        <w:t>poverty,</w:t>
      </w:r>
      <w:r>
        <w:rPr>
          <w:spacing w:val="-3"/>
        </w:rPr>
        <w:t> </w:t>
      </w:r>
      <w:r>
        <w:rPr/>
        <w:t>leaving</w:t>
      </w:r>
      <w:r>
        <w:rPr>
          <w:spacing w:val="-4"/>
        </w:rPr>
        <w:t> </w:t>
      </w:r>
      <w:r>
        <w:rPr/>
        <w:t>many households</w:t>
      </w:r>
      <w:r>
        <w:rPr>
          <w:spacing w:val="-1"/>
        </w:rPr>
        <w:t> </w:t>
      </w:r>
      <w:r>
        <w:rPr/>
        <w:t>with</w:t>
      </w:r>
      <w:r>
        <w:rPr>
          <w:spacing w:val="-4"/>
        </w:rPr>
        <w:t> </w:t>
      </w:r>
      <w:r>
        <w:rPr/>
        <w:t>very limited resources to meet basic needs beyond housing</w:t>
      </w:r>
      <w:hyperlink w:history="true" w:anchor="_bookmark6">
        <w:r>
          <w:rPr/>
          <w:t>.</w:t>
        </w:r>
        <w:r>
          <w:rPr>
            <w:vertAlign w:val="superscript"/>
          </w:rPr>
          <w:t>38</w:t>
        </w:r>
      </w:hyperlink>
    </w:p>
    <w:p>
      <w:pPr>
        <w:pStyle w:val="BodyText"/>
        <w:spacing w:line="259" w:lineRule="auto" w:before="156"/>
        <w:ind w:right="1467"/>
      </w:pPr>
      <w:r>
        <w:rPr/>
        <w:t>A</w:t>
      </w:r>
      <w:r>
        <w:rPr>
          <w:spacing w:val="-4"/>
        </w:rPr>
        <w:t> </w:t>
      </w:r>
      <w:r>
        <w:rPr/>
        <w:t>recurring</w:t>
      </w:r>
      <w:r>
        <w:rPr>
          <w:spacing w:val="-4"/>
        </w:rPr>
        <w:t> </w:t>
      </w:r>
      <w:r>
        <w:rPr/>
        <w:t>issue</w:t>
      </w:r>
      <w:r>
        <w:rPr>
          <w:spacing w:val="-6"/>
        </w:rPr>
        <w:t> </w:t>
      </w:r>
      <w:r>
        <w:rPr/>
        <w:t>raised</w:t>
      </w:r>
      <w:r>
        <w:rPr>
          <w:spacing w:val="-6"/>
        </w:rPr>
        <w:t> </w:t>
      </w:r>
      <w:r>
        <w:rPr/>
        <w:t>by</w:t>
      </w:r>
      <w:r>
        <w:rPr>
          <w:spacing w:val="-3"/>
        </w:rPr>
        <w:t> </w:t>
      </w:r>
      <w:r>
        <w:rPr/>
        <w:t>focus</w:t>
      </w:r>
      <w:r>
        <w:rPr>
          <w:spacing w:val="-4"/>
        </w:rPr>
        <w:t> </w:t>
      </w:r>
      <w:r>
        <w:rPr/>
        <w:t>groups</w:t>
      </w:r>
      <w:r>
        <w:rPr>
          <w:spacing w:val="-6"/>
        </w:rPr>
        <w:t> </w:t>
      </w:r>
      <w:r>
        <w:rPr/>
        <w:t>was</w:t>
      </w:r>
      <w:r>
        <w:rPr>
          <w:spacing w:val="-6"/>
        </w:rPr>
        <w:t> </w:t>
      </w:r>
      <w:r>
        <w:rPr/>
        <w:t>the</w:t>
      </w:r>
      <w:r>
        <w:rPr>
          <w:spacing w:val="-5"/>
        </w:rPr>
        <w:t> </w:t>
      </w:r>
      <w:r>
        <w:rPr/>
        <w:t>increasing</w:t>
      </w:r>
      <w:r>
        <w:rPr>
          <w:spacing w:val="-4"/>
        </w:rPr>
        <w:t> </w:t>
      </w:r>
      <w:r>
        <w:rPr/>
        <w:t>use</w:t>
      </w:r>
      <w:r>
        <w:rPr>
          <w:spacing w:val="-3"/>
        </w:rPr>
        <w:t> </w:t>
      </w:r>
      <w:r>
        <w:rPr/>
        <w:t>of</w:t>
      </w:r>
      <w:r>
        <w:rPr>
          <w:spacing w:val="-6"/>
        </w:rPr>
        <w:t> </w:t>
      </w:r>
      <w:r>
        <w:rPr/>
        <w:t>rental</w:t>
      </w:r>
      <w:r>
        <w:rPr>
          <w:spacing w:val="-6"/>
        </w:rPr>
        <w:t> </w:t>
      </w:r>
      <w:r>
        <w:rPr/>
        <w:t>properfies</w:t>
      </w:r>
      <w:r>
        <w:rPr>
          <w:spacing w:val="-4"/>
        </w:rPr>
        <w:t> </w:t>
      </w:r>
      <w:r>
        <w:rPr/>
        <w:t>for</w:t>
      </w:r>
      <w:r>
        <w:rPr>
          <w:spacing w:val="-6"/>
        </w:rPr>
        <w:t> </w:t>
      </w:r>
      <w:r>
        <w:rPr/>
        <w:t>tourism,</w:t>
      </w:r>
      <w:r>
        <w:rPr>
          <w:spacing w:val="-6"/>
        </w:rPr>
        <w:t> </w:t>
      </w:r>
      <w:r>
        <w:rPr/>
        <w:t>which drives up costs and reduces availability for residents. Homeownership rates in the county have decreased from 80% in 2019 to 77% in 2023, indicafing that fewer residents live in owner-occupied residences.</w:t>
      </w:r>
      <w:hyperlink w:history="true" w:anchor="_bookmark7">
        <w:r>
          <w:rPr>
            <w:vertAlign w:val="superscript"/>
          </w:rPr>
          <w:t>39</w:t>
        </w:r>
      </w:hyperlink>
      <w:r>
        <w:rPr>
          <w:vertAlign w:val="baseline"/>
        </w:rPr>
        <w:t> According to data from the 2023 American</w:t>
      </w:r>
      <w:r>
        <w:rPr>
          <w:spacing w:val="-2"/>
          <w:vertAlign w:val="baseline"/>
        </w:rPr>
        <w:t> </w:t>
      </w:r>
      <w:r>
        <w:rPr>
          <w:vertAlign w:val="baseline"/>
        </w:rPr>
        <w:t>Community Survey 5-Year Esfimates, Yates County has a total of 13,143 housing units, of which 4,048 units are vacant. Vacant housing includes</w:t>
      </w:r>
    </w:p>
    <w:p>
      <w:pPr>
        <w:pStyle w:val="BodyText"/>
        <w:spacing w:before="8"/>
        <w:ind w:left="0"/>
        <w:rPr>
          <w:sz w:val="11"/>
        </w:rPr>
      </w:pPr>
      <w:r>
        <w:rPr>
          <w:sz w:val="11"/>
        </w:rPr>
        <mc:AlternateContent>
          <mc:Choice Requires="wps">
            <w:drawing>
              <wp:anchor distT="0" distB="0" distL="0" distR="0" allowOverlap="1" layoutInCell="1" locked="0" behindDoc="1" simplePos="0" relativeHeight="487599616">
                <wp:simplePos x="0" y="0"/>
                <wp:positionH relativeFrom="page">
                  <wp:posOffset>914400</wp:posOffset>
                </wp:positionH>
                <wp:positionV relativeFrom="paragraph">
                  <wp:posOffset>105659</wp:posOffset>
                </wp:positionV>
                <wp:extent cx="1828800" cy="9525"/>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319651pt;width:144pt;height:.71pt;mso-position-horizontal-relative:page;mso-position-vertical-relative:paragraph;z-index:-15716864;mso-wrap-distance-left:0;mso-wrap-distance-right:0" id="docshape62" filled="true" fillcolor="#000000" stroked="false">
                <v:fill type="solid"/>
                <w10:wrap type="topAndBottom"/>
              </v:rect>
            </w:pict>
          </mc:Fallback>
        </mc:AlternateContent>
      </w:r>
    </w:p>
    <w:p>
      <w:pPr>
        <w:spacing w:line="243" w:lineRule="exact" w:before="102"/>
        <w:ind w:left="1440" w:right="0" w:firstLine="0"/>
        <w:jc w:val="left"/>
        <w:rPr>
          <w:sz w:val="20"/>
        </w:rPr>
      </w:pPr>
      <w:r>
        <w:rPr>
          <w:spacing w:val="-2"/>
          <w:sz w:val="20"/>
          <w:vertAlign w:val="superscript"/>
        </w:rPr>
        <w:t>37</w:t>
      </w:r>
      <w:r>
        <w:rPr>
          <w:spacing w:val="6"/>
          <w:sz w:val="20"/>
          <w:vertAlign w:val="baseline"/>
        </w:rPr>
        <w:t> </w:t>
      </w:r>
      <w:bookmarkStart w:name="_bookmark5" w:id="6"/>
      <w:bookmarkEnd w:id="6"/>
      <w:r>
        <w:rPr>
          <w:spacing w:val="-2"/>
          <w:sz w:val="20"/>
          <w:vertAlign w:val="baseline"/>
        </w:rPr>
        <w:t>S</w:t>
      </w:r>
      <w:r>
        <w:rPr>
          <w:spacing w:val="-2"/>
          <w:sz w:val="20"/>
          <w:vertAlign w:val="baseline"/>
        </w:rPr>
        <w:t>ource:</w:t>
      </w:r>
      <w:r>
        <w:rPr>
          <w:spacing w:val="7"/>
          <w:sz w:val="20"/>
          <w:vertAlign w:val="baseline"/>
        </w:rPr>
        <w:t> </w:t>
      </w:r>
      <w:r>
        <w:rPr>
          <w:spacing w:val="-2"/>
          <w:sz w:val="20"/>
          <w:vertAlign w:val="baseline"/>
        </w:rPr>
        <w:t>Feeding</w:t>
      </w:r>
      <w:r>
        <w:rPr>
          <w:spacing w:val="8"/>
          <w:sz w:val="20"/>
          <w:vertAlign w:val="baseline"/>
        </w:rPr>
        <w:t> </w:t>
      </w:r>
      <w:r>
        <w:rPr>
          <w:spacing w:val="-2"/>
          <w:sz w:val="20"/>
          <w:vertAlign w:val="baseline"/>
        </w:rPr>
        <w:t>America,</w:t>
      </w:r>
      <w:r>
        <w:rPr>
          <w:spacing w:val="8"/>
          <w:sz w:val="20"/>
          <w:vertAlign w:val="baseline"/>
        </w:rPr>
        <w:t> </w:t>
      </w:r>
      <w:r>
        <w:rPr>
          <w:spacing w:val="-2"/>
          <w:sz w:val="20"/>
          <w:vertAlign w:val="baseline"/>
        </w:rPr>
        <w:t>2023:</w:t>
      </w:r>
      <w:r>
        <w:rPr>
          <w:spacing w:val="8"/>
          <w:sz w:val="20"/>
          <w:vertAlign w:val="baseline"/>
        </w:rPr>
        <w:t> </w:t>
      </w:r>
      <w:hyperlink r:id="rId25">
        <w:r>
          <w:rPr>
            <w:color w:val="467885"/>
            <w:spacing w:val="-2"/>
            <w:sz w:val="20"/>
            <w:u w:val="single" w:color="467885"/>
            <w:vertAlign w:val="baseline"/>
          </w:rPr>
          <w:t>hftps://map.feedingamerica.org/county/2023/child/new-york/county/yates</w:t>
        </w:r>
      </w:hyperlink>
    </w:p>
    <w:p>
      <w:pPr>
        <w:spacing w:line="242" w:lineRule="exact" w:before="0"/>
        <w:ind w:left="1440" w:right="0" w:firstLine="0"/>
        <w:jc w:val="left"/>
        <w:rPr>
          <w:sz w:val="20"/>
        </w:rPr>
      </w:pPr>
      <w:r>
        <w:rPr>
          <w:sz w:val="20"/>
          <w:vertAlign w:val="superscript"/>
        </w:rPr>
        <w:t>38</w:t>
      </w:r>
      <w:r>
        <w:rPr>
          <w:spacing w:val="-9"/>
          <w:sz w:val="20"/>
          <w:vertAlign w:val="baseline"/>
        </w:rPr>
        <w:t> </w:t>
      </w:r>
      <w:bookmarkStart w:name="_bookmark6" w:id="7"/>
      <w:bookmarkEnd w:id="7"/>
      <w:r>
        <w:rPr>
          <w:sz w:val="20"/>
          <w:vertAlign w:val="baseline"/>
        </w:rPr>
        <w:t>S</w:t>
      </w:r>
      <w:r>
        <w:rPr>
          <w:sz w:val="20"/>
          <w:vertAlign w:val="baseline"/>
        </w:rPr>
        <w:t>ource:</w:t>
      </w:r>
      <w:r>
        <w:rPr>
          <w:spacing w:val="-8"/>
          <w:sz w:val="20"/>
          <w:vertAlign w:val="baseline"/>
        </w:rPr>
        <w:t> </w:t>
      </w:r>
      <w:r>
        <w:rPr>
          <w:sz w:val="20"/>
          <w:vertAlign w:val="baseline"/>
        </w:rPr>
        <w:t>U.S.</w:t>
      </w:r>
      <w:r>
        <w:rPr>
          <w:spacing w:val="-8"/>
          <w:sz w:val="20"/>
          <w:vertAlign w:val="baseline"/>
        </w:rPr>
        <w:t> </w:t>
      </w:r>
      <w:r>
        <w:rPr>
          <w:sz w:val="20"/>
          <w:vertAlign w:val="baseline"/>
        </w:rPr>
        <w:t>Census</w:t>
      </w:r>
      <w:r>
        <w:rPr>
          <w:spacing w:val="-7"/>
          <w:sz w:val="20"/>
          <w:vertAlign w:val="baseline"/>
        </w:rPr>
        <w:t> </w:t>
      </w:r>
      <w:r>
        <w:rPr>
          <w:sz w:val="20"/>
          <w:vertAlign w:val="baseline"/>
        </w:rPr>
        <w:t>Bureau,</w:t>
      </w:r>
      <w:r>
        <w:rPr>
          <w:spacing w:val="-7"/>
          <w:sz w:val="20"/>
          <w:vertAlign w:val="baseline"/>
        </w:rPr>
        <w:t> </w:t>
      </w:r>
      <w:r>
        <w:rPr>
          <w:spacing w:val="-4"/>
          <w:sz w:val="20"/>
          <w:vertAlign w:val="baseline"/>
        </w:rPr>
        <w:t>2025</w:t>
      </w:r>
    </w:p>
    <w:p>
      <w:pPr>
        <w:spacing w:line="268" w:lineRule="exact" w:before="0"/>
        <w:ind w:left="1440" w:right="0" w:firstLine="0"/>
        <w:jc w:val="left"/>
        <w:rPr>
          <w:sz w:val="22"/>
        </w:rPr>
      </w:pPr>
      <w:r>
        <w:rPr>
          <w:sz w:val="20"/>
          <w:vertAlign w:val="superscript"/>
        </w:rPr>
        <w:t>39</w:t>
      </w:r>
      <w:r>
        <w:rPr>
          <w:spacing w:val="-7"/>
          <w:sz w:val="20"/>
          <w:vertAlign w:val="baseline"/>
        </w:rPr>
        <w:t> </w:t>
      </w:r>
      <w:bookmarkStart w:name="_bookmark7" w:id="8"/>
      <w:bookmarkEnd w:id="8"/>
      <w:r>
        <w:rPr>
          <w:sz w:val="20"/>
          <w:vertAlign w:val="baseline"/>
        </w:rPr>
        <w:t>S</w:t>
      </w:r>
      <w:r>
        <w:rPr>
          <w:sz w:val="20"/>
          <w:vertAlign w:val="baseline"/>
        </w:rPr>
        <w:t>ource:</w:t>
      </w:r>
      <w:r>
        <w:rPr>
          <w:spacing w:val="-6"/>
          <w:sz w:val="20"/>
          <w:vertAlign w:val="baseline"/>
        </w:rPr>
        <w:t> </w:t>
      </w:r>
      <w:r>
        <w:rPr>
          <w:sz w:val="22"/>
          <w:vertAlign w:val="baseline"/>
        </w:rPr>
        <w:t>County</w:t>
      </w:r>
      <w:r>
        <w:rPr>
          <w:spacing w:val="-5"/>
          <w:sz w:val="22"/>
          <w:vertAlign w:val="baseline"/>
        </w:rPr>
        <w:t> </w:t>
      </w:r>
      <w:r>
        <w:rPr>
          <w:sz w:val="22"/>
          <w:vertAlign w:val="baseline"/>
        </w:rPr>
        <w:t>Health</w:t>
      </w:r>
      <w:r>
        <w:rPr>
          <w:spacing w:val="-9"/>
          <w:sz w:val="22"/>
          <w:vertAlign w:val="baseline"/>
        </w:rPr>
        <w:t> </w:t>
      </w:r>
      <w:r>
        <w:rPr>
          <w:sz w:val="22"/>
          <w:vertAlign w:val="baseline"/>
        </w:rPr>
        <w:t>Rankings</w:t>
      </w:r>
      <w:r>
        <w:rPr>
          <w:spacing w:val="-6"/>
          <w:sz w:val="22"/>
          <w:vertAlign w:val="baseline"/>
        </w:rPr>
        <w:t> </w:t>
      </w:r>
      <w:r>
        <w:rPr>
          <w:sz w:val="22"/>
          <w:vertAlign w:val="baseline"/>
        </w:rPr>
        <w:t>&amp;</w:t>
      </w:r>
      <w:r>
        <w:rPr>
          <w:spacing w:val="-5"/>
          <w:sz w:val="22"/>
          <w:vertAlign w:val="baseline"/>
        </w:rPr>
        <w:t> </w:t>
      </w:r>
      <w:r>
        <w:rPr>
          <w:sz w:val="22"/>
          <w:vertAlign w:val="baseline"/>
        </w:rPr>
        <w:t>Roadmaps,</w:t>
      </w:r>
      <w:r>
        <w:rPr>
          <w:spacing w:val="-8"/>
          <w:sz w:val="22"/>
          <w:vertAlign w:val="baseline"/>
        </w:rPr>
        <w:t> </w:t>
      </w:r>
      <w:r>
        <w:rPr>
          <w:spacing w:val="-4"/>
          <w:sz w:val="22"/>
          <w:vertAlign w:val="baseline"/>
        </w:rPr>
        <w:t>2025</w:t>
      </w:r>
    </w:p>
    <w:p>
      <w:pPr>
        <w:spacing w:after="0" w:line="268" w:lineRule="exact"/>
        <w:jc w:val="left"/>
        <w:rPr>
          <w:sz w:val="22"/>
        </w:rPr>
        <w:sectPr>
          <w:type w:val="continuous"/>
          <w:pgSz w:w="12240" w:h="15840"/>
          <w:pgMar w:header="161" w:footer="1223" w:top="1360" w:bottom="1420" w:left="0" w:right="0"/>
        </w:sectPr>
      </w:pPr>
    </w:p>
    <w:p>
      <w:pPr>
        <w:pStyle w:val="BodyText"/>
        <w:spacing w:line="259" w:lineRule="auto" w:before="64"/>
        <w:ind w:right="1588"/>
      </w:pPr>
      <w:r>
        <w:rPr/>
        <w:t>units with no occupants at</w:t>
      </w:r>
      <w:r>
        <w:rPr>
          <w:spacing w:val="-3"/>
        </w:rPr>
        <w:t> </w:t>
      </w:r>
      <w:r>
        <w:rPr/>
        <w:t>the fime</w:t>
      </w:r>
      <w:r>
        <w:rPr>
          <w:spacing w:val="-1"/>
        </w:rPr>
        <w:t> </w:t>
      </w:r>
      <w:r>
        <w:rPr/>
        <w:t>of the census, temporarily occupied</w:t>
      </w:r>
      <w:r>
        <w:rPr>
          <w:spacing w:val="-2"/>
        </w:rPr>
        <w:t> </w:t>
      </w:r>
      <w:r>
        <w:rPr/>
        <w:t>residences such as</w:t>
      </w:r>
      <w:r>
        <w:rPr>
          <w:spacing w:val="-1"/>
        </w:rPr>
        <w:t> </w:t>
      </w:r>
      <w:r>
        <w:rPr/>
        <w:t>short-term rentals and vacafion homes, and new units not yet occupied. As of 2025, Yates County has 615 short-term</w:t>
      </w:r>
      <w:r>
        <w:rPr>
          <w:spacing w:val="-6"/>
        </w:rPr>
        <w:t> </w:t>
      </w:r>
      <w:r>
        <w:rPr/>
        <w:t>rental</w:t>
      </w:r>
      <w:r>
        <w:rPr>
          <w:spacing w:val="-6"/>
        </w:rPr>
        <w:t> </w:t>
      </w:r>
      <w:r>
        <w:rPr/>
        <w:t>properfies</w:t>
      </w:r>
      <w:r>
        <w:rPr>
          <w:spacing w:val="-6"/>
        </w:rPr>
        <w:t> </w:t>
      </w:r>
      <w:r>
        <w:rPr/>
        <w:t>(i.e.,</w:t>
      </w:r>
      <w:r>
        <w:rPr>
          <w:spacing w:val="-7"/>
        </w:rPr>
        <w:t> </w:t>
      </w:r>
      <w:r>
        <w:rPr/>
        <w:t>residences</w:t>
      </w:r>
      <w:r>
        <w:rPr>
          <w:spacing w:val="-6"/>
        </w:rPr>
        <w:t> </w:t>
      </w:r>
      <w:r>
        <w:rPr/>
        <w:t>available</w:t>
      </w:r>
      <w:r>
        <w:rPr>
          <w:spacing w:val="-5"/>
        </w:rPr>
        <w:t> </w:t>
      </w:r>
      <w:r>
        <w:rPr/>
        <w:t>for</w:t>
      </w:r>
      <w:r>
        <w:rPr>
          <w:spacing w:val="-6"/>
        </w:rPr>
        <w:t> </w:t>
      </w:r>
      <w:r>
        <w:rPr/>
        <w:t>rent</w:t>
      </w:r>
      <w:r>
        <w:rPr>
          <w:spacing w:val="-5"/>
        </w:rPr>
        <w:t> </w:t>
      </w:r>
      <w:r>
        <w:rPr/>
        <w:t>up</w:t>
      </w:r>
      <w:r>
        <w:rPr>
          <w:spacing w:val="-6"/>
        </w:rPr>
        <w:t> </w:t>
      </w:r>
      <w:r>
        <w:rPr/>
        <w:t>to</w:t>
      </w:r>
      <w:r>
        <w:rPr>
          <w:spacing w:val="-6"/>
        </w:rPr>
        <w:t> </w:t>
      </w:r>
      <w:r>
        <w:rPr/>
        <w:t>30</w:t>
      </w:r>
      <w:r>
        <w:rPr>
          <w:spacing w:val="-6"/>
        </w:rPr>
        <w:t> </w:t>
      </w:r>
      <w:r>
        <w:rPr/>
        <w:t>days)</w:t>
      </w:r>
      <w:r>
        <w:rPr>
          <w:spacing w:val="-7"/>
        </w:rPr>
        <w:t> </w:t>
      </w:r>
      <w:r>
        <w:rPr/>
        <w:t>registered</w:t>
      </w:r>
      <w:r>
        <w:rPr>
          <w:spacing w:val="-8"/>
        </w:rPr>
        <w:t> </w:t>
      </w:r>
      <w:r>
        <w:rPr/>
        <w:t>with</w:t>
      </w:r>
      <w:r>
        <w:rPr>
          <w:spacing w:val="-6"/>
        </w:rPr>
        <w:t> </w:t>
      </w:r>
      <w:r>
        <w:rPr/>
        <w:t>the</w:t>
      </w:r>
      <w:r>
        <w:rPr>
          <w:spacing w:val="-5"/>
        </w:rPr>
        <w:t> </w:t>
      </w:r>
      <w:r>
        <w:rPr/>
        <w:t>Department of Finance. </w:t>
      </w:r>
      <w:hyperlink w:history="true" w:anchor="_bookmark8">
        <w:r>
          <w:rPr>
            <w:vertAlign w:val="superscript"/>
          </w:rPr>
          <w:t>40</w:t>
        </w:r>
      </w:hyperlink>
    </w:p>
    <w:p>
      <w:pPr>
        <w:pStyle w:val="BodyText"/>
        <w:spacing w:line="259" w:lineRule="auto" w:before="160"/>
        <w:ind w:right="1496"/>
      </w:pPr>
      <w:r>
        <w:rPr/>
        <w:t>According to the American Community Survey 5-year Esfimates, the 2023 vacancy rates (deﬁned diﬀerently</w:t>
      </w:r>
      <w:r>
        <w:rPr>
          <w:spacing w:val="-5"/>
        </w:rPr>
        <w:t> </w:t>
      </w:r>
      <w:r>
        <w:rPr/>
        <w:t>from</w:t>
      </w:r>
      <w:r>
        <w:rPr>
          <w:spacing w:val="-7"/>
        </w:rPr>
        <w:t> </w:t>
      </w:r>
      <w:r>
        <w:rPr/>
        <w:t>the</w:t>
      </w:r>
      <w:r>
        <w:rPr>
          <w:spacing w:val="-7"/>
        </w:rPr>
        <w:t> </w:t>
      </w:r>
      <w:r>
        <w:rPr/>
        <w:t>census)</w:t>
      </w:r>
      <w:r>
        <w:rPr>
          <w:spacing w:val="-5"/>
        </w:rPr>
        <w:t> </w:t>
      </w:r>
      <w:r>
        <w:rPr/>
        <w:t>indicated</w:t>
      </w:r>
      <w:r>
        <w:rPr>
          <w:spacing w:val="-6"/>
        </w:rPr>
        <w:t> </w:t>
      </w:r>
      <w:r>
        <w:rPr/>
        <w:t>the</w:t>
      </w:r>
      <w:r>
        <w:rPr>
          <w:spacing w:val="-8"/>
        </w:rPr>
        <w:t> </w:t>
      </w:r>
      <w:r>
        <w:rPr/>
        <w:t>housing</w:t>
      </w:r>
      <w:r>
        <w:rPr>
          <w:spacing w:val="-6"/>
        </w:rPr>
        <w:t> </w:t>
      </w:r>
      <w:r>
        <w:rPr/>
        <w:t>inventory</w:t>
      </w:r>
      <w:r>
        <w:rPr>
          <w:spacing w:val="-5"/>
        </w:rPr>
        <w:t> </w:t>
      </w:r>
      <w:r>
        <w:rPr/>
        <w:t>available</w:t>
      </w:r>
      <w:r>
        <w:rPr>
          <w:spacing w:val="-5"/>
        </w:rPr>
        <w:t> </w:t>
      </w:r>
      <w:r>
        <w:rPr/>
        <w:t>for</w:t>
      </w:r>
      <w:r>
        <w:rPr>
          <w:spacing w:val="-6"/>
        </w:rPr>
        <w:t> </w:t>
      </w:r>
      <w:r>
        <w:rPr/>
        <w:t>long-term</w:t>
      </w:r>
      <w:r>
        <w:rPr>
          <w:spacing w:val="-5"/>
        </w:rPr>
        <w:t> </w:t>
      </w:r>
      <w:r>
        <w:rPr/>
        <w:t>rent</w:t>
      </w:r>
      <w:r>
        <w:rPr>
          <w:spacing w:val="-8"/>
        </w:rPr>
        <w:t> </w:t>
      </w:r>
      <w:r>
        <w:rPr/>
        <w:t>or</w:t>
      </w:r>
      <w:r>
        <w:rPr>
          <w:spacing w:val="-6"/>
        </w:rPr>
        <w:t> </w:t>
      </w:r>
      <w:r>
        <w:rPr/>
        <w:t>sale</w:t>
      </w:r>
      <w:r>
        <w:rPr>
          <w:spacing w:val="-5"/>
        </w:rPr>
        <w:t> </w:t>
      </w:r>
      <w:r>
        <w:rPr/>
        <w:t>were</w:t>
      </w:r>
      <w:r>
        <w:rPr>
          <w:spacing w:val="-8"/>
        </w:rPr>
        <w:t> </w:t>
      </w:r>
      <w:r>
        <w:rPr/>
        <w:t>2% for</w:t>
      </w:r>
      <w:r>
        <w:rPr>
          <w:spacing w:val="-4"/>
        </w:rPr>
        <w:t> </w:t>
      </w:r>
      <w:r>
        <w:rPr/>
        <w:t>rental-occupied</w:t>
      </w:r>
      <w:r>
        <w:rPr>
          <w:spacing w:val="-5"/>
        </w:rPr>
        <w:t> </w:t>
      </w:r>
      <w:r>
        <w:rPr/>
        <w:t>units</w:t>
      </w:r>
      <w:r>
        <w:rPr>
          <w:spacing w:val="-4"/>
        </w:rPr>
        <w:t> </w:t>
      </w:r>
      <w:r>
        <w:rPr/>
        <w:t>and</w:t>
      </w:r>
      <w:r>
        <w:rPr>
          <w:spacing w:val="-4"/>
        </w:rPr>
        <w:t> </w:t>
      </w:r>
      <w:r>
        <w:rPr/>
        <w:t>1%</w:t>
      </w:r>
      <w:r>
        <w:rPr>
          <w:spacing w:val="-3"/>
        </w:rPr>
        <w:t> </w:t>
      </w:r>
      <w:r>
        <w:rPr/>
        <w:t>for</w:t>
      </w:r>
      <w:r>
        <w:rPr>
          <w:spacing w:val="-4"/>
        </w:rPr>
        <w:t> </w:t>
      </w:r>
      <w:r>
        <w:rPr/>
        <w:t>homeowner-occupied</w:t>
      </w:r>
      <w:r>
        <w:rPr>
          <w:spacing w:val="-5"/>
        </w:rPr>
        <w:t> </w:t>
      </w:r>
      <w:r>
        <w:rPr/>
        <w:t>units.</w:t>
      </w:r>
      <w:r>
        <w:rPr>
          <w:spacing w:val="-4"/>
        </w:rPr>
        <w:t> </w:t>
      </w:r>
      <w:r>
        <w:rPr/>
        <w:t>Concerns</w:t>
      </w:r>
      <w:r>
        <w:rPr>
          <w:spacing w:val="-6"/>
        </w:rPr>
        <w:t> </w:t>
      </w:r>
      <w:r>
        <w:rPr/>
        <w:t>over</w:t>
      </w:r>
      <w:r>
        <w:rPr>
          <w:spacing w:val="-6"/>
        </w:rPr>
        <w:t> </w:t>
      </w:r>
      <w:r>
        <w:rPr/>
        <w:t>a</w:t>
      </w:r>
      <w:r>
        <w:rPr>
          <w:spacing w:val="-4"/>
        </w:rPr>
        <w:t> </w:t>
      </w:r>
      <w:r>
        <w:rPr/>
        <w:t>shortage</w:t>
      </w:r>
      <w:r>
        <w:rPr>
          <w:spacing w:val="-3"/>
        </w:rPr>
        <w:t> </w:t>
      </w:r>
      <w:r>
        <w:rPr/>
        <w:t>of</w:t>
      </w:r>
      <w:r>
        <w:rPr>
          <w:spacing w:val="-7"/>
        </w:rPr>
        <w:t> </w:t>
      </w:r>
      <w:r>
        <w:rPr/>
        <w:t>aﬀordable middle-income housing and reasonably priced rental properfies were also discussed in focus groups.</w:t>
      </w:r>
    </w:p>
    <w:p>
      <w:pPr>
        <w:pStyle w:val="BodyText"/>
        <w:spacing w:line="259" w:lineRule="auto"/>
        <w:ind w:right="1467"/>
      </w:pPr>
      <w:r>
        <w:rPr/>
        <w:t>Approximately</w:t>
      </w:r>
      <w:r>
        <w:rPr>
          <w:spacing w:val="-3"/>
        </w:rPr>
        <w:t> </w:t>
      </w:r>
      <w:r>
        <w:rPr/>
        <w:t>26%</w:t>
      </w:r>
      <w:r>
        <w:rPr>
          <w:spacing w:val="-3"/>
        </w:rPr>
        <w:t> </w:t>
      </w:r>
      <w:r>
        <w:rPr/>
        <w:t>of</w:t>
      </w:r>
      <w:r>
        <w:rPr>
          <w:spacing w:val="-7"/>
        </w:rPr>
        <w:t> </w:t>
      </w:r>
      <w:r>
        <w:rPr/>
        <w:t>renter-occupied</w:t>
      </w:r>
      <w:r>
        <w:rPr>
          <w:spacing w:val="-4"/>
        </w:rPr>
        <w:t> </w:t>
      </w:r>
      <w:r>
        <w:rPr/>
        <w:t>households</w:t>
      </w:r>
      <w:r>
        <w:rPr>
          <w:spacing w:val="-4"/>
        </w:rPr>
        <w:t> </w:t>
      </w:r>
      <w:r>
        <w:rPr/>
        <w:t>contribute</w:t>
      </w:r>
      <w:r>
        <w:rPr>
          <w:spacing w:val="-3"/>
        </w:rPr>
        <w:t> </w:t>
      </w:r>
      <w:r>
        <w:rPr/>
        <w:t>more</w:t>
      </w:r>
      <w:r>
        <w:rPr>
          <w:spacing w:val="-3"/>
        </w:rPr>
        <w:t> </w:t>
      </w:r>
      <w:r>
        <w:rPr/>
        <w:t>than</w:t>
      </w:r>
      <w:r>
        <w:rPr>
          <w:spacing w:val="-7"/>
        </w:rPr>
        <w:t> </w:t>
      </w:r>
      <w:r>
        <w:rPr/>
        <w:t>35%</w:t>
      </w:r>
      <w:r>
        <w:rPr>
          <w:spacing w:val="-5"/>
        </w:rPr>
        <w:t> </w:t>
      </w:r>
      <w:r>
        <w:rPr/>
        <w:t>of</w:t>
      </w:r>
      <w:r>
        <w:rPr>
          <w:spacing w:val="-6"/>
        </w:rPr>
        <w:t> </w:t>
      </w:r>
      <w:r>
        <w:rPr/>
        <w:t>their</w:t>
      </w:r>
      <w:r>
        <w:rPr>
          <w:spacing w:val="-4"/>
        </w:rPr>
        <w:t> </w:t>
      </w:r>
      <w:r>
        <w:rPr/>
        <w:t>household's</w:t>
      </w:r>
      <w:r>
        <w:rPr>
          <w:spacing w:val="-4"/>
        </w:rPr>
        <w:t> </w:t>
      </w:r>
      <w:r>
        <w:rPr/>
        <w:t>gross income towards rent, indicafing a signiﬁcant cost burden for many residents. Furthermore, the average rent</w:t>
      </w:r>
      <w:r>
        <w:rPr>
          <w:spacing w:val="-5"/>
        </w:rPr>
        <w:t> </w:t>
      </w:r>
      <w:r>
        <w:rPr/>
        <w:t>in</w:t>
      </w:r>
      <w:r>
        <w:rPr>
          <w:spacing w:val="-7"/>
        </w:rPr>
        <w:t> </w:t>
      </w:r>
      <w:r>
        <w:rPr/>
        <w:t>Yates</w:t>
      </w:r>
      <w:r>
        <w:rPr>
          <w:spacing w:val="-6"/>
        </w:rPr>
        <w:t> </w:t>
      </w:r>
      <w:r>
        <w:rPr/>
        <w:t>County</w:t>
      </w:r>
      <w:r>
        <w:rPr>
          <w:spacing w:val="-7"/>
        </w:rPr>
        <w:t> </w:t>
      </w:r>
      <w:r>
        <w:rPr/>
        <w:t>was</w:t>
      </w:r>
      <w:r>
        <w:rPr>
          <w:spacing w:val="-8"/>
        </w:rPr>
        <w:t> </w:t>
      </w:r>
      <w:r>
        <w:rPr/>
        <w:t>$802</w:t>
      </w:r>
      <w:r>
        <w:rPr>
          <w:spacing w:val="-5"/>
        </w:rPr>
        <w:t> </w:t>
      </w:r>
      <w:r>
        <w:rPr/>
        <w:t>in</w:t>
      </w:r>
      <w:r>
        <w:rPr>
          <w:spacing w:val="-8"/>
        </w:rPr>
        <w:t> </w:t>
      </w:r>
      <w:r>
        <w:rPr/>
        <w:t>2023,</w:t>
      </w:r>
      <w:r>
        <w:rPr>
          <w:spacing w:val="-6"/>
        </w:rPr>
        <w:t> </w:t>
      </w:r>
      <w:r>
        <w:rPr/>
        <w:t>which</w:t>
      </w:r>
      <w:r>
        <w:rPr>
          <w:spacing w:val="-8"/>
        </w:rPr>
        <w:t> </w:t>
      </w:r>
      <w:r>
        <w:rPr/>
        <w:t>was</w:t>
      </w:r>
      <w:r>
        <w:rPr>
          <w:spacing w:val="-8"/>
        </w:rPr>
        <w:t> </w:t>
      </w:r>
      <w:r>
        <w:rPr/>
        <w:t>lower</w:t>
      </w:r>
      <w:r>
        <w:rPr>
          <w:spacing w:val="-6"/>
        </w:rPr>
        <w:t> </w:t>
      </w:r>
      <w:r>
        <w:rPr/>
        <w:t>than</w:t>
      </w:r>
      <w:r>
        <w:rPr>
          <w:spacing w:val="-7"/>
        </w:rPr>
        <w:t> </w:t>
      </w:r>
      <w:r>
        <w:rPr/>
        <w:t>in</w:t>
      </w:r>
      <w:r>
        <w:rPr>
          <w:spacing w:val="-7"/>
        </w:rPr>
        <w:t> </w:t>
      </w:r>
      <w:r>
        <w:rPr/>
        <w:t>neighboring</w:t>
      </w:r>
      <w:r>
        <w:rPr>
          <w:spacing w:val="-6"/>
        </w:rPr>
        <w:t> </w:t>
      </w:r>
      <w:r>
        <w:rPr/>
        <w:t>counfies.</w:t>
      </w:r>
      <w:r>
        <w:rPr>
          <w:spacing w:val="-6"/>
        </w:rPr>
        <w:t> </w:t>
      </w:r>
      <w:r>
        <w:rPr/>
        <w:t>However,</w:t>
      </w:r>
      <w:r>
        <w:rPr>
          <w:spacing w:val="-5"/>
        </w:rPr>
        <w:t> </w:t>
      </w:r>
      <w:r>
        <w:rPr/>
        <w:t>through discussions of lived experiences with focus groups, the cost of rent in 2025 is signiﬁcantly higher than that of 2023.</w:t>
      </w:r>
    </w:p>
    <w:p>
      <w:pPr>
        <w:pStyle w:val="BodyText"/>
        <w:spacing w:line="259" w:lineRule="auto" w:before="157"/>
        <w:ind w:right="1467"/>
      </w:pPr>
      <w:r>
        <w:rPr/>
        <w:t>Residents also raised the issue of lack of local senior housing and assisted living opfions that support aging</w:t>
      </w:r>
      <w:r>
        <w:rPr>
          <w:spacing w:val="-4"/>
        </w:rPr>
        <w:t> </w:t>
      </w:r>
      <w:r>
        <w:rPr/>
        <w:t>in</w:t>
      </w:r>
      <w:r>
        <w:rPr>
          <w:spacing w:val="-5"/>
        </w:rPr>
        <w:t> </w:t>
      </w:r>
      <w:r>
        <w:rPr/>
        <w:t>place.</w:t>
      </w:r>
      <w:r>
        <w:rPr>
          <w:spacing w:val="-5"/>
        </w:rPr>
        <w:t> </w:t>
      </w:r>
      <w:r>
        <w:rPr/>
        <w:t>According</w:t>
      </w:r>
      <w:r>
        <w:rPr>
          <w:spacing w:val="-4"/>
        </w:rPr>
        <w:t> </w:t>
      </w:r>
      <w:r>
        <w:rPr/>
        <w:t>to</w:t>
      </w:r>
      <w:r>
        <w:rPr>
          <w:spacing w:val="-5"/>
        </w:rPr>
        <w:t> </w:t>
      </w:r>
      <w:r>
        <w:rPr/>
        <w:t>the</w:t>
      </w:r>
      <w:r>
        <w:rPr>
          <w:spacing w:val="-5"/>
        </w:rPr>
        <w:t> </w:t>
      </w:r>
      <w:r>
        <w:rPr/>
        <w:t>Pro</w:t>
      </w:r>
      <w:r>
        <w:rPr>
          <w:spacing w:val="-3"/>
        </w:rPr>
        <w:t> </w:t>
      </w:r>
      <w:r>
        <w:rPr/>
        <w:t>Acfion</w:t>
      </w:r>
      <w:r>
        <w:rPr>
          <w:spacing w:val="-5"/>
        </w:rPr>
        <w:t> </w:t>
      </w:r>
      <w:r>
        <w:rPr/>
        <w:t>Oﬃce</w:t>
      </w:r>
      <w:r>
        <w:rPr>
          <w:spacing w:val="-3"/>
        </w:rPr>
        <w:t> </w:t>
      </w:r>
      <w:r>
        <w:rPr/>
        <w:t>for</w:t>
      </w:r>
      <w:r>
        <w:rPr>
          <w:spacing w:val="-4"/>
        </w:rPr>
        <w:t> </w:t>
      </w:r>
      <w:r>
        <w:rPr/>
        <w:t>the</w:t>
      </w:r>
      <w:r>
        <w:rPr>
          <w:spacing w:val="-3"/>
        </w:rPr>
        <w:t> </w:t>
      </w:r>
      <w:r>
        <w:rPr/>
        <w:t>Aging,</w:t>
      </w:r>
      <w:r>
        <w:rPr>
          <w:spacing w:val="-4"/>
        </w:rPr>
        <w:t> </w:t>
      </w:r>
      <w:r>
        <w:rPr/>
        <w:t>Yates</w:t>
      </w:r>
      <w:r>
        <w:rPr>
          <w:spacing w:val="-4"/>
        </w:rPr>
        <w:t> </w:t>
      </w:r>
      <w:r>
        <w:rPr/>
        <w:t>County</w:t>
      </w:r>
      <w:r>
        <w:rPr>
          <w:spacing w:val="-3"/>
        </w:rPr>
        <w:t> </w:t>
      </w:r>
      <w:r>
        <w:rPr/>
        <w:t>is</w:t>
      </w:r>
      <w:r>
        <w:rPr>
          <w:spacing w:val="-6"/>
        </w:rPr>
        <w:t> </w:t>
      </w:r>
      <w:r>
        <w:rPr/>
        <w:t>home</w:t>
      </w:r>
      <w:r>
        <w:rPr>
          <w:spacing w:val="-5"/>
        </w:rPr>
        <w:t> </w:t>
      </w:r>
      <w:r>
        <w:rPr/>
        <w:t>to</w:t>
      </w:r>
      <w:r>
        <w:rPr>
          <w:spacing w:val="-5"/>
        </w:rPr>
        <w:t> </w:t>
      </w:r>
      <w:r>
        <w:rPr/>
        <w:t>six</w:t>
      </w:r>
      <w:r>
        <w:rPr>
          <w:spacing w:val="-3"/>
        </w:rPr>
        <w:t> </w:t>
      </w:r>
      <w:r>
        <w:rPr/>
        <w:t>independent living homes and three higher-level care facilifies for older adults. Admission to these facilifies often involves</w:t>
      </w:r>
      <w:r>
        <w:rPr>
          <w:spacing w:val="-7"/>
        </w:rPr>
        <w:t> </w:t>
      </w:r>
      <w:r>
        <w:rPr/>
        <w:t>strict</w:t>
      </w:r>
      <w:r>
        <w:rPr>
          <w:spacing w:val="-4"/>
        </w:rPr>
        <w:t> </w:t>
      </w:r>
      <w:r>
        <w:rPr/>
        <w:t>eligibility</w:t>
      </w:r>
      <w:r>
        <w:rPr>
          <w:spacing w:val="-4"/>
        </w:rPr>
        <w:t> </w:t>
      </w:r>
      <w:r>
        <w:rPr/>
        <w:t>requirements</w:t>
      </w:r>
      <w:r>
        <w:rPr>
          <w:spacing w:val="-5"/>
        </w:rPr>
        <w:t> </w:t>
      </w:r>
      <w:r>
        <w:rPr/>
        <w:t>and</w:t>
      </w:r>
      <w:r>
        <w:rPr>
          <w:spacing w:val="-6"/>
        </w:rPr>
        <w:t> </w:t>
      </w:r>
      <w:r>
        <w:rPr/>
        <w:t>higher</w:t>
      </w:r>
      <w:r>
        <w:rPr>
          <w:spacing w:val="-5"/>
        </w:rPr>
        <w:t> </w:t>
      </w:r>
      <w:r>
        <w:rPr/>
        <w:t>costs</w:t>
      </w:r>
      <w:r>
        <w:rPr>
          <w:spacing w:val="-7"/>
        </w:rPr>
        <w:t> </w:t>
      </w:r>
      <w:r>
        <w:rPr/>
        <w:t>for</w:t>
      </w:r>
      <w:r>
        <w:rPr>
          <w:spacing w:val="-5"/>
        </w:rPr>
        <w:t> </w:t>
      </w:r>
      <w:r>
        <w:rPr/>
        <w:t>individuals</w:t>
      </w:r>
      <w:r>
        <w:rPr>
          <w:spacing w:val="-7"/>
        </w:rPr>
        <w:t> </w:t>
      </w:r>
      <w:r>
        <w:rPr/>
        <w:t>and</w:t>
      </w:r>
      <w:r>
        <w:rPr>
          <w:spacing w:val="-6"/>
        </w:rPr>
        <w:t> </w:t>
      </w:r>
      <w:r>
        <w:rPr/>
        <w:t>families.</w:t>
      </w:r>
      <w:r>
        <w:rPr>
          <w:spacing w:val="-5"/>
        </w:rPr>
        <w:t> </w:t>
      </w:r>
      <w:r>
        <w:rPr/>
        <w:t>The</w:t>
      </w:r>
      <w:r>
        <w:rPr>
          <w:spacing w:val="-4"/>
        </w:rPr>
        <w:t> </w:t>
      </w:r>
      <w:r>
        <w:rPr/>
        <w:t>ALICE</w:t>
      </w:r>
      <w:r>
        <w:rPr>
          <w:spacing w:val="-4"/>
        </w:rPr>
        <w:t> </w:t>
      </w:r>
      <w:r>
        <w:rPr/>
        <w:t>Household Monthly Survival Budget esfimates that a single senior needs $2,770/month to cover basic needs. New York State</w:t>
      </w:r>
      <w:r>
        <w:rPr>
          <w:spacing w:val="-1"/>
        </w:rPr>
        <w:t> </w:t>
      </w:r>
      <w:r>
        <w:rPr/>
        <w:t>reports</w:t>
      </w:r>
      <w:r>
        <w:rPr>
          <w:spacing w:val="-1"/>
        </w:rPr>
        <w:t> </w:t>
      </w:r>
      <w:r>
        <w:rPr/>
        <w:t>that the</w:t>
      </w:r>
      <w:r>
        <w:rPr>
          <w:spacing w:val="-1"/>
        </w:rPr>
        <w:t> </w:t>
      </w:r>
      <w:r>
        <w:rPr/>
        <w:t>average cost</w:t>
      </w:r>
      <w:r>
        <w:rPr>
          <w:spacing w:val="-1"/>
        </w:rPr>
        <w:t> </w:t>
      </w:r>
      <w:r>
        <w:rPr/>
        <w:t>of long-term care is between</w:t>
      </w:r>
      <w:r>
        <w:rPr>
          <w:spacing w:val="-2"/>
        </w:rPr>
        <w:t> </w:t>
      </w:r>
      <w:r>
        <w:rPr/>
        <w:t>$5,500 and</w:t>
      </w:r>
      <w:r>
        <w:rPr>
          <w:spacing w:val="-2"/>
        </w:rPr>
        <w:t> </w:t>
      </w:r>
      <w:r>
        <w:rPr/>
        <w:t>$13,000 per</w:t>
      </w:r>
      <w:r>
        <w:rPr>
          <w:spacing w:val="-1"/>
        </w:rPr>
        <w:t> </w:t>
      </w:r>
      <w:r>
        <w:rPr/>
        <w:t>month, a signiﬁcant</w:t>
      </w:r>
      <w:r>
        <w:rPr>
          <w:spacing w:val="-2"/>
        </w:rPr>
        <w:t> </w:t>
      </w:r>
      <w:r>
        <w:rPr/>
        <w:t>contrast</w:t>
      </w:r>
      <w:r>
        <w:rPr>
          <w:spacing w:val="-2"/>
        </w:rPr>
        <w:t> </w:t>
      </w:r>
      <w:r>
        <w:rPr/>
        <w:t>to</w:t>
      </w:r>
      <w:r>
        <w:rPr>
          <w:spacing w:val="-3"/>
        </w:rPr>
        <w:t> </w:t>
      </w:r>
      <w:r>
        <w:rPr/>
        <w:t>what</w:t>
      </w:r>
      <w:r>
        <w:rPr>
          <w:spacing w:val="-4"/>
        </w:rPr>
        <w:t> </w:t>
      </w:r>
      <w:r>
        <w:rPr/>
        <w:t>most</w:t>
      </w:r>
      <w:r>
        <w:rPr>
          <w:spacing w:val="-4"/>
        </w:rPr>
        <w:t> </w:t>
      </w:r>
      <w:r>
        <w:rPr/>
        <w:t>older</w:t>
      </w:r>
      <w:r>
        <w:rPr>
          <w:spacing w:val="-4"/>
        </w:rPr>
        <w:t> </w:t>
      </w:r>
      <w:r>
        <w:rPr/>
        <w:t>adults</w:t>
      </w:r>
      <w:r>
        <w:rPr>
          <w:spacing w:val="-2"/>
        </w:rPr>
        <w:t> </w:t>
      </w:r>
      <w:r>
        <w:rPr/>
        <w:t>can</w:t>
      </w:r>
      <w:r>
        <w:rPr>
          <w:spacing w:val="-2"/>
        </w:rPr>
        <w:t> </w:t>
      </w:r>
      <w:r>
        <w:rPr/>
        <w:t>aﬀord</w:t>
      </w:r>
      <w:hyperlink w:history="true" w:anchor="_bookmark9">
        <w:r>
          <w:rPr/>
          <w:t>.</w:t>
        </w:r>
        <w:r>
          <w:rPr>
            <w:vertAlign w:val="superscript"/>
          </w:rPr>
          <w:t>41</w:t>
        </w:r>
      </w:hyperlink>
      <w:r>
        <w:rPr>
          <w:spacing w:val="-3"/>
          <w:vertAlign w:val="baseline"/>
        </w:rPr>
        <w:t> </w:t>
      </w:r>
      <w:r>
        <w:rPr>
          <w:vertAlign w:val="baseline"/>
        </w:rPr>
        <w:t>As</w:t>
      </w:r>
      <w:r>
        <w:rPr>
          <w:spacing w:val="-2"/>
          <w:vertAlign w:val="baseline"/>
        </w:rPr>
        <w:t> </w:t>
      </w:r>
      <w:r>
        <w:rPr>
          <w:vertAlign w:val="baseline"/>
        </w:rPr>
        <w:t>a</w:t>
      </w:r>
      <w:r>
        <w:rPr>
          <w:spacing w:val="-2"/>
          <w:vertAlign w:val="baseline"/>
        </w:rPr>
        <w:t> </w:t>
      </w:r>
      <w:r>
        <w:rPr>
          <w:vertAlign w:val="baseline"/>
        </w:rPr>
        <w:t>result,</w:t>
      </w:r>
      <w:r>
        <w:rPr>
          <w:spacing w:val="-4"/>
          <w:vertAlign w:val="baseline"/>
        </w:rPr>
        <w:t> </w:t>
      </w:r>
      <w:r>
        <w:rPr>
          <w:vertAlign w:val="baseline"/>
        </w:rPr>
        <w:t>many</w:t>
      </w:r>
      <w:r>
        <w:rPr>
          <w:spacing w:val="-1"/>
          <w:vertAlign w:val="baseline"/>
        </w:rPr>
        <w:t> </w:t>
      </w:r>
      <w:r>
        <w:rPr>
          <w:vertAlign w:val="baseline"/>
        </w:rPr>
        <w:t>local</w:t>
      </w:r>
      <w:r>
        <w:rPr>
          <w:spacing w:val="-2"/>
          <w:vertAlign w:val="baseline"/>
        </w:rPr>
        <w:t> </w:t>
      </w:r>
      <w:r>
        <w:rPr>
          <w:vertAlign w:val="baseline"/>
        </w:rPr>
        <w:t>seniors</w:t>
      </w:r>
      <w:r>
        <w:rPr>
          <w:spacing w:val="-2"/>
          <w:vertAlign w:val="baseline"/>
        </w:rPr>
        <w:t> </w:t>
      </w:r>
      <w:r>
        <w:rPr>
          <w:vertAlign w:val="baseline"/>
        </w:rPr>
        <w:t>are</w:t>
      </w:r>
      <w:r>
        <w:rPr>
          <w:spacing w:val="-1"/>
          <w:vertAlign w:val="baseline"/>
        </w:rPr>
        <w:t> </w:t>
      </w:r>
      <w:r>
        <w:rPr>
          <w:vertAlign w:val="baseline"/>
        </w:rPr>
        <w:t>compelled to relocate to more suitable living arrangements elsewhere.</w:t>
      </w:r>
    </w:p>
    <w:p>
      <w:pPr>
        <w:pStyle w:val="BodyText"/>
        <w:spacing w:line="259" w:lineRule="auto" w:before="158"/>
        <w:ind w:right="1467"/>
      </w:pPr>
      <w:r>
        <w:rPr/>
        <w:t>Focus group parficipants expressed a strong connecfion to their community and a desire to remain in Yates County as they age. However, barriers such as lack of in-home assistance, high costs, and transportafion challenges were noted as reasons older adults often seek alternafive living accommodafions. Aging in place is associated with individual and community beneﬁts, including improved</w:t>
      </w:r>
      <w:r>
        <w:rPr>
          <w:spacing w:val="-2"/>
        </w:rPr>
        <w:t> </w:t>
      </w:r>
      <w:r>
        <w:rPr/>
        <w:t>life safisfacfion</w:t>
      </w:r>
      <w:r>
        <w:rPr>
          <w:spacing w:val="-2"/>
        </w:rPr>
        <w:t> </w:t>
      </w:r>
      <w:r>
        <w:rPr/>
        <w:t>and</w:t>
      </w:r>
      <w:r>
        <w:rPr>
          <w:spacing w:val="-2"/>
        </w:rPr>
        <w:t> </w:t>
      </w:r>
      <w:r>
        <w:rPr/>
        <w:t>increased</w:t>
      </w:r>
      <w:r>
        <w:rPr>
          <w:spacing w:val="-4"/>
        </w:rPr>
        <w:t> </w:t>
      </w:r>
      <w:r>
        <w:rPr/>
        <w:t>volunteerism</w:t>
      </w:r>
      <w:hyperlink w:history="true" w:anchor="_bookmark10">
        <w:r>
          <w:rPr/>
          <w:t>.</w:t>
        </w:r>
        <w:r>
          <w:rPr>
            <w:vertAlign w:val="superscript"/>
          </w:rPr>
          <w:t>42</w:t>
        </w:r>
      </w:hyperlink>
      <w:r>
        <w:rPr>
          <w:spacing w:val="-2"/>
          <w:vertAlign w:val="baseline"/>
        </w:rPr>
        <w:t> </w:t>
      </w:r>
      <w:r>
        <w:rPr>
          <w:vertAlign w:val="baseline"/>
        </w:rPr>
        <w:t>With</w:t>
      </w:r>
      <w:r>
        <w:rPr>
          <w:spacing w:val="-2"/>
          <w:vertAlign w:val="baseline"/>
        </w:rPr>
        <w:t> </w:t>
      </w:r>
      <w:r>
        <w:rPr>
          <w:vertAlign w:val="baseline"/>
        </w:rPr>
        <w:t>nearly a</w:t>
      </w:r>
      <w:r>
        <w:rPr>
          <w:spacing w:val="-3"/>
          <w:vertAlign w:val="baseline"/>
        </w:rPr>
        <w:t> </w:t>
      </w:r>
      <w:r>
        <w:rPr>
          <w:vertAlign w:val="baseline"/>
        </w:rPr>
        <w:t>quarter</w:t>
      </w:r>
      <w:r>
        <w:rPr>
          <w:spacing w:val="-4"/>
          <w:vertAlign w:val="baseline"/>
        </w:rPr>
        <w:t> </w:t>
      </w:r>
      <w:r>
        <w:rPr>
          <w:vertAlign w:val="baseline"/>
        </w:rPr>
        <w:t>of</w:t>
      </w:r>
      <w:r>
        <w:rPr>
          <w:spacing w:val="-4"/>
          <w:vertAlign w:val="baseline"/>
        </w:rPr>
        <w:t> </w:t>
      </w:r>
      <w:r>
        <w:rPr>
          <w:vertAlign w:val="baseline"/>
        </w:rPr>
        <w:t>the populafion</w:t>
      </w:r>
      <w:r>
        <w:rPr>
          <w:spacing w:val="-4"/>
          <w:vertAlign w:val="baseline"/>
        </w:rPr>
        <w:t> </w:t>
      </w:r>
      <w:r>
        <w:rPr>
          <w:vertAlign w:val="baseline"/>
        </w:rPr>
        <w:t>aged</w:t>
      </w:r>
      <w:r>
        <w:rPr>
          <w:spacing w:val="-2"/>
          <w:vertAlign w:val="baseline"/>
        </w:rPr>
        <w:t> </w:t>
      </w:r>
      <w:r>
        <w:rPr>
          <w:vertAlign w:val="baseline"/>
        </w:rPr>
        <w:t>65 and</w:t>
      </w:r>
      <w:r>
        <w:rPr>
          <w:spacing w:val="-6"/>
          <w:vertAlign w:val="baseline"/>
        </w:rPr>
        <w:t> </w:t>
      </w:r>
      <w:r>
        <w:rPr>
          <w:vertAlign w:val="baseline"/>
        </w:rPr>
        <w:t>older,</w:t>
      </w:r>
      <w:r>
        <w:rPr>
          <w:spacing w:val="-4"/>
          <w:vertAlign w:val="baseline"/>
        </w:rPr>
        <w:t> </w:t>
      </w:r>
      <w:r>
        <w:rPr>
          <w:vertAlign w:val="baseline"/>
        </w:rPr>
        <w:t>concerns</w:t>
      </w:r>
      <w:r>
        <w:rPr>
          <w:spacing w:val="-8"/>
          <w:vertAlign w:val="baseline"/>
        </w:rPr>
        <w:t> </w:t>
      </w:r>
      <w:r>
        <w:rPr>
          <w:vertAlign w:val="baseline"/>
        </w:rPr>
        <w:t>about</w:t>
      </w:r>
      <w:r>
        <w:rPr>
          <w:spacing w:val="-7"/>
          <w:vertAlign w:val="baseline"/>
        </w:rPr>
        <w:t> </w:t>
      </w:r>
      <w:r>
        <w:rPr>
          <w:vertAlign w:val="baseline"/>
        </w:rPr>
        <w:t>the</w:t>
      </w:r>
      <w:r>
        <w:rPr>
          <w:spacing w:val="-4"/>
          <w:vertAlign w:val="baseline"/>
        </w:rPr>
        <w:t> </w:t>
      </w:r>
      <w:r>
        <w:rPr>
          <w:vertAlign w:val="baseline"/>
        </w:rPr>
        <w:t>availability</w:t>
      </w:r>
      <w:r>
        <w:rPr>
          <w:spacing w:val="-7"/>
          <w:vertAlign w:val="baseline"/>
        </w:rPr>
        <w:t> </w:t>
      </w:r>
      <w:r>
        <w:rPr>
          <w:vertAlign w:val="baseline"/>
        </w:rPr>
        <w:t>of</w:t>
      </w:r>
      <w:r>
        <w:rPr>
          <w:spacing w:val="-5"/>
          <w:vertAlign w:val="baseline"/>
        </w:rPr>
        <w:t> </w:t>
      </w:r>
      <w:r>
        <w:rPr>
          <w:vertAlign w:val="baseline"/>
        </w:rPr>
        <w:t>aging</w:t>
      </w:r>
      <w:r>
        <w:rPr>
          <w:spacing w:val="-6"/>
          <w:vertAlign w:val="baseline"/>
        </w:rPr>
        <w:t> </w:t>
      </w:r>
      <w:r>
        <w:rPr>
          <w:vertAlign w:val="baseline"/>
        </w:rPr>
        <w:t>in</w:t>
      </w:r>
      <w:r>
        <w:rPr>
          <w:spacing w:val="-6"/>
          <w:vertAlign w:val="baseline"/>
        </w:rPr>
        <w:t> </w:t>
      </w:r>
      <w:r>
        <w:rPr>
          <w:vertAlign w:val="baseline"/>
        </w:rPr>
        <w:t>place</w:t>
      </w:r>
      <w:r>
        <w:rPr>
          <w:spacing w:val="-7"/>
          <w:vertAlign w:val="baseline"/>
        </w:rPr>
        <w:t> </w:t>
      </w:r>
      <w:r>
        <w:rPr>
          <w:vertAlign w:val="baseline"/>
        </w:rPr>
        <w:t>opfions</w:t>
      </w:r>
      <w:r>
        <w:rPr>
          <w:spacing w:val="-7"/>
          <w:vertAlign w:val="baseline"/>
        </w:rPr>
        <w:t> </w:t>
      </w:r>
      <w:r>
        <w:rPr>
          <w:vertAlign w:val="baseline"/>
        </w:rPr>
        <w:t>are</w:t>
      </w:r>
      <w:r>
        <w:rPr>
          <w:spacing w:val="-7"/>
          <w:vertAlign w:val="baseline"/>
        </w:rPr>
        <w:t> </w:t>
      </w:r>
      <w:r>
        <w:rPr>
          <w:vertAlign w:val="baseline"/>
        </w:rPr>
        <w:t>likely</w:t>
      </w:r>
      <w:r>
        <w:rPr>
          <w:spacing w:val="-5"/>
          <w:vertAlign w:val="baseline"/>
        </w:rPr>
        <w:t> </w:t>
      </w:r>
      <w:r>
        <w:rPr>
          <w:vertAlign w:val="baseline"/>
        </w:rPr>
        <w:t>to</w:t>
      </w:r>
      <w:r>
        <w:rPr>
          <w:spacing w:val="-5"/>
          <w:vertAlign w:val="baseline"/>
        </w:rPr>
        <w:t> </w:t>
      </w:r>
      <w:r>
        <w:rPr>
          <w:vertAlign w:val="baseline"/>
        </w:rPr>
        <w:t>grow</w:t>
      </w:r>
      <w:r>
        <w:rPr>
          <w:spacing w:val="-4"/>
          <w:vertAlign w:val="baseline"/>
        </w:rPr>
        <w:t> </w:t>
      </w:r>
      <w:r>
        <w:rPr>
          <w:vertAlign w:val="baseline"/>
        </w:rPr>
        <w:t>in</w:t>
      </w:r>
      <w:r>
        <w:rPr>
          <w:spacing w:val="-5"/>
          <w:vertAlign w:val="baseline"/>
        </w:rPr>
        <w:t> </w:t>
      </w:r>
      <w:r>
        <w:rPr>
          <w:vertAlign w:val="baseline"/>
        </w:rPr>
        <w:t>the</w:t>
      </w:r>
      <w:r>
        <w:rPr>
          <w:spacing w:val="-8"/>
          <w:vertAlign w:val="baseline"/>
        </w:rPr>
        <w:t> </w:t>
      </w:r>
      <w:r>
        <w:rPr>
          <w:vertAlign w:val="baseline"/>
        </w:rPr>
        <w:t>coming</w:t>
      </w:r>
      <w:r>
        <w:rPr>
          <w:spacing w:val="-8"/>
          <w:vertAlign w:val="baseline"/>
        </w:rPr>
        <w:t> </w:t>
      </w:r>
      <w:r>
        <w:rPr>
          <w:spacing w:val="-2"/>
          <w:vertAlign w:val="baseline"/>
        </w:rPr>
        <w:t>years.</w:t>
      </w:r>
    </w:p>
    <w:p>
      <w:pPr>
        <w:pStyle w:val="BodyText"/>
        <w:spacing w:line="259" w:lineRule="auto" w:before="158"/>
        <w:ind w:right="1485"/>
      </w:pPr>
      <w:r>
        <w:rPr>
          <w:b/>
          <w:i/>
        </w:rPr>
        <w:t>Economic</w:t>
      </w:r>
      <w:r>
        <w:rPr>
          <w:b/>
          <w:i/>
          <w:spacing w:val="-4"/>
        </w:rPr>
        <w:t> </w:t>
      </w:r>
      <w:r>
        <w:rPr>
          <w:b/>
          <w:i/>
        </w:rPr>
        <w:t>Stability</w:t>
      </w:r>
      <w:r>
        <w:rPr>
          <w:b/>
          <w:i/>
          <w:spacing w:val="-5"/>
        </w:rPr>
        <w:t> </w:t>
      </w:r>
      <w:r>
        <w:rPr>
          <w:b/>
          <w:i/>
        </w:rPr>
        <w:t>Domain</w:t>
      </w:r>
      <w:r>
        <w:rPr>
          <w:b/>
          <w:i/>
          <w:spacing w:val="-5"/>
        </w:rPr>
        <w:t> </w:t>
      </w:r>
      <w:r>
        <w:rPr>
          <w:b/>
          <w:i/>
        </w:rPr>
        <w:t>Summary</w:t>
      </w:r>
      <w:r>
        <w:rPr/>
        <w:t>:</w:t>
      </w:r>
      <w:r>
        <w:rPr>
          <w:spacing w:val="-5"/>
        </w:rPr>
        <w:t> </w:t>
      </w:r>
      <w:r>
        <w:rPr/>
        <w:t>The</w:t>
      </w:r>
      <w:r>
        <w:rPr>
          <w:spacing w:val="-4"/>
        </w:rPr>
        <w:t> </w:t>
      </w:r>
      <w:r>
        <w:rPr/>
        <w:t>percent</w:t>
      </w:r>
      <w:r>
        <w:rPr>
          <w:spacing w:val="-6"/>
        </w:rPr>
        <w:t> </w:t>
      </w:r>
      <w:r>
        <w:rPr/>
        <w:t>of</w:t>
      </w:r>
      <w:r>
        <w:rPr>
          <w:spacing w:val="-9"/>
        </w:rPr>
        <w:t> </w:t>
      </w:r>
      <w:r>
        <w:rPr/>
        <w:t>people</w:t>
      </w:r>
      <w:r>
        <w:rPr>
          <w:spacing w:val="-4"/>
        </w:rPr>
        <w:t> </w:t>
      </w:r>
      <w:r>
        <w:rPr/>
        <w:t>living</w:t>
      </w:r>
      <w:r>
        <w:rPr>
          <w:spacing w:val="-5"/>
        </w:rPr>
        <w:t> </w:t>
      </w:r>
      <w:r>
        <w:rPr/>
        <w:t>in</w:t>
      </w:r>
      <w:r>
        <w:rPr>
          <w:spacing w:val="-5"/>
        </w:rPr>
        <w:t> </w:t>
      </w:r>
      <w:r>
        <w:rPr/>
        <w:t>poverty</w:t>
      </w:r>
      <w:r>
        <w:rPr>
          <w:spacing w:val="-5"/>
        </w:rPr>
        <w:t> </w:t>
      </w:r>
      <w:r>
        <w:rPr/>
        <w:t>in</w:t>
      </w:r>
      <w:r>
        <w:rPr>
          <w:spacing w:val="-5"/>
        </w:rPr>
        <w:t> </w:t>
      </w:r>
      <w:r>
        <w:rPr/>
        <w:t>Yates</w:t>
      </w:r>
      <w:r>
        <w:rPr>
          <w:spacing w:val="-4"/>
        </w:rPr>
        <w:t> </w:t>
      </w:r>
      <w:r>
        <w:rPr/>
        <w:t>County</w:t>
      </w:r>
      <w:r>
        <w:rPr>
          <w:spacing w:val="-4"/>
        </w:rPr>
        <w:t> </w:t>
      </w:r>
      <w:r>
        <w:rPr/>
        <w:t>has</w:t>
      </w:r>
      <w:r>
        <w:rPr>
          <w:spacing w:val="-6"/>
        </w:rPr>
        <w:t> </w:t>
      </w:r>
      <w:r>
        <w:rPr/>
        <w:t>shown a steady increase since 2018, rising from 11.4% (2018) to 14.1% (2023). This same upward trend in poverty rates can also be seen among populafions who are 65 and older in Yates County. Employment indicators are strong, with lower unemployment, however, the gross hourly wage needed to sustain a family of four remains below the median household income. Nutrifion security has improved, and the county’s</w:t>
      </w:r>
      <w:r>
        <w:rPr>
          <w:spacing w:val="-1"/>
        </w:rPr>
        <w:t> </w:t>
      </w:r>
      <w:r>
        <w:rPr/>
        <w:t>overall food environment now aligns with the state average. Homeownership rates have declined, and signiﬁcant cost burdens persist, especially for vulnerable populafions like the aging and low-income residents.</w:t>
      </w:r>
    </w:p>
    <w:p>
      <w:pPr>
        <w:pStyle w:val="BodyText"/>
        <w:ind w:left="0"/>
        <w:rPr>
          <w:sz w:val="20"/>
        </w:rPr>
      </w:pPr>
    </w:p>
    <w:p>
      <w:pPr>
        <w:pStyle w:val="BodyText"/>
        <w:ind w:left="0"/>
        <w:rPr>
          <w:sz w:val="20"/>
        </w:rPr>
      </w:pPr>
    </w:p>
    <w:p>
      <w:pPr>
        <w:pStyle w:val="BodyText"/>
        <w:spacing w:before="217"/>
        <w:ind w:left="0"/>
        <w:rPr>
          <w:sz w:val="20"/>
        </w:rPr>
      </w:pPr>
      <w:r>
        <w:rPr>
          <w:sz w:val="20"/>
        </w:rPr>
        <mc:AlternateContent>
          <mc:Choice Requires="wps">
            <w:drawing>
              <wp:anchor distT="0" distB="0" distL="0" distR="0" allowOverlap="1" layoutInCell="1" locked="0" behindDoc="1" simplePos="0" relativeHeight="487600128">
                <wp:simplePos x="0" y="0"/>
                <wp:positionH relativeFrom="page">
                  <wp:posOffset>914400</wp:posOffset>
                </wp:positionH>
                <wp:positionV relativeFrom="paragraph">
                  <wp:posOffset>308325</wp:posOffset>
                </wp:positionV>
                <wp:extent cx="1828800" cy="9525"/>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4.277588pt;width:144pt;height:.72pt;mso-position-horizontal-relative:page;mso-position-vertical-relative:paragraph;z-index:-15716352;mso-wrap-distance-left:0;mso-wrap-distance-right:0" id="docshape63" filled="true" fillcolor="#000000" stroked="false">
                <v:fill type="solid"/>
                <w10:wrap type="topAndBottom"/>
              </v:rect>
            </w:pict>
          </mc:Fallback>
        </mc:AlternateContent>
      </w:r>
    </w:p>
    <w:p>
      <w:pPr>
        <w:spacing w:before="102"/>
        <w:ind w:left="1440" w:right="1782" w:firstLine="0"/>
        <w:jc w:val="left"/>
        <w:rPr>
          <w:sz w:val="20"/>
        </w:rPr>
      </w:pPr>
      <w:r>
        <w:rPr>
          <w:spacing w:val="-2"/>
          <w:sz w:val="20"/>
          <w:vertAlign w:val="superscript"/>
        </w:rPr>
        <w:t>40</w:t>
      </w:r>
      <w:r>
        <w:rPr>
          <w:spacing w:val="-2"/>
          <w:sz w:val="20"/>
          <w:vertAlign w:val="baseline"/>
        </w:rPr>
        <w:t> </w:t>
      </w:r>
      <w:bookmarkStart w:name="_bookmark8" w:id="9"/>
      <w:bookmarkEnd w:id="9"/>
      <w:r>
        <w:rPr>
          <w:spacing w:val="-2"/>
          <w:sz w:val="20"/>
          <w:vertAlign w:val="baseline"/>
        </w:rPr>
        <w:t>S</w:t>
      </w:r>
      <w:r>
        <w:rPr>
          <w:spacing w:val="-2"/>
          <w:sz w:val="20"/>
          <w:vertAlign w:val="baseline"/>
        </w:rPr>
        <w:t>ource: Yates County Document Center: hftps://</w:t>
      </w:r>
      <w:hyperlink r:id="rId26">
        <w:r>
          <w:rPr>
            <w:spacing w:val="-2"/>
            <w:sz w:val="20"/>
            <w:vertAlign w:val="baseline"/>
          </w:rPr>
          <w:t>www.yatescountyny.gov/DocumentCenter/View/8733/Yates-</w:t>
        </w:r>
      </w:hyperlink>
      <w:r>
        <w:rPr>
          <w:spacing w:val="-2"/>
          <w:sz w:val="20"/>
          <w:vertAlign w:val="baseline"/>
        </w:rPr>
        <w:t>County-Registered-STR-Properfies?bidId=</w:t>
      </w:r>
    </w:p>
    <w:p>
      <w:pPr>
        <w:spacing w:line="243" w:lineRule="exact" w:before="0"/>
        <w:ind w:left="1440" w:right="0" w:firstLine="0"/>
        <w:jc w:val="left"/>
        <w:rPr>
          <w:sz w:val="20"/>
        </w:rPr>
      </w:pPr>
      <w:r>
        <w:rPr>
          <w:sz w:val="20"/>
          <w:vertAlign w:val="superscript"/>
        </w:rPr>
        <w:t>41</w:t>
      </w:r>
      <w:r>
        <w:rPr>
          <w:spacing w:val="-10"/>
          <w:sz w:val="20"/>
          <w:vertAlign w:val="baseline"/>
        </w:rPr>
        <w:t> </w:t>
      </w:r>
      <w:bookmarkStart w:name="_bookmark9" w:id="10"/>
      <w:bookmarkEnd w:id="10"/>
      <w:r>
        <w:rPr>
          <w:sz w:val="20"/>
          <w:vertAlign w:val="baseline"/>
        </w:rPr>
        <w:t>S</w:t>
      </w:r>
      <w:r>
        <w:rPr>
          <w:sz w:val="20"/>
          <w:vertAlign w:val="baseline"/>
        </w:rPr>
        <w:t>ource:</w:t>
      </w:r>
      <w:r>
        <w:rPr>
          <w:spacing w:val="-8"/>
          <w:sz w:val="20"/>
          <w:vertAlign w:val="baseline"/>
        </w:rPr>
        <w:t> </w:t>
      </w:r>
      <w:r>
        <w:rPr>
          <w:sz w:val="20"/>
          <w:vertAlign w:val="baseline"/>
        </w:rPr>
        <w:t>New</w:t>
      </w:r>
      <w:r>
        <w:rPr>
          <w:spacing w:val="-10"/>
          <w:sz w:val="20"/>
          <w:vertAlign w:val="baseline"/>
        </w:rPr>
        <w:t> </w:t>
      </w:r>
      <w:r>
        <w:rPr>
          <w:sz w:val="20"/>
          <w:vertAlign w:val="baseline"/>
        </w:rPr>
        <w:t>York</w:t>
      </w:r>
      <w:r>
        <w:rPr>
          <w:spacing w:val="-8"/>
          <w:sz w:val="20"/>
          <w:vertAlign w:val="baseline"/>
        </w:rPr>
        <w:t> </w:t>
      </w:r>
      <w:r>
        <w:rPr>
          <w:sz w:val="20"/>
          <w:vertAlign w:val="baseline"/>
        </w:rPr>
        <w:t>State</w:t>
      </w:r>
      <w:r>
        <w:rPr>
          <w:spacing w:val="-9"/>
          <w:sz w:val="20"/>
          <w:vertAlign w:val="baseline"/>
        </w:rPr>
        <w:t> </w:t>
      </w:r>
      <w:r>
        <w:rPr>
          <w:sz w:val="20"/>
          <w:vertAlign w:val="baseline"/>
        </w:rPr>
        <w:t>Department</w:t>
      </w:r>
      <w:r>
        <w:rPr>
          <w:spacing w:val="-8"/>
          <w:sz w:val="20"/>
          <w:vertAlign w:val="baseline"/>
        </w:rPr>
        <w:t> </w:t>
      </w:r>
      <w:r>
        <w:rPr>
          <w:sz w:val="20"/>
          <w:vertAlign w:val="baseline"/>
        </w:rPr>
        <w:t>of</w:t>
      </w:r>
      <w:r>
        <w:rPr>
          <w:spacing w:val="-9"/>
          <w:sz w:val="20"/>
          <w:vertAlign w:val="baseline"/>
        </w:rPr>
        <w:t> </w:t>
      </w:r>
      <w:r>
        <w:rPr>
          <w:sz w:val="20"/>
          <w:vertAlign w:val="baseline"/>
        </w:rPr>
        <w:t>Financial</w:t>
      </w:r>
      <w:r>
        <w:rPr>
          <w:spacing w:val="-9"/>
          <w:sz w:val="20"/>
          <w:vertAlign w:val="baseline"/>
        </w:rPr>
        <w:t> </w:t>
      </w:r>
      <w:r>
        <w:rPr>
          <w:sz w:val="20"/>
          <w:vertAlign w:val="baseline"/>
        </w:rPr>
        <w:t>Services,</w:t>
      </w:r>
      <w:r>
        <w:rPr>
          <w:spacing w:val="-7"/>
          <w:sz w:val="20"/>
          <w:vertAlign w:val="baseline"/>
        </w:rPr>
        <w:t> </w:t>
      </w:r>
      <w:r>
        <w:rPr>
          <w:spacing w:val="-4"/>
          <w:sz w:val="20"/>
          <w:vertAlign w:val="baseline"/>
        </w:rPr>
        <w:t>2023</w:t>
      </w:r>
    </w:p>
    <w:p>
      <w:pPr>
        <w:spacing w:before="1"/>
        <w:ind w:left="1440" w:right="0" w:firstLine="0"/>
        <w:jc w:val="left"/>
        <w:rPr>
          <w:sz w:val="20"/>
        </w:rPr>
      </w:pPr>
      <w:r>
        <w:rPr>
          <w:sz w:val="20"/>
          <w:vertAlign w:val="superscript"/>
        </w:rPr>
        <w:t>42</w:t>
      </w:r>
      <w:r>
        <w:rPr>
          <w:spacing w:val="-9"/>
          <w:sz w:val="20"/>
          <w:vertAlign w:val="baseline"/>
        </w:rPr>
        <w:t> </w:t>
      </w:r>
      <w:bookmarkStart w:name="_bookmark10" w:id="11"/>
      <w:bookmarkEnd w:id="11"/>
      <w:r>
        <w:rPr>
          <w:sz w:val="20"/>
          <w:vertAlign w:val="baseline"/>
        </w:rPr>
        <w:t>S</w:t>
      </w:r>
      <w:r>
        <w:rPr>
          <w:sz w:val="20"/>
          <w:vertAlign w:val="baseline"/>
        </w:rPr>
        <w:t>ource:</w:t>
      </w:r>
      <w:r>
        <w:rPr>
          <w:spacing w:val="-8"/>
          <w:sz w:val="20"/>
          <w:vertAlign w:val="baseline"/>
        </w:rPr>
        <w:t> </w:t>
      </w:r>
      <w:r>
        <w:rPr>
          <w:sz w:val="20"/>
          <w:vertAlign w:val="baseline"/>
        </w:rPr>
        <w:t>Rural</w:t>
      </w:r>
      <w:r>
        <w:rPr>
          <w:spacing w:val="-7"/>
          <w:sz w:val="20"/>
          <w:vertAlign w:val="baseline"/>
        </w:rPr>
        <w:t> </w:t>
      </w:r>
      <w:r>
        <w:rPr>
          <w:sz w:val="20"/>
          <w:vertAlign w:val="baseline"/>
        </w:rPr>
        <w:t>Health</w:t>
      </w:r>
      <w:r>
        <w:rPr>
          <w:spacing w:val="-7"/>
          <w:sz w:val="20"/>
          <w:vertAlign w:val="baseline"/>
        </w:rPr>
        <w:t> </w:t>
      </w:r>
      <w:r>
        <w:rPr>
          <w:sz w:val="20"/>
          <w:vertAlign w:val="baseline"/>
        </w:rPr>
        <w:t>Informafion</w:t>
      </w:r>
      <w:r>
        <w:rPr>
          <w:spacing w:val="-7"/>
          <w:sz w:val="20"/>
          <w:vertAlign w:val="baseline"/>
        </w:rPr>
        <w:t> </w:t>
      </w:r>
      <w:r>
        <w:rPr>
          <w:sz w:val="20"/>
          <w:vertAlign w:val="baseline"/>
        </w:rPr>
        <w:t>Hub,</w:t>
      </w:r>
      <w:r>
        <w:rPr>
          <w:spacing w:val="-7"/>
          <w:sz w:val="20"/>
          <w:vertAlign w:val="baseline"/>
        </w:rPr>
        <w:t> </w:t>
      </w:r>
      <w:r>
        <w:rPr>
          <w:spacing w:val="-4"/>
          <w:sz w:val="20"/>
          <w:vertAlign w:val="baseline"/>
        </w:rPr>
        <w:t>2019</w:t>
      </w:r>
    </w:p>
    <w:p>
      <w:pPr>
        <w:spacing w:after="0"/>
        <w:jc w:val="left"/>
        <w:rPr>
          <w:sz w:val="20"/>
        </w:rPr>
        <w:sectPr>
          <w:pgSz w:w="12240" w:h="15840"/>
          <w:pgMar w:header="161" w:footer="1223" w:top="1360" w:bottom="1420" w:left="0" w:right="0"/>
        </w:sectPr>
      </w:pPr>
    </w:p>
    <w:p>
      <w:pPr>
        <w:pStyle w:val="Heading2"/>
        <w:rPr>
          <w:i/>
        </w:rPr>
      </w:pPr>
      <w:r>
        <w:rPr>
          <w:i/>
        </w:rPr>
        <w:t>Domain:</w:t>
      </w:r>
      <w:r>
        <w:rPr>
          <w:i/>
          <w:spacing w:val="-6"/>
        </w:rPr>
        <w:t> </w:t>
      </w:r>
      <w:r>
        <w:rPr>
          <w:i/>
        </w:rPr>
        <w:t>Social</w:t>
      </w:r>
      <w:r>
        <w:rPr>
          <w:i/>
          <w:spacing w:val="-4"/>
        </w:rPr>
        <w:t> </w:t>
      </w:r>
      <w:r>
        <w:rPr>
          <w:i/>
        </w:rPr>
        <w:t>and</w:t>
      </w:r>
      <w:r>
        <w:rPr>
          <w:i/>
          <w:spacing w:val="-4"/>
        </w:rPr>
        <w:t> </w:t>
      </w:r>
      <w:r>
        <w:rPr>
          <w:i/>
        </w:rPr>
        <w:t>Community</w:t>
      </w:r>
      <w:r>
        <w:rPr>
          <w:i/>
          <w:spacing w:val="-4"/>
        </w:rPr>
        <w:t> </w:t>
      </w:r>
      <w:r>
        <w:rPr>
          <w:i/>
          <w:spacing w:val="-2"/>
        </w:rPr>
        <w:t>Context</w:t>
      </w:r>
    </w:p>
    <w:p>
      <w:pPr>
        <w:pStyle w:val="BodyText"/>
        <w:spacing w:line="259" w:lineRule="auto" w:before="186"/>
        <w:ind w:right="1467"/>
      </w:pPr>
      <w:r>
        <w:rPr/>
        <w:t>Good mental health is essenfial for daily funcfioning, healthy relafionships, and resilience. Stress and anxiety</w:t>
      </w:r>
      <w:r>
        <w:rPr>
          <w:spacing w:val="-5"/>
        </w:rPr>
        <w:t> </w:t>
      </w:r>
      <w:r>
        <w:rPr/>
        <w:t>can</w:t>
      </w:r>
      <w:r>
        <w:rPr>
          <w:spacing w:val="-7"/>
        </w:rPr>
        <w:t> </w:t>
      </w:r>
      <w:r>
        <w:rPr/>
        <w:t>harm</w:t>
      </w:r>
      <w:r>
        <w:rPr>
          <w:spacing w:val="-5"/>
        </w:rPr>
        <w:t> </w:t>
      </w:r>
      <w:r>
        <w:rPr/>
        <w:t>the</w:t>
      </w:r>
      <w:r>
        <w:rPr>
          <w:spacing w:val="-5"/>
        </w:rPr>
        <w:t> </w:t>
      </w:r>
      <w:r>
        <w:rPr/>
        <w:t>body,</w:t>
      </w:r>
      <w:r>
        <w:rPr>
          <w:spacing w:val="-8"/>
        </w:rPr>
        <w:t> </w:t>
      </w:r>
      <w:r>
        <w:rPr/>
        <w:t>contribute</w:t>
      </w:r>
      <w:r>
        <w:rPr>
          <w:spacing w:val="-8"/>
        </w:rPr>
        <w:t> </w:t>
      </w:r>
      <w:r>
        <w:rPr/>
        <w:t>to</w:t>
      </w:r>
      <w:r>
        <w:rPr>
          <w:spacing w:val="-7"/>
        </w:rPr>
        <w:t> </w:t>
      </w:r>
      <w:r>
        <w:rPr/>
        <w:t>condifions</w:t>
      </w:r>
      <w:r>
        <w:rPr>
          <w:spacing w:val="-6"/>
        </w:rPr>
        <w:t> </w:t>
      </w:r>
      <w:r>
        <w:rPr/>
        <w:t>like</w:t>
      </w:r>
      <w:r>
        <w:rPr>
          <w:spacing w:val="-5"/>
        </w:rPr>
        <w:t> </w:t>
      </w:r>
      <w:r>
        <w:rPr/>
        <w:t>depression</w:t>
      </w:r>
      <w:r>
        <w:rPr>
          <w:spacing w:val="-7"/>
        </w:rPr>
        <w:t> </w:t>
      </w:r>
      <w:r>
        <w:rPr/>
        <w:t>and</w:t>
      </w:r>
      <w:r>
        <w:rPr>
          <w:spacing w:val="-9"/>
        </w:rPr>
        <w:t> </w:t>
      </w:r>
      <w:r>
        <w:rPr/>
        <w:t>substance</w:t>
      </w:r>
      <w:r>
        <w:rPr>
          <w:spacing w:val="-5"/>
        </w:rPr>
        <w:t> </w:t>
      </w:r>
      <w:r>
        <w:rPr/>
        <w:t>misuse,</w:t>
      </w:r>
      <w:r>
        <w:rPr>
          <w:spacing w:val="-5"/>
        </w:rPr>
        <w:t> </w:t>
      </w:r>
      <w:r>
        <w:rPr/>
        <w:t>and</w:t>
      </w:r>
      <w:r>
        <w:rPr>
          <w:spacing w:val="-6"/>
        </w:rPr>
        <w:t> </w:t>
      </w:r>
      <w:r>
        <w:rPr/>
        <w:t>increase the risk of early death.</w:t>
      </w:r>
    </w:p>
    <w:p>
      <w:pPr>
        <w:pStyle w:val="BodyText"/>
        <w:spacing w:line="259" w:lineRule="auto" w:before="160"/>
        <w:ind w:right="1467"/>
      </w:pPr>
      <w:r>
        <w:rPr/>
        <w:t>Nafionally,</w:t>
      </w:r>
      <w:r>
        <w:rPr>
          <w:spacing w:val="-4"/>
        </w:rPr>
        <w:t> </w:t>
      </w:r>
      <w:r>
        <w:rPr/>
        <w:t>suicide</w:t>
      </w:r>
      <w:r>
        <w:rPr>
          <w:spacing w:val="-6"/>
        </w:rPr>
        <w:t> </w:t>
      </w:r>
      <w:r>
        <w:rPr/>
        <w:t>remains</w:t>
      </w:r>
      <w:r>
        <w:rPr>
          <w:spacing w:val="-7"/>
        </w:rPr>
        <w:t> </w:t>
      </w:r>
      <w:r>
        <w:rPr/>
        <w:t>a</w:t>
      </w:r>
      <w:r>
        <w:rPr>
          <w:spacing w:val="-5"/>
        </w:rPr>
        <w:t> </w:t>
      </w:r>
      <w:r>
        <w:rPr/>
        <w:t>major</w:t>
      </w:r>
      <w:r>
        <w:rPr>
          <w:spacing w:val="-5"/>
        </w:rPr>
        <w:t> </w:t>
      </w:r>
      <w:r>
        <w:rPr/>
        <w:t>public</w:t>
      </w:r>
      <w:r>
        <w:rPr>
          <w:spacing w:val="-5"/>
        </w:rPr>
        <w:t> </w:t>
      </w:r>
      <w:r>
        <w:rPr/>
        <w:t>health</w:t>
      </w:r>
      <w:r>
        <w:rPr>
          <w:spacing w:val="-6"/>
        </w:rPr>
        <w:t> </w:t>
      </w:r>
      <w:r>
        <w:rPr/>
        <w:t>concern.</w:t>
      </w:r>
      <w:r>
        <w:rPr>
          <w:spacing w:val="-5"/>
        </w:rPr>
        <w:t> </w:t>
      </w:r>
      <w:r>
        <w:rPr/>
        <w:t>Many</w:t>
      </w:r>
      <w:r>
        <w:rPr>
          <w:spacing w:val="-4"/>
        </w:rPr>
        <w:t> </w:t>
      </w:r>
      <w:r>
        <w:rPr/>
        <w:t>high</w:t>
      </w:r>
      <w:r>
        <w:rPr>
          <w:spacing w:val="-6"/>
        </w:rPr>
        <w:t> </w:t>
      </w:r>
      <w:r>
        <w:rPr/>
        <w:t>school</w:t>
      </w:r>
      <w:r>
        <w:rPr>
          <w:spacing w:val="-5"/>
        </w:rPr>
        <w:t> </w:t>
      </w:r>
      <w:r>
        <w:rPr/>
        <w:t>students</w:t>
      </w:r>
      <w:r>
        <w:rPr>
          <w:spacing w:val="-5"/>
        </w:rPr>
        <w:t> </w:t>
      </w:r>
      <w:r>
        <w:rPr/>
        <w:t>report</w:t>
      </w:r>
      <w:r>
        <w:rPr>
          <w:spacing w:val="-7"/>
        </w:rPr>
        <w:t> </w:t>
      </w:r>
      <w:r>
        <w:rPr/>
        <w:t>suicidal thoughts or aftempts, and death by suicide is sfill a leading cause of death among young people </w:t>
      </w:r>
      <w:r>
        <w:rPr>
          <w:spacing w:val="-2"/>
        </w:rPr>
        <w:t>nafionally.</w:t>
      </w:r>
    </w:p>
    <w:p>
      <w:pPr>
        <w:pStyle w:val="BodyText"/>
        <w:spacing w:line="259" w:lineRule="auto" w:before="159"/>
        <w:ind w:right="1467"/>
      </w:pPr>
      <w:r>
        <w:rPr/>
        <w:t>Depression aﬀects more than one in ﬁve New Yorkers each year and signiﬁcantly disrupts daily life. Certain</w:t>
      </w:r>
      <w:r>
        <w:rPr>
          <w:spacing w:val="-6"/>
        </w:rPr>
        <w:t> </w:t>
      </w:r>
      <w:r>
        <w:rPr/>
        <w:t>groups</w:t>
      </w:r>
      <w:r>
        <w:rPr>
          <w:spacing w:val="-6"/>
        </w:rPr>
        <w:t> </w:t>
      </w:r>
      <w:r>
        <w:rPr/>
        <w:t>face</w:t>
      </w:r>
      <w:r>
        <w:rPr>
          <w:spacing w:val="-4"/>
        </w:rPr>
        <w:t> </w:t>
      </w:r>
      <w:r>
        <w:rPr/>
        <w:t>higher</w:t>
      </w:r>
      <w:r>
        <w:rPr>
          <w:spacing w:val="-9"/>
        </w:rPr>
        <w:t> </w:t>
      </w:r>
      <w:r>
        <w:rPr/>
        <w:t>risks</w:t>
      </w:r>
      <w:r>
        <w:rPr>
          <w:spacing w:val="-5"/>
        </w:rPr>
        <w:t> </w:t>
      </w:r>
      <w:r>
        <w:rPr/>
        <w:t>due</w:t>
      </w:r>
      <w:r>
        <w:rPr>
          <w:spacing w:val="-4"/>
        </w:rPr>
        <w:t> </w:t>
      </w:r>
      <w:r>
        <w:rPr/>
        <w:t>to</w:t>
      </w:r>
      <w:r>
        <w:rPr>
          <w:spacing w:val="-3"/>
        </w:rPr>
        <w:t> </w:t>
      </w:r>
      <w:r>
        <w:rPr/>
        <w:t>chronic</w:t>
      </w:r>
      <w:r>
        <w:rPr>
          <w:spacing w:val="-6"/>
        </w:rPr>
        <w:t> </w:t>
      </w:r>
      <w:r>
        <w:rPr/>
        <w:t>stress,</w:t>
      </w:r>
      <w:r>
        <w:rPr>
          <w:spacing w:val="-8"/>
        </w:rPr>
        <w:t> </w:t>
      </w:r>
      <w:r>
        <w:rPr/>
        <w:t>trauma,</w:t>
      </w:r>
      <w:r>
        <w:rPr>
          <w:spacing w:val="-5"/>
        </w:rPr>
        <w:t> </w:t>
      </w:r>
      <w:r>
        <w:rPr/>
        <w:t>and</w:t>
      </w:r>
      <w:r>
        <w:rPr>
          <w:spacing w:val="-6"/>
        </w:rPr>
        <w:t> </w:t>
      </w:r>
      <w:r>
        <w:rPr/>
        <w:t>systemic</w:t>
      </w:r>
      <w:r>
        <w:rPr>
          <w:spacing w:val="-6"/>
        </w:rPr>
        <w:t> </w:t>
      </w:r>
      <w:r>
        <w:rPr/>
        <w:t>inequifies.</w:t>
      </w:r>
      <w:r>
        <w:rPr>
          <w:spacing w:val="-5"/>
        </w:rPr>
        <w:t> </w:t>
      </w:r>
      <w:r>
        <w:rPr/>
        <w:t>Many</w:t>
      </w:r>
      <w:r>
        <w:rPr>
          <w:spacing w:val="-4"/>
        </w:rPr>
        <w:t> </w:t>
      </w:r>
      <w:r>
        <w:rPr/>
        <w:t>people</w:t>
      </w:r>
      <w:r>
        <w:rPr>
          <w:spacing w:val="-6"/>
        </w:rPr>
        <w:t> </w:t>
      </w:r>
      <w:r>
        <w:rPr/>
        <w:t>sfill struggle to access or seek treatment because of sfigma or limited services.</w:t>
      </w:r>
    </w:p>
    <w:p>
      <w:pPr>
        <w:pStyle w:val="BodyText"/>
        <w:spacing w:before="159"/>
      </w:pPr>
      <w:r>
        <w:rPr/>
        <w:t>Substance</w:t>
      </w:r>
      <w:r>
        <w:rPr>
          <w:spacing w:val="-6"/>
        </w:rPr>
        <w:t> </w:t>
      </w:r>
      <w:r>
        <w:rPr/>
        <w:t>use</w:t>
      </w:r>
      <w:r>
        <w:rPr>
          <w:spacing w:val="-5"/>
        </w:rPr>
        <w:t> </w:t>
      </w:r>
      <w:r>
        <w:rPr/>
        <w:t>and</w:t>
      </w:r>
      <w:r>
        <w:rPr>
          <w:spacing w:val="-9"/>
        </w:rPr>
        <w:t> </w:t>
      </w:r>
      <w:r>
        <w:rPr/>
        <w:t>overdose</w:t>
      </w:r>
      <w:r>
        <w:rPr>
          <w:spacing w:val="-5"/>
        </w:rPr>
        <w:t> </w:t>
      </w:r>
      <w:r>
        <w:rPr/>
        <w:t>deaths</w:t>
      </w:r>
      <w:r>
        <w:rPr>
          <w:spacing w:val="-6"/>
        </w:rPr>
        <w:t> </w:t>
      </w:r>
      <w:r>
        <w:rPr/>
        <w:t>confinue</w:t>
      </w:r>
      <w:r>
        <w:rPr>
          <w:spacing w:val="-6"/>
        </w:rPr>
        <w:t> </w:t>
      </w:r>
      <w:r>
        <w:rPr/>
        <w:t>to</w:t>
      </w:r>
      <w:r>
        <w:rPr>
          <w:spacing w:val="-4"/>
        </w:rPr>
        <w:t> </w:t>
      </w:r>
      <w:r>
        <w:rPr/>
        <w:t>pose</w:t>
      </w:r>
      <w:r>
        <w:rPr>
          <w:spacing w:val="-8"/>
        </w:rPr>
        <w:t> </w:t>
      </w:r>
      <w:r>
        <w:rPr/>
        <w:t>serious</w:t>
      </w:r>
      <w:r>
        <w:rPr>
          <w:spacing w:val="-8"/>
        </w:rPr>
        <w:t> </w:t>
      </w:r>
      <w:r>
        <w:rPr/>
        <w:t>challenges</w:t>
      </w:r>
      <w:r>
        <w:rPr>
          <w:spacing w:val="-5"/>
        </w:rPr>
        <w:t> </w:t>
      </w:r>
      <w:r>
        <w:rPr/>
        <w:t>in</w:t>
      </w:r>
      <w:r>
        <w:rPr>
          <w:spacing w:val="-7"/>
        </w:rPr>
        <w:t> </w:t>
      </w:r>
      <w:r>
        <w:rPr/>
        <w:t>the</w:t>
      </w:r>
      <w:r>
        <w:rPr>
          <w:spacing w:val="-5"/>
        </w:rPr>
        <w:t> </w:t>
      </w:r>
      <w:r>
        <w:rPr/>
        <w:t>state.</w:t>
      </w:r>
      <w:r>
        <w:rPr>
          <w:spacing w:val="-7"/>
        </w:rPr>
        <w:t> </w:t>
      </w:r>
      <w:r>
        <w:rPr/>
        <w:t>Early</w:t>
      </w:r>
      <w:r>
        <w:rPr>
          <w:spacing w:val="-7"/>
        </w:rPr>
        <w:t> </w:t>
      </w:r>
      <w:r>
        <w:rPr/>
        <w:t>alcohol</w:t>
      </w:r>
      <w:r>
        <w:rPr>
          <w:spacing w:val="-6"/>
        </w:rPr>
        <w:t> </w:t>
      </w:r>
      <w:r>
        <w:rPr>
          <w:spacing w:val="-5"/>
        </w:rPr>
        <w:t>and</w:t>
      </w:r>
    </w:p>
    <w:p>
      <w:pPr>
        <w:pStyle w:val="BodyText"/>
        <w:spacing w:before="22"/>
      </w:pPr>
      <w:r>
        <w:rPr/>
        <w:t>drug</w:t>
      </w:r>
      <w:r>
        <w:rPr>
          <w:spacing w:val="-6"/>
        </w:rPr>
        <w:t> </w:t>
      </w:r>
      <w:r>
        <w:rPr/>
        <w:t>use,</w:t>
      </w:r>
      <w:r>
        <w:rPr>
          <w:spacing w:val="-6"/>
        </w:rPr>
        <w:t> </w:t>
      </w:r>
      <w:r>
        <w:rPr/>
        <w:t>high</w:t>
      </w:r>
      <w:r>
        <w:rPr>
          <w:spacing w:val="-5"/>
        </w:rPr>
        <w:t> </w:t>
      </w:r>
      <w:r>
        <w:rPr/>
        <w:t>availability</w:t>
      </w:r>
      <w:r>
        <w:rPr>
          <w:spacing w:val="-5"/>
        </w:rPr>
        <w:t> </w:t>
      </w:r>
      <w:r>
        <w:rPr/>
        <w:t>of</w:t>
      </w:r>
      <w:r>
        <w:rPr>
          <w:spacing w:val="-6"/>
        </w:rPr>
        <w:t> </w:t>
      </w:r>
      <w:r>
        <w:rPr/>
        <w:t>substances,</w:t>
      </w:r>
      <w:r>
        <w:rPr>
          <w:spacing w:val="-5"/>
        </w:rPr>
        <w:t> </w:t>
      </w:r>
      <w:r>
        <w:rPr/>
        <w:t>and</w:t>
      </w:r>
      <w:r>
        <w:rPr>
          <w:spacing w:val="-5"/>
        </w:rPr>
        <w:t> </w:t>
      </w:r>
      <w:r>
        <w:rPr/>
        <w:t>social</w:t>
      </w:r>
      <w:r>
        <w:rPr>
          <w:spacing w:val="-8"/>
        </w:rPr>
        <w:t> </w:t>
      </w:r>
      <w:r>
        <w:rPr/>
        <w:t>norms</w:t>
      </w:r>
      <w:r>
        <w:rPr>
          <w:spacing w:val="-5"/>
        </w:rPr>
        <w:t> </w:t>
      </w:r>
      <w:r>
        <w:rPr/>
        <w:t>contribute</w:t>
      </w:r>
      <w:r>
        <w:rPr>
          <w:spacing w:val="-7"/>
        </w:rPr>
        <w:t> </w:t>
      </w:r>
      <w:r>
        <w:rPr/>
        <w:t>to</w:t>
      </w:r>
      <w:r>
        <w:rPr>
          <w:spacing w:val="-6"/>
        </w:rPr>
        <w:t> </w:t>
      </w:r>
      <w:r>
        <w:rPr>
          <w:spacing w:val="-2"/>
        </w:rPr>
        <w:t>risk.</w:t>
      </w:r>
    </w:p>
    <w:p>
      <w:pPr>
        <w:pStyle w:val="BodyText"/>
        <w:spacing w:line="259" w:lineRule="auto" w:before="180"/>
        <w:ind w:right="1441"/>
      </w:pPr>
      <w:r>
        <w:rPr/>
        <w:t>Commercial tobacco use remains a leading cause of preventable illness and death, with signiﬁcant disparifies driven by targeted markefing, especially in low-income and minority communifies. Excessive alcohol use is common and leads to thousands of deaths and billions of dollars in economic costs for</w:t>
      </w:r>
      <w:r>
        <w:rPr/>
        <w:t> New</w:t>
      </w:r>
      <w:r>
        <w:rPr>
          <w:spacing w:val="-11"/>
        </w:rPr>
        <w:t> </w:t>
      </w:r>
      <w:r>
        <w:rPr/>
        <w:t>York</w:t>
      </w:r>
      <w:r>
        <w:rPr>
          <w:spacing w:val="-9"/>
        </w:rPr>
        <w:t> </w:t>
      </w:r>
      <w:r>
        <w:rPr/>
        <w:t>State</w:t>
      </w:r>
      <w:r>
        <w:rPr>
          <w:spacing w:val="-9"/>
        </w:rPr>
        <w:t> </w:t>
      </w:r>
      <w:r>
        <w:rPr/>
        <w:t>each</w:t>
      </w:r>
      <w:r>
        <w:rPr>
          <w:spacing w:val="-10"/>
        </w:rPr>
        <w:t> </w:t>
      </w:r>
      <w:r>
        <w:rPr/>
        <w:t>year.</w:t>
      </w:r>
      <w:r>
        <w:rPr>
          <w:spacing w:val="-12"/>
        </w:rPr>
        <w:t> </w:t>
      </w:r>
      <w:r>
        <w:rPr/>
        <w:t>Availability,</w:t>
      </w:r>
      <w:r>
        <w:rPr>
          <w:spacing w:val="-9"/>
        </w:rPr>
        <w:t> </w:t>
      </w:r>
      <w:r>
        <w:rPr/>
        <w:t>low</w:t>
      </w:r>
      <w:r>
        <w:rPr>
          <w:spacing w:val="-9"/>
        </w:rPr>
        <w:t> </w:t>
      </w:r>
      <w:r>
        <w:rPr/>
        <w:t>pricing,</w:t>
      </w:r>
      <w:r>
        <w:rPr>
          <w:spacing w:val="-9"/>
        </w:rPr>
        <w:t> </w:t>
      </w:r>
      <w:r>
        <w:rPr/>
        <w:t>and</w:t>
      </w:r>
      <w:r>
        <w:rPr>
          <w:spacing w:val="-10"/>
        </w:rPr>
        <w:t> </w:t>
      </w:r>
      <w:r>
        <w:rPr/>
        <w:t>targeted</w:t>
      </w:r>
      <w:r>
        <w:rPr>
          <w:spacing w:val="-12"/>
        </w:rPr>
        <w:t> </w:t>
      </w:r>
      <w:r>
        <w:rPr/>
        <w:t>markefing</w:t>
      </w:r>
      <w:r>
        <w:rPr>
          <w:spacing w:val="-10"/>
        </w:rPr>
        <w:t> </w:t>
      </w:r>
      <w:r>
        <w:rPr/>
        <w:t>contribute</w:t>
      </w:r>
      <w:r>
        <w:rPr>
          <w:spacing w:val="-9"/>
        </w:rPr>
        <w:t> </w:t>
      </w:r>
      <w:r>
        <w:rPr/>
        <w:t>to</w:t>
      </w:r>
      <w:r>
        <w:rPr>
          <w:spacing w:val="-10"/>
        </w:rPr>
        <w:t> </w:t>
      </w:r>
      <w:r>
        <w:rPr/>
        <w:t>unequal</w:t>
      </w:r>
      <w:r>
        <w:rPr>
          <w:spacing w:val="-9"/>
        </w:rPr>
        <w:t> </w:t>
      </w:r>
      <w:r>
        <w:rPr/>
        <w:t>burdens among certain populafions.</w:t>
      </w:r>
    </w:p>
    <w:p>
      <w:pPr>
        <w:pStyle w:val="BodyText"/>
        <w:spacing w:line="259" w:lineRule="auto" w:before="161"/>
        <w:ind w:right="1467"/>
      </w:pPr>
      <w:r>
        <w:rPr/>
        <w:t>Adverse</w:t>
      </w:r>
      <w:r>
        <w:rPr>
          <w:spacing w:val="-3"/>
        </w:rPr>
        <w:t> </w:t>
      </w:r>
      <w:r>
        <w:rPr/>
        <w:t>childhood</w:t>
      </w:r>
      <w:r>
        <w:rPr>
          <w:spacing w:val="-6"/>
        </w:rPr>
        <w:t> </w:t>
      </w:r>
      <w:r>
        <w:rPr/>
        <w:t>experiences</w:t>
      </w:r>
      <w:r>
        <w:rPr>
          <w:spacing w:val="-4"/>
        </w:rPr>
        <w:t> </w:t>
      </w:r>
      <w:r>
        <w:rPr/>
        <w:t>(ACEs)</w:t>
      </w:r>
      <w:r>
        <w:rPr>
          <w:spacing w:val="-6"/>
        </w:rPr>
        <w:t> </w:t>
      </w:r>
      <w:r>
        <w:rPr/>
        <w:t>are</w:t>
      </w:r>
      <w:r>
        <w:rPr>
          <w:spacing w:val="-7"/>
        </w:rPr>
        <w:t> </w:t>
      </w:r>
      <w:r>
        <w:rPr/>
        <w:t>events</w:t>
      </w:r>
      <w:r>
        <w:rPr>
          <w:spacing w:val="-4"/>
        </w:rPr>
        <w:t> </w:t>
      </w:r>
      <w:r>
        <w:rPr/>
        <w:t>in</w:t>
      </w:r>
      <w:r>
        <w:rPr>
          <w:spacing w:val="-5"/>
        </w:rPr>
        <w:t> </w:t>
      </w:r>
      <w:r>
        <w:rPr/>
        <w:t>childhood,</w:t>
      </w:r>
      <w:r>
        <w:rPr>
          <w:spacing w:val="-4"/>
        </w:rPr>
        <w:t> </w:t>
      </w:r>
      <w:r>
        <w:rPr/>
        <w:t>such</w:t>
      </w:r>
      <w:r>
        <w:rPr>
          <w:spacing w:val="-5"/>
        </w:rPr>
        <w:t> </w:t>
      </w:r>
      <w:r>
        <w:rPr/>
        <w:t>as</w:t>
      </w:r>
      <w:r>
        <w:rPr>
          <w:spacing w:val="-4"/>
        </w:rPr>
        <w:t> </w:t>
      </w:r>
      <w:r>
        <w:rPr/>
        <w:t>abuse</w:t>
      </w:r>
      <w:r>
        <w:rPr>
          <w:spacing w:val="-5"/>
        </w:rPr>
        <w:t> </w:t>
      </w:r>
      <w:r>
        <w:rPr/>
        <w:t>or</w:t>
      </w:r>
      <w:r>
        <w:rPr>
          <w:spacing w:val="-6"/>
        </w:rPr>
        <w:t> </w:t>
      </w:r>
      <w:r>
        <w:rPr/>
        <w:t>neglect,</w:t>
      </w:r>
      <w:r>
        <w:rPr>
          <w:spacing w:val="-6"/>
        </w:rPr>
        <w:t> </w:t>
      </w:r>
      <w:r>
        <w:rPr/>
        <w:t>that</w:t>
      </w:r>
      <w:r>
        <w:rPr>
          <w:spacing w:val="-3"/>
        </w:rPr>
        <w:t> </w:t>
      </w:r>
      <w:r>
        <w:rPr/>
        <w:t>negafively impact long-term health. These experiences signiﬁcantly increase the risk of chronic disease, mental health problems, and substance misuse later in life.</w:t>
      </w:r>
    </w:p>
    <w:p>
      <w:pPr>
        <w:pStyle w:val="BodyText"/>
        <w:spacing w:before="159"/>
      </w:pPr>
      <w:r>
        <w:rPr/>
        <w:t>Healthy</w:t>
      </w:r>
      <w:r>
        <w:rPr>
          <w:spacing w:val="-7"/>
        </w:rPr>
        <w:t> </w:t>
      </w:r>
      <w:r>
        <w:rPr/>
        <w:t>eafing</w:t>
      </w:r>
      <w:r>
        <w:rPr>
          <w:spacing w:val="-7"/>
        </w:rPr>
        <w:t> </w:t>
      </w:r>
      <w:r>
        <w:rPr/>
        <w:t>is</w:t>
      </w:r>
      <w:r>
        <w:rPr>
          <w:spacing w:val="-8"/>
        </w:rPr>
        <w:t> </w:t>
      </w:r>
      <w:r>
        <w:rPr/>
        <w:t>vital</w:t>
      </w:r>
      <w:r>
        <w:rPr>
          <w:spacing w:val="-7"/>
        </w:rPr>
        <w:t> </w:t>
      </w:r>
      <w:r>
        <w:rPr/>
        <w:t>for</w:t>
      </w:r>
      <w:r>
        <w:rPr>
          <w:spacing w:val="-10"/>
        </w:rPr>
        <w:t> </w:t>
      </w:r>
      <w:r>
        <w:rPr/>
        <w:t>prevenfing</w:t>
      </w:r>
      <w:r>
        <w:rPr>
          <w:spacing w:val="-7"/>
        </w:rPr>
        <w:t> </w:t>
      </w:r>
      <w:r>
        <w:rPr/>
        <w:t>chronic</w:t>
      </w:r>
      <w:r>
        <w:rPr>
          <w:spacing w:val="-7"/>
        </w:rPr>
        <w:t> </w:t>
      </w:r>
      <w:r>
        <w:rPr/>
        <w:t>disease,</w:t>
      </w:r>
      <w:r>
        <w:rPr>
          <w:spacing w:val="-9"/>
        </w:rPr>
        <w:t> </w:t>
      </w:r>
      <w:r>
        <w:rPr/>
        <w:t>yet</w:t>
      </w:r>
      <w:r>
        <w:rPr>
          <w:spacing w:val="-8"/>
        </w:rPr>
        <w:t> </w:t>
      </w:r>
      <w:r>
        <w:rPr/>
        <w:t>many</w:t>
      </w:r>
      <w:r>
        <w:rPr>
          <w:spacing w:val="-8"/>
        </w:rPr>
        <w:t> </w:t>
      </w:r>
      <w:r>
        <w:rPr/>
        <w:t>New</w:t>
      </w:r>
      <w:r>
        <w:rPr>
          <w:spacing w:val="-6"/>
        </w:rPr>
        <w:t> </w:t>
      </w:r>
      <w:r>
        <w:rPr/>
        <w:t>Yorkers</w:t>
      </w:r>
      <w:r>
        <w:rPr>
          <w:spacing w:val="-7"/>
        </w:rPr>
        <w:t> </w:t>
      </w:r>
      <w:r>
        <w:rPr/>
        <w:t>fall</w:t>
      </w:r>
      <w:r>
        <w:rPr>
          <w:spacing w:val="-7"/>
        </w:rPr>
        <w:t> </w:t>
      </w:r>
      <w:r>
        <w:rPr/>
        <w:t>short</w:t>
      </w:r>
      <w:r>
        <w:rPr>
          <w:spacing w:val="-9"/>
        </w:rPr>
        <w:t> </w:t>
      </w:r>
      <w:r>
        <w:rPr/>
        <w:t>of</w:t>
      </w:r>
      <w:r>
        <w:rPr>
          <w:spacing w:val="-7"/>
        </w:rPr>
        <w:t> </w:t>
      </w:r>
      <w:r>
        <w:rPr/>
        <w:t>fulﬁlling</w:t>
      </w:r>
      <w:r>
        <w:rPr>
          <w:spacing w:val="-7"/>
        </w:rPr>
        <w:t> </w:t>
      </w:r>
      <w:r>
        <w:rPr>
          <w:spacing w:val="-5"/>
        </w:rPr>
        <w:t>the</w:t>
      </w:r>
    </w:p>
    <w:p>
      <w:pPr>
        <w:pStyle w:val="BodyText"/>
        <w:spacing w:before="20"/>
      </w:pPr>
      <w:r>
        <w:rPr/>
        <w:t>recommended</w:t>
      </w:r>
      <w:r>
        <w:rPr>
          <w:spacing w:val="-9"/>
        </w:rPr>
        <w:t> </w:t>
      </w:r>
      <w:r>
        <w:rPr/>
        <w:t>intake</w:t>
      </w:r>
      <w:r>
        <w:rPr>
          <w:spacing w:val="-9"/>
        </w:rPr>
        <w:t> </w:t>
      </w:r>
      <w:r>
        <w:rPr/>
        <w:t>of</w:t>
      </w:r>
      <w:r>
        <w:rPr>
          <w:spacing w:val="-7"/>
        </w:rPr>
        <w:t> </w:t>
      </w:r>
      <w:r>
        <w:rPr/>
        <w:t>fruits,</w:t>
      </w:r>
      <w:r>
        <w:rPr>
          <w:spacing w:val="-7"/>
        </w:rPr>
        <w:t> </w:t>
      </w:r>
      <w:r>
        <w:rPr/>
        <w:t>vegetables,</w:t>
      </w:r>
      <w:r>
        <w:rPr>
          <w:spacing w:val="-7"/>
        </w:rPr>
        <w:t> </w:t>
      </w:r>
      <w:r>
        <w:rPr/>
        <w:t>and</w:t>
      </w:r>
      <w:r>
        <w:rPr>
          <w:spacing w:val="-10"/>
        </w:rPr>
        <w:t> </w:t>
      </w:r>
      <w:r>
        <w:rPr/>
        <w:t>other</w:t>
      </w:r>
      <w:r>
        <w:rPr>
          <w:spacing w:val="-7"/>
        </w:rPr>
        <w:t> </w:t>
      </w:r>
      <w:r>
        <w:rPr>
          <w:spacing w:val="-2"/>
        </w:rPr>
        <w:t>nutrients.</w:t>
      </w:r>
    </w:p>
    <w:p>
      <w:pPr>
        <w:pStyle w:val="Heading3"/>
        <w:spacing w:before="183"/>
      </w:pPr>
      <w:r>
        <w:rPr/>
        <w:t>Priority:</w:t>
      </w:r>
      <w:r>
        <w:rPr>
          <w:spacing w:val="-5"/>
        </w:rPr>
        <w:t> </w:t>
      </w:r>
      <w:r>
        <w:rPr/>
        <w:t>Anxiety</w:t>
      </w:r>
      <w:r>
        <w:rPr>
          <w:spacing w:val="-3"/>
        </w:rPr>
        <w:t> </w:t>
      </w:r>
      <w:r>
        <w:rPr/>
        <w:t>and</w:t>
      </w:r>
      <w:r>
        <w:rPr>
          <w:spacing w:val="-2"/>
        </w:rPr>
        <w:t> Stress</w:t>
      </w:r>
    </w:p>
    <w:p>
      <w:pPr>
        <w:pStyle w:val="BodyText"/>
        <w:spacing w:line="259" w:lineRule="auto" w:before="182"/>
        <w:ind w:right="1467"/>
      </w:pPr>
      <w:r>
        <w:rPr/>
        <w:t>Data from the BRFSS indicates that the percentage of adults reporfing 14 or more days of poor</w:t>
      </w:r>
      <w:r>
        <w:rPr>
          <w:spacing w:val="-1"/>
        </w:rPr>
        <w:t> </w:t>
      </w:r>
      <w:r>
        <w:rPr/>
        <w:t>mental health</w:t>
      </w:r>
      <w:r>
        <w:rPr>
          <w:spacing w:val="-5"/>
        </w:rPr>
        <w:t> </w:t>
      </w:r>
      <w:r>
        <w:rPr/>
        <w:t>per</w:t>
      </w:r>
      <w:r>
        <w:rPr>
          <w:spacing w:val="-6"/>
        </w:rPr>
        <w:t> </w:t>
      </w:r>
      <w:r>
        <w:rPr/>
        <w:t>month</w:t>
      </w:r>
      <w:r>
        <w:rPr>
          <w:spacing w:val="-5"/>
        </w:rPr>
        <w:t> </w:t>
      </w:r>
      <w:r>
        <w:rPr/>
        <w:t>(age-adjusted)</w:t>
      </w:r>
      <w:r>
        <w:rPr>
          <w:spacing w:val="-4"/>
        </w:rPr>
        <w:t> </w:t>
      </w:r>
      <w:r>
        <w:rPr/>
        <w:t>increased</w:t>
      </w:r>
      <w:r>
        <w:rPr>
          <w:spacing w:val="-7"/>
        </w:rPr>
        <w:t> </w:t>
      </w:r>
      <w:r>
        <w:rPr/>
        <w:t>from</w:t>
      </w:r>
      <w:r>
        <w:rPr>
          <w:spacing w:val="-3"/>
        </w:rPr>
        <w:t> </w:t>
      </w:r>
      <w:r>
        <w:rPr/>
        <w:t>14%</w:t>
      </w:r>
      <w:r>
        <w:rPr>
          <w:spacing w:val="-6"/>
        </w:rPr>
        <w:t> </w:t>
      </w:r>
      <w:r>
        <w:rPr/>
        <w:t>in</w:t>
      </w:r>
      <w:r>
        <w:rPr>
          <w:spacing w:val="-5"/>
        </w:rPr>
        <w:t> </w:t>
      </w:r>
      <w:r>
        <w:rPr/>
        <w:t>2018</w:t>
      </w:r>
      <w:r>
        <w:rPr>
          <w:spacing w:val="-5"/>
        </w:rPr>
        <w:t> </w:t>
      </w:r>
      <w:r>
        <w:rPr/>
        <w:t>to</w:t>
      </w:r>
      <w:r>
        <w:rPr>
          <w:spacing w:val="-5"/>
        </w:rPr>
        <w:t> </w:t>
      </w:r>
      <w:r>
        <w:rPr/>
        <w:t>19%</w:t>
      </w:r>
      <w:r>
        <w:rPr>
          <w:spacing w:val="-3"/>
        </w:rPr>
        <w:t> </w:t>
      </w:r>
      <w:r>
        <w:rPr/>
        <w:t>in</w:t>
      </w:r>
      <w:r>
        <w:rPr>
          <w:spacing w:val="-7"/>
        </w:rPr>
        <w:t> </w:t>
      </w:r>
      <w:r>
        <w:rPr/>
        <w:t>2022,</w:t>
      </w:r>
      <w:r>
        <w:rPr>
          <w:spacing w:val="-3"/>
        </w:rPr>
        <w:t> </w:t>
      </w:r>
      <w:r>
        <w:rPr/>
        <w:t>above</w:t>
      </w:r>
      <w:r>
        <w:rPr>
          <w:spacing w:val="-3"/>
        </w:rPr>
        <w:t> </w:t>
      </w:r>
      <w:r>
        <w:rPr/>
        <w:t>the</w:t>
      </w:r>
      <w:r>
        <w:rPr>
          <w:spacing w:val="-3"/>
        </w:rPr>
        <w:t> </w:t>
      </w:r>
      <w:r>
        <w:rPr/>
        <w:t>NYS</w:t>
      </w:r>
      <w:r>
        <w:rPr>
          <w:spacing w:val="-4"/>
        </w:rPr>
        <w:t> </w:t>
      </w:r>
      <w:r>
        <w:rPr/>
        <w:t>average</w:t>
      </w:r>
      <w:r>
        <w:rPr>
          <w:spacing w:val="-3"/>
        </w:rPr>
        <w:t> </w:t>
      </w:r>
      <w:r>
        <w:rPr/>
        <w:t>of 16%.</w:t>
      </w:r>
      <w:r>
        <w:rPr>
          <w:spacing w:val="-2"/>
        </w:rPr>
        <w:t> </w:t>
      </w:r>
      <w:r>
        <w:rPr/>
        <w:t>Experiencing</w:t>
      </w:r>
      <w:r>
        <w:rPr>
          <w:spacing w:val="-3"/>
        </w:rPr>
        <w:t> </w:t>
      </w:r>
      <w:r>
        <w:rPr/>
        <w:t>14</w:t>
      </w:r>
      <w:r>
        <w:rPr>
          <w:spacing w:val="-3"/>
        </w:rPr>
        <w:t> </w:t>
      </w:r>
      <w:r>
        <w:rPr/>
        <w:t>or</w:t>
      </w:r>
      <w:r>
        <w:rPr>
          <w:spacing w:val="-5"/>
        </w:rPr>
        <w:t> </w:t>
      </w:r>
      <w:r>
        <w:rPr/>
        <w:t>more</w:t>
      </w:r>
      <w:r>
        <w:rPr>
          <w:spacing w:val="-3"/>
        </w:rPr>
        <w:t> </w:t>
      </w:r>
      <w:r>
        <w:rPr/>
        <w:t>days</w:t>
      </w:r>
      <w:r>
        <w:rPr>
          <w:spacing w:val="-4"/>
        </w:rPr>
        <w:t> </w:t>
      </w:r>
      <w:r>
        <w:rPr/>
        <w:t>of</w:t>
      </w:r>
      <w:r>
        <w:rPr>
          <w:spacing w:val="-2"/>
        </w:rPr>
        <w:t> </w:t>
      </w:r>
      <w:r>
        <w:rPr/>
        <w:t>poor</w:t>
      </w:r>
      <w:r>
        <w:rPr>
          <w:spacing w:val="-4"/>
        </w:rPr>
        <w:t> </w:t>
      </w:r>
      <w:r>
        <w:rPr/>
        <w:t>mental</w:t>
      </w:r>
      <w:r>
        <w:rPr>
          <w:spacing w:val="-2"/>
        </w:rPr>
        <w:t> </w:t>
      </w:r>
      <w:r>
        <w:rPr/>
        <w:t>health</w:t>
      </w:r>
      <w:r>
        <w:rPr>
          <w:spacing w:val="-3"/>
        </w:rPr>
        <w:t> </w:t>
      </w:r>
      <w:r>
        <w:rPr/>
        <w:t>in</w:t>
      </w:r>
      <w:r>
        <w:rPr>
          <w:spacing w:val="-3"/>
        </w:rPr>
        <w:t> </w:t>
      </w:r>
      <w:r>
        <w:rPr/>
        <w:t>a</w:t>
      </w:r>
      <w:r>
        <w:rPr>
          <w:spacing w:val="-4"/>
        </w:rPr>
        <w:t> </w:t>
      </w:r>
      <w:r>
        <w:rPr/>
        <w:t>month</w:t>
      </w:r>
      <w:r>
        <w:rPr>
          <w:spacing w:val="-2"/>
        </w:rPr>
        <w:t> </w:t>
      </w:r>
      <w:r>
        <w:rPr/>
        <w:t>is</w:t>
      </w:r>
      <w:r>
        <w:rPr>
          <w:spacing w:val="-2"/>
        </w:rPr>
        <w:t> </w:t>
      </w:r>
      <w:r>
        <w:rPr/>
        <w:t>strongly</w:t>
      </w:r>
      <w:r>
        <w:rPr>
          <w:spacing w:val="-1"/>
        </w:rPr>
        <w:t> </w:t>
      </w:r>
      <w:r>
        <w:rPr/>
        <w:t>linked</w:t>
      </w:r>
      <w:r>
        <w:rPr>
          <w:spacing w:val="-2"/>
        </w:rPr>
        <w:t> </w:t>
      </w:r>
      <w:r>
        <w:rPr/>
        <w:t>to</w:t>
      </w:r>
      <w:r>
        <w:rPr>
          <w:spacing w:val="-3"/>
        </w:rPr>
        <w:t> </w:t>
      </w:r>
      <w:r>
        <w:rPr/>
        <w:t>worse</w:t>
      </w:r>
      <w:r>
        <w:rPr>
          <w:spacing w:val="-3"/>
        </w:rPr>
        <w:t> </w:t>
      </w:r>
      <w:r>
        <w:rPr/>
        <w:t>overall health outcomes. When this percentage rises, as it has in Yates County, it can signal increasing stress, depression, or anxiety in the community, which</w:t>
      </w:r>
      <w:r>
        <w:rPr>
          <w:spacing w:val="-2"/>
        </w:rPr>
        <w:t> </w:t>
      </w:r>
      <w:r>
        <w:rPr/>
        <w:t>may lead to higher rates of</w:t>
      </w:r>
      <w:r>
        <w:rPr>
          <w:spacing w:val="-2"/>
        </w:rPr>
        <w:t> </w:t>
      </w:r>
      <w:r>
        <w:rPr/>
        <w:t>chronic disease, substance use, reduced producfivity, and greater demand for mental health and medical services.</w:t>
      </w:r>
    </w:p>
    <w:p>
      <w:pPr>
        <w:pStyle w:val="BodyText"/>
        <w:spacing w:line="259" w:lineRule="auto" w:before="160"/>
        <w:ind w:right="1467"/>
      </w:pPr>
      <w:r>
        <w:rPr/>
        <w:t>When comparing Yates County to New York State as a whole and other counfies, Yates residents reportedly experience poor mental health at a greater rate (see Map Y4). According to County Health Rankings and Roadmaps, Yates County residents,</w:t>
      </w:r>
      <w:r>
        <w:rPr>
          <w:spacing w:val="-1"/>
        </w:rPr>
        <w:t> </w:t>
      </w:r>
      <w:r>
        <w:rPr/>
        <w:t>on average,</w:t>
      </w:r>
      <w:r>
        <w:rPr>
          <w:spacing w:val="-1"/>
        </w:rPr>
        <w:t> </w:t>
      </w:r>
      <w:r>
        <w:rPr/>
        <w:t>report</w:t>
      </w:r>
      <w:r>
        <w:rPr>
          <w:spacing w:val="-1"/>
        </w:rPr>
        <w:t> </w:t>
      </w:r>
      <w:r>
        <w:rPr/>
        <w:t>6.1 poor</w:t>
      </w:r>
      <w:r>
        <w:rPr>
          <w:spacing w:val="-1"/>
        </w:rPr>
        <w:t> </w:t>
      </w:r>
      <w:r>
        <w:rPr/>
        <w:t>mental health days</w:t>
      </w:r>
      <w:r>
        <w:rPr>
          <w:spacing w:val="-1"/>
        </w:rPr>
        <w:t> </w:t>
      </w:r>
      <w:r>
        <w:rPr/>
        <w:t>out</w:t>
      </w:r>
      <w:r>
        <w:rPr>
          <w:spacing w:val="-1"/>
        </w:rPr>
        <w:t> </w:t>
      </w:r>
      <w:r>
        <w:rPr/>
        <w:t>of the</w:t>
      </w:r>
      <w:r>
        <w:rPr>
          <w:spacing w:val="-4"/>
        </w:rPr>
        <w:t> </w:t>
      </w:r>
      <w:r>
        <w:rPr/>
        <w:t>last</w:t>
      </w:r>
      <w:r>
        <w:rPr>
          <w:spacing w:val="-7"/>
        </w:rPr>
        <w:t> </w:t>
      </w:r>
      <w:r>
        <w:rPr/>
        <w:t>30</w:t>
      </w:r>
      <w:r>
        <w:rPr>
          <w:spacing w:val="-4"/>
        </w:rPr>
        <w:t> </w:t>
      </w:r>
      <w:r>
        <w:rPr/>
        <w:t>days.</w:t>
      </w:r>
      <w:r>
        <w:rPr>
          <w:spacing w:val="-5"/>
        </w:rPr>
        <w:t> </w:t>
      </w:r>
      <w:r>
        <w:rPr/>
        <w:t>Comparafively,</w:t>
      </w:r>
      <w:r>
        <w:rPr>
          <w:spacing w:val="-5"/>
        </w:rPr>
        <w:t> </w:t>
      </w:r>
      <w:r>
        <w:rPr/>
        <w:t>surrounding</w:t>
      </w:r>
      <w:r>
        <w:rPr>
          <w:spacing w:val="-5"/>
        </w:rPr>
        <w:t> </w:t>
      </w:r>
      <w:r>
        <w:rPr/>
        <w:t>counfies</w:t>
      </w:r>
      <w:r>
        <w:rPr>
          <w:spacing w:val="-7"/>
        </w:rPr>
        <w:t> </w:t>
      </w:r>
      <w:r>
        <w:rPr/>
        <w:t>report</w:t>
      </w:r>
      <w:r>
        <w:rPr>
          <w:spacing w:val="-7"/>
        </w:rPr>
        <w:t> </w:t>
      </w:r>
      <w:r>
        <w:rPr/>
        <w:t>only</w:t>
      </w:r>
      <w:r>
        <w:rPr>
          <w:spacing w:val="-6"/>
        </w:rPr>
        <w:t> </w:t>
      </w:r>
      <w:r>
        <w:rPr/>
        <w:t>5.7</w:t>
      </w:r>
      <w:r>
        <w:rPr>
          <w:spacing w:val="-4"/>
        </w:rPr>
        <w:t> </w:t>
      </w:r>
      <w:r>
        <w:rPr/>
        <w:t>poor</w:t>
      </w:r>
      <w:r>
        <w:rPr>
          <w:spacing w:val="-7"/>
        </w:rPr>
        <w:t> </w:t>
      </w:r>
      <w:r>
        <w:rPr/>
        <w:t>mental</w:t>
      </w:r>
      <w:r>
        <w:rPr>
          <w:spacing w:val="-5"/>
        </w:rPr>
        <w:t> </w:t>
      </w:r>
      <w:r>
        <w:rPr/>
        <w:t>health</w:t>
      </w:r>
      <w:r>
        <w:rPr>
          <w:spacing w:val="-6"/>
        </w:rPr>
        <w:t> </w:t>
      </w:r>
      <w:r>
        <w:rPr/>
        <w:t>days</w:t>
      </w:r>
      <w:r>
        <w:rPr>
          <w:spacing w:val="-7"/>
        </w:rPr>
        <w:t> </w:t>
      </w:r>
      <w:r>
        <w:rPr/>
        <w:t>out</w:t>
      </w:r>
      <w:r>
        <w:rPr>
          <w:spacing w:val="-7"/>
        </w:rPr>
        <w:t> </w:t>
      </w:r>
      <w:r>
        <w:rPr/>
        <w:t>of</w:t>
      </w:r>
      <w:r>
        <w:rPr>
          <w:spacing w:val="-7"/>
        </w:rPr>
        <w:t> </w:t>
      </w:r>
      <w:r>
        <w:rPr/>
        <w:t>the last 30. This elevated rate suggests that residents may struggle more with daily funcfioning, decision-</w:t>
      </w:r>
    </w:p>
    <w:p>
      <w:pPr>
        <w:pStyle w:val="BodyText"/>
        <w:spacing w:after="0" w:line="259" w:lineRule="auto"/>
        <w:sectPr>
          <w:pgSz w:w="12240" w:h="15840"/>
          <w:pgMar w:header="161" w:footer="1223" w:top="1360" w:bottom="1420" w:left="0" w:right="0"/>
        </w:sectPr>
      </w:pPr>
    </w:p>
    <w:p>
      <w:pPr>
        <w:pStyle w:val="BodyText"/>
        <w:spacing w:before="64"/>
      </w:pPr>
      <w:r>
        <w:rPr/>
        <w:t>making,</w:t>
      </w:r>
      <w:r>
        <w:rPr>
          <w:spacing w:val="-7"/>
        </w:rPr>
        <w:t> </w:t>
      </w:r>
      <w:r>
        <w:rPr/>
        <w:t>and</w:t>
      </w:r>
      <w:r>
        <w:rPr>
          <w:spacing w:val="-10"/>
        </w:rPr>
        <w:t> </w:t>
      </w:r>
      <w:r>
        <w:rPr/>
        <w:t>maintaining</w:t>
      </w:r>
      <w:r>
        <w:rPr>
          <w:spacing w:val="-7"/>
        </w:rPr>
        <w:t> </w:t>
      </w:r>
      <w:r>
        <w:rPr/>
        <w:t>healthy</w:t>
      </w:r>
      <w:r>
        <w:rPr>
          <w:spacing w:val="-6"/>
        </w:rPr>
        <w:t> </w:t>
      </w:r>
      <w:r>
        <w:rPr/>
        <w:t>behaviors,</w:t>
      </w:r>
      <w:r>
        <w:rPr>
          <w:spacing w:val="-7"/>
        </w:rPr>
        <w:t> </w:t>
      </w:r>
      <w:r>
        <w:rPr/>
        <w:t>ulfimately</w:t>
      </w:r>
      <w:r>
        <w:rPr>
          <w:spacing w:val="-6"/>
        </w:rPr>
        <w:t> </w:t>
      </w:r>
      <w:r>
        <w:rPr/>
        <w:t>aﬀecfing</w:t>
      </w:r>
      <w:r>
        <w:rPr>
          <w:spacing w:val="-7"/>
        </w:rPr>
        <w:t> </w:t>
      </w:r>
      <w:r>
        <w:rPr/>
        <w:t>both</w:t>
      </w:r>
      <w:r>
        <w:rPr>
          <w:spacing w:val="-9"/>
        </w:rPr>
        <w:t> </w:t>
      </w:r>
      <w:r>
        <w:rPr/>
        <w:t>individual</w:t>
      </w:r>
      <w:r>
        <w:rPr>
          <w:spacing w:val="-9"/>
        </w:rPr>
        <w:t> </w:t>
      </w:r>
      <w:r>
        <w:rPr/>
        <w:t>well-being</w:t>
      </w:r>
      <w:r>
        <w:rPr>
          <w:spacing w:val="-7"/>
        </w:rPr>
        <w:t> </w:t>
      </w:r>
      <w:r>
        <w:rPr>
          <w:spacing w:val="-5"/>
        </w:rPr>
        <w:t>and</w:t>
      </w:r>
    </w:p>
    <w:p>
      <w:pPr>
        <w:pStyle w:val="BodyText"/>
        <w:spacing w:before="22"/>
      </w:pPr>
      <w:r>
        <w:rPr/>
        <w:t>community</w:t>
      </w:r>
      <w:r>
        <w:rPr>
          <w:spacing w:val="-7"/>
        </w:rPr>
        <w:t> </w:t>
      </w:r>
      <w:r>
        <w:rPr>
          <w:spacing w:val="-2"/>
        </w:rPr>
        <w:t>health</w:t>
      </w:r>
      <w:hyperlink w:history="true" w:anchor="_bookmark11">
        <w:r>
          <w:rPr>
            <w:spacing w:val="-2"/>
          </w:rPr>
          <w:t>.</w:t>
        </w:r>
        <w:r>
          <w:rPr>
            <w:spacing w:val="-2"/>
            <w:vertAlign w:val="superscript"/>
          </w:rPr>
          <w:t>43</w:t>
        </w:r>
      </w:hyperlink>
    </w:p>
    <w:p>
      <w:pPr>
        <w:spacing w:before="180"/>
        <w:ind w:left="1440" w:right="0" w:firstLine="0"/>
        <w:jc w:val="left"/>
        <w:rPr>
          <w:i/>
          <w:sz w:val="18"/>
        </w:rPr>
      </w:pPr>
      <w:r>
        <w:rPr>
          <w:i/>
          <w:sz w:val="18"/>
        </w:rPr>
        <w:t>Map</w:t>
      </w:r>
      <w:r>
        <w:rPr>
          <w:i/>
          <w:spacing w:val="-3"/>
          <w:sz w:val="18"/>
        </w:rPr>
        <w:t> </w:t>
      </w:r>
      <w:r>
        <w:rPr>
          <w:i/>
          <w:sz w:val="18"/>
        </w:rPr>
        <w:t>Y4.</w:t>
      </w:r>
      <w:r>
        <w:rPr>
          <w:i/>
          <w:spacing w:val="-3"/>
          <w:sz w:val="18"/>
        </w:rPr>
        <w:t> </w:t>
      </w:r>
      <w:r>
        <w:rPr>
          <w:i/>
          <w:sz w:val="18"/>
        </w:rPr>
        <w:t>Poor</w:t>
      </w:r>
      <w:r>
        <w:rPr>
          <w:i/>
          <w:spacing w:val="-3"/>
          <w:sz w:val="18"/>
        </w:rPr>
        <w:t> </w:t>
      </w:r>
      <w:r>
        <w:rPr>
          <w:i/>
          <w:sz w:val="18"/>
        </w:rPr>
        <w:t>Mental</w:t>
      </w:r>
      <w:r>
        <w:rPr>
          <w:i/>
          <w:spacing w:val="-4"/>
          <w:sz w:val="18"/>
        </w:rPr>
        <w:t> </w:t>
      </w:r>
      <w:r>
        <w:rPr>
          <w:i/>
          <w:sz w:val="18"/>
        </w:rPr>
        <w:t>Health</w:t>
      </w:r>
      <w:r>
        <w:rPr>
          <w:i/>
          <w:spacing w:val="-2"/>
          <w:sz w:val="18"/>
        </w:rPr>
        <w:t> </w:t>
      </w:r>
      <w:r>
        <w:rPr>
          <w:i/>
          <w:sz w:val="18"/>
        </w:rPr>
        <w:t>Days</w:t>
      </w:r>
      <w:r>
        <w:rPr>
          <w:i/>
          <w:spacing w:val="-4"/>
          <w:sz w:val="18"/>
        </w:rPr>
        <w:t> </w:t>
      </w:r>
      <w:r>
        <w:rPr>
          <w:i/>
          <w:sz w:val="18"/>
        </w:rPr>
        <w:t>in</w:t>
      </w:r>
      <w:r>
        <w:rPr>
          <w:i/>
          <w:spacing w:val="-2"/>
          <w:sz w:val="18"/>
        </w:rPr>
        <w:t> </w:t>
      </w:r>
      <w:r>
        <w:rPr>
          <w:i/>
          <w:sz w:val="18"/>
        </w:rPr>
        <w:t>New</w:t>
      </w:r>
      <w:r>
        <w:rPr>
          <w:i/>
          <w:spacing w:val="-4"/>
          <w:sz w:val="18"/>
        </w:rPr>
        <w:t> York</w:t>
      </w:r>
    </w:p>
    <w:p>
      <w:pPr>
        <w:pStyle w:val="BodyText"/>
        <w:spacing w:before="1"/>
        <w:ind w:left="0"/>
        <w:rPr>
          <w:i/>
          <w:sz w:val="13"/>
        </w:rPr>
      </w:pPr>
      <w:r>
        <w:rPr>
          <w:i/>
          <w:sz w:val="13"/>
        </w:rPr>
        <w:drawing>
          <wp:anchor distT="0" distB="0" distL="0" distR="0" allowOverlap="1" layoutInCell="1" locked="0" behindDoc="1" simplePos="0" relativeHeight="487600640">
            <wp:simplePos x="0" y="0"/>
            <wp:positionH relativeFrom="page">
              <wp:posOffset>914400</wp:posOffset>
            </wp:positionH>
            <wp:positionV relativeFrom="paragraph">
              <wp:posOffset>116972</wp:posOffset>
            </wp:positionV>
            <wp:extent cx="5935201" cy="3877055"/>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27" cstate="print"/>
                    <a:stretch>
                      <a:fillRect/>
                    </a:stretch>
                  </pic:blipFill>
                  <pic:spPr>
                    <a:xfrm>
                      <a:off x="0" y="0"/>
                      <a:ext cx="5935201" cy="3877055"/>
                    </a:xfrm>
                    <a:prstGeom prst="rect">
                      <a:avLst/>
                    </a:prstGeom>
                  </pic:spPr>
                </pic:pic>
              </a:graphicData>
            </a:graphic>
          </wp:anchor>
        </w:drawing>
      </w:r>
    </w:p>
    <w:p>
      <w:pPr>
        <w:spacing w:before="191"/>
        <w:ind w:left="1440" w:right="0" w:firstLine="0"/>
        <w:jc w:val="left"/>
        <w:rPr>
          <w:i/>
          <w:sz w:val="18"/>
        </w:rPr>
      </w:pPr>
      <w:r>
        <w:rPr>
          <w:i/>
          <w:color w:val="0D2841"/>
          <w:sz w:val="18"/>
        </w:rPr>
        <w:t>Source</w:t>
      </w:r>
      <w:r>
        <w:rPr>
          <w:i/>
          <w:color w:val="0D2841"/>
          <w:spacing w:val="-3"/>
          <w:sz w:val="18"/>
        </w:rPr>
        <w:t> </w:t>
      </w:r>
      <w:r>
        <w:rPr>
          <w:i/>
          <w:color w:val="0D2841"/>
          <w:sz w:val="18"/>
        </w:rPr>
        <w:t>County</w:t>
      </w:r>
      <w:r>
        <w:rPr>
          <w:i/>
          <w:color w:val="0D2841"/>
          <w:spacing w:val="-2"/>
          <w:sz w:val="18"/>
        </w:rPr>
        <w:t> </w:t>
      </w:r>
      <w:r>
        <w:rPr>
          <w:i/>
          <w:color w:val="0D2841"/>
          <w:sz w:val="18"/>
        </w:rPr>
        <w:t>Health</w:t>
      </w:r>
      <w:r>
        <w:rPr>
          <w:i/>
          <w:color w:val="0D2841"/>
          <w:spacing w:val="-2"/>
          <w:sz w:val="18"/>
        </w:rPr>
        <w:t> </w:t>
      </w:r>
      <w:r>
        <w:rPr>
          <w:i/>
          <w:color w:val="0D2841"/>
          <w:sz w:val="18"/>
        </w:rPr>
        <w:t>Rankings</w:t>
      </w:r>
      <w:r>
        <w:rPr>
          <w:i/>
          <w:color w:val="0D2841"/>
          <w:spacing w:val="-4"/>
          <w:sz w:val="18"/>
        </w:rPr>
        <w:t> </w:t>
      </w:r>
      <w:r>
        <w:rPr>
          <w:i/>
          <w:color w:val="0D2841"/>
          <w:sz w:val="18"/>
        </w:rPr>
        <w:t>and</w:t>
      </w:r>
      <w:r>
        <w:rPr>
          <w:i/>
          <w:color w:val="0D2841"/>
          <w:spacing w:val="-1"/>
          <w:sz w:val="18"/>
        </w:rPr>
        <w:t> </w:t>
      </w:r>
      <w:r>
        <w:rPr>
          <w:i/>
          <w:color w:val="0D2841"/>
          <w:spacing w:val="-2"/>
          <w:sz w:val="18"/>
        </w:rPr>
        <w:t>Roadmaps</w:t>
      </w:r>
    </w:p>
    <w:p>
      <w:pPr>
        <w:pStyle w:val="BodyText"/>
        <w:spacing w:line="256" w:lineRule="auto" w:before="198"/>
        <w:ind w:right="1467"/>
      </w:pPr>
      <w:r>
        <w:rPr/>
        <w:t>Mental health was a common concern across all ages and backgrounds, with many focus group respondents cifing a range of compounding factors. Youth cited bullying and cyberbullying as key contributors,</w:t>
      </w:r>
      <w:r>
        <w:rPr>
          <w:spacing w:val="-6"/>
        </w:rPr>
        <w:t> </w:t>
      </w:r>
      <w:r>
        <w:rPr/>
        <w:t>while</w:t>
      </w:r>
      <w:r>
        <w:rPr>
          <w:spacing w:val="-6"/>
        </w:rPr>
        <w:t> </w:t>
      </w:r>
      <w:r>
        <w:rPr/>
        <w:t>older</w:t>
      </w:r>
      <w:r>
        <w:rPr>
          <w:spacing w:val="-4"/>
        </w:rPr>
        <w:t> </w:t>
      </w:r>
      <w:r>
        <w:rPr/>
        <w:t>adults</w:t>
      </w:r>
      <w:r>
        <w:rPr>
          <w:spacing w:val="-4"/>
        </w:rPr>
        <w:t> </w:t>
      </w:r>
      <w:r>
        <w:rPr/>
        <w:t>noted</w:t>
      </w:r>
      <w:r>
        <w:rPr>
          <w:spacing w:val="-5"/>
        </w:rPr>
        <w:t> </w:t>
      </w:r>
      <w:r>
        <w:rPr/>
        <w:t>the</w:t>
      </w:r>
      <w:r>
        <w:rPr>
          <w:spacing w:val="-3"/>
        </w:rPr>
        <w:t> </w:t>
      </w:r>
      <w:r>
        <w:rPr/>
        <w:t>rural</w:t>
      </w:r>
      <w:r>
        <w:rPr>
          <w:spacing w:val="-7"/>
        </w:rPr>
        <w:t> </w:t>
      </w:r>
      <w:r>
        <w:rPr/>
        <w:t>community</w:t>
      </w:r>
      <w:r>
        <w:rPr>
          <w:spacing w:val="-3"/>
        </w:rPr>
        <w:t> </w:t>
      </w:r>
      <w:r>
        <w:rPr/>
        <w:t>and</w:t>
      </w:r>
      <w:r>
        <w:rPr>
          <w:spacing w:val="-4"/>
        </w:rPr>
        <w:t> </w:t>
      </w:r>
      <w:r>
        <w:rPr/>
        <w:t>social</w:t>
      </w:r>
      <w:r>
        <w:rPr>
          <w:spacing w:val="-4"/>
        </w:rPr>
        <w:t> </w:t>
      </w:r>
      <w:r>
        <w:rPr/>
        <w:t>isolafion</w:t>
      </w:r>
      <w:r>
        <w:rPr>
          <w:spacing w:val="-7"/>
        </w:rPr>
        <w:t> </w:t>
      </w:r>
      <w:r>
        <w:rPr/>
        <w:t>as</w:t>
      </w:r>
      <w:r>
        <w:rPr>
          <w:spacing w:val="-6"/>
        </w:rPr>
        <w:t> </w:t>
      </w:r>
      <w:r>
        <w:rPr/>
        <w:t>important</w:t>
      </w:r>
      <w:r>
        <w:rPr>
          <w:spacing w:val="-4"/>
        </w:rPr>
        <w:t> </w:t>
      </w:r>
      <w:r>
        <w:rPr/>
        <w:t>factors.</w:t>
      </w:r>
      <w:r>
        <w:rPr>
          <w:spacing w:val="-5"/>
        </w:rPr>
        <w:t> </w:t>
      </w:r>
      <w:r>
        <w:rPr/>
        <w:t>A shortage of mental health providers and ongoing barriers to seeking help, especially for marginalized groups such as older adults and the LGBTQ+ community, were cited as cause for concern. Other suggested root causes include an increased focus on social media and technology, sfigma around receiving mental health care, and the eﬀect of the high cost of living on quality of life.</w:t>
      </w:r>
    </w:p>
    <w:p>
      <w:pPr>
        <w:pStyle w:val="BodyText"/>
        <w:spacing w:line="256" w:lineRule="auto" w:before="161"/>
        <w:ind w:right="1499"/>
      </w:pPr>
      <w:r>
        <w:rPr/>
        <w:t>Residents value organizafions that facilitate social and personal connecfions, such as Pro Acfion Oﬃce for the Aging, community centers, health organizafions, churches, libraries, and The Living Well. Many focus</w:t>
      </w:r>
      <w:r>
        <w:rPr>
          <w:spacing w:val="-5"/>
        </w:rPr>
        <w:t> </w:t>
      </w:r>
      <w:r>
        <w:rPr/>
        <w:t>group</w:t>
      </w:r>
      <w:r>
        <w:rPr>
          <w:spacing w:val="-5"/>
        </w:rPr>
        <w:t> </w:t>
      </w:r>
      <w:r>
        <w:rPr/>
        <w:t>parficipants</w:t>
      </w:r>
      <w:r>
        <w:rPr>
          <w:spacing w:val="-5"/>
        </w:rPr>
        <w:t> </w:t>
      </w:r>
      <w:r>
        <w:rPr/>
        <w:t>commented</w:t>
      </w:r>
      <w:r>
        <w:rPr>
          <w:spacing w:val="-8"/>
        </w:rPr>
        <w:t> </w:t>
      </w:r>
      <w:r>
        <w:rPr/>
        <w:t>on</w:t>
      </w:r>
      <w:r>
        <w:rPr>
          <w:spacing w:val="-6"/>
        </w:rPr>
        <w:t> </w:t>
      </w:r>
      <w:r>
        <w:rPr/>
        <w:t>the</w:t>
      </w:r>
      <w:r>
        <w:rPr>
          <w:spacing w:val="-4"/>
        </w:rPr>
        <w:t> </w:t>
      </w:r>
      <w:r>
        <w:rPr/>
        <w:t>wide</w:t>
      </w:r>
      <w:r>
        <w:rPr>
          <w:spacing w:val="-4"/>
        </w:rPr>
        <w:t> </w:t>
      </w:r>
      <w:r>
        <w:rPr/>
        <w:t>range</w:t>
      </w:r>
      <w:r>
        <w:rPr>
          <w:spacing w:val="-4"/>
        </w:rPr>
        <w:t> </w:t>
      </w:r>
      <w:r>
        <w:rPr/>
        <w:t>of</w:t>
      </w:r>
      <w:r>
        <w:rPr>
          <w:spacing w:val="-8"/>
        </w:rPr>
        <w:t> </w:t>
      </w:r>
      <w:r>
        <w:rPr/>
        <w:t>community</w:t>
      </w:r>
      <w:r>
        <w:rPr>
          <w:spacing w:val="-6"/>
        </w:rPr>
        <w:t> </w:t>
      </w:r>
      <w:r>
        <w:rPr/>
        <w:t>supports</w:t>
      </w:r>
      <w:r>
        <w:rPr>
          <w:spacing w:val="-7"/>
        </w:rPr>
        <w:t> </w:t>
      </w:r>
      <w:r>
        <w:rPr/>
        <w:t>available</w:t>
      </w:r>
      <w:r>
        <w:rPr>
          <w:spacing w:val="-7"/>
        </w:rPr>
        <w:t> </w:t>
      </w:r>
      <w:r>
        <w:rPr/>
        <w:t>and</w:t>
      </w:r>
      <w:r>
        <w:rPr>
          <w:spacing w:val="-6"/>
        </w:rPr>
        <w:t> </w:t>
      </w:r>
      <w:r>
        <w:rPr/>
        <w:t>expressed grafitude for their work in the community. Volunteerism and peer support are seen as vital for</w:t>
      </w:r>
    </w:p>
    <w:p>
      <w:pPr>
        <w:pStyle w:val="BodyText"/>
        <w:ind w:left="0"/>
        <w:rPr>
          <w:sz w:val="20"/>
        </w:rPr>
      </w:pPr>
    </w:p>
    <w:p>
      <w:pPr>
        <w:pStyle w:val="BodyText"/>
        <w:ind w:left="0"/>
        <w:rPr>
          <w:sz w:val="20"/>
        </w:rPr>
      </w:pPr>
    </w:p>
    <w:p>
      <w:pPr>
        <w:pStyle w:val="BodyText"/>
        <w:spacing w:before="67"/>
        <w:ind w:left="0"/>
        <w:rPr>
          <w:sz w:val="20"/>
        </w:rPr>
      </w:pPr>
      <w:r>
        <w:rPr>
          <w:sz w:val="20"/>
        </w:rPr>
        <mc:AlternateContent>
          <mc:Choice Requires="wps">
            <w:drawing>
              <wp:anchor distT="0" distB="0" distL="0" distR="0" allowOverlap="1" layoutInCell="1" locked="0" behindDoc="1" simplePos="0" relativeHeight="487601152">
                <wp:simplePos x="0" y="0"/>
                <wp:positionH relativeFrom="page">
                  <wp:posOffset>914400</wp:posOffset>
                </wp:positionH>
                <wp:positionV relativeFrom="paragraph">
                  <wp:posOffset>213143</wp:posOffset>
                </wp:positionV>
                <wp:extent cx="1828800" cy="9525"/>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6.782967pt;width:144pt;height:.71pt;mso-position-horizontal-relative:page;mso-position-vertical-relative:paragraph;z-index:-15715328;mso-wrap-distance-left:0;mso-wrap-distance-right:0" id="docshape64" filled="true" fillcolor="#000000" stroked="false">
                <v:fill type="solid"/>
                <w10:wrap type="topAndBottom"/>
              </v:rect>
            </w:pict>
          </mc:Fallback>
        </mc:AlternateContent>
      </w:r>
    </w:p>
    <w:p>
      <w:pPr>
        <w:spacing w:before="102"/>
        <w:ind w:left="1440" w:right="1467" w:firstLine="0"/>
        <w:jc w:val="left"/>
        <w:rPr>
          <w:sz w:val="20"/>
        </w:rPr>
      </w:pPr>
      <w:r>
        <w:rPr>
          <w:sz w:val="20"/>
          <w:vertAlign w:val="superscript"/>
        </w:rPr>
        <w:t>43</w:t>
      </w:r>
      <w:r>
        <w:rPr>
          <w:spacing w:val="-8"/>
          <w:sz w:val="20"/>
          <w:vertAlign w:val="baseline"/>
        </w:rPr>
        <w:t> </w:t>
      </w:r>
      <w:bookmarkStart w:name="_bookmark11" w:id="12"/>
      <w:bookmarkEnd w:id="12"/>
      <w:r>
        <w:rPr>
          <w:sz w:val="20"/>
          <w:vertAlign w:val="baseline"/>
        </w:rPr>
        <w:t>S</w:t>
      </w:r>
      <w:r>
        <w:rPr>
          <w:sz w:val="20"/>
          <w:vertAlign w:val="baseline"/>
        </w:rPr>
        <w:t>ource:</w:t>
      </w:r>
      <w:r>
        <w:rPr>
          <w:spacing w:val="-7"/>
          <w:sz w:val="20"/>
          <w:vertAlign w:val="baseline"/>
        </w:rPr>
        <w:t> </w:t>
      </w:r>
      <w:r>
        <w:rPr>
          <w:sz w:val="20"/>
          <w:vertAlign w:val="baseline"/>
        </w:rPr>
        <w:t>Strine</w:t>
      </w:r>
      <w:r>
        <w:rPr>
          <w:spacing w:val="-5"/>
          <w:sz w:val="20"/>
          <w:vertAlign w:val="baseline"/>
        </w:rPr>
        <w:t> </w:t>
      </w:r>
      <w:r>
        <w:rPr>
          <w:sz w:val="20"/>
          <w:vertAlign w:val="baseline"/>
        </w:rPr>
        <w:t>TW,</w:t>
      </w:r>
      <w:r>
        <w:rPr>
          <w:spacing w:val="-6"/>
          <w:sz w:val="20"/>
          <w:vertAlign w:val="baseline"/>
        </w:rPr>
        <w:t> </w:t>
      </w:r>
      <w:r>
        <w:rPr>
          <w:sz w:val="20"/>
          <w:vertAlign w:val="baseline"/>
        </w:rPr>
        <w:t>Balluz</w:t>
      </w:r>
      <w:r>
        <w:rPr>
          <w:spacing w:val="-7"/>
          <w:sz w:val="20"/>
          <w:vertAlign w:val="baseline"/>
        </w:rPr>
        <w:t> </w:t>
      </w:r>
      <w:r>
        <w:rPr>
          <w:sz w:val="20"/>
          <w:vertAlign w:val="baseline"/>
        </w:rPr>
        <w:t>L,</w:t>
      </w:r>
      <w:r>
        <w:rPr>
          <w:spacing w:val="-6"/>
          <w:sz w:val="20"/>
          <w:vertAlign w:val="baseline"/>
        </w:rPr>
        <w:t> </w:t>
      </w:r>
      <w:r>
        <w:rPr>
          <w:sz w:val="20"/>
          <w:vertAlign w:val="baseline"/>
        </w:rPr>
        <w:t>Chapman</w:t>
      </w:r>
      <w:r>
        <w:rPr>
          <w:spacing w:val="-6"/>
          <w:sz w:val="20"/>
          <w:vertAlign w:val="baseline"/>
        </w:rPr>
        <w:t> </w:t>
      </w:r>
      <w:r>
        <w:rPr>
          <w:sz w:val="20"/>
          <w:vertAlign w:val="baseline"/>
        </w:rPr>
        <w:t>DP,</w:t>
      </w:r>
      <w:r>
        <w:rPr>
          <w:spacing w:val="-6"/>
          <w:sz w:val="20"/>
          <w:vertAlign w:val="baseline"/>
        </w:rPr>
        <w:t> </w:t>
      </w:r>
      <w:r>
        <w:rPr>
          <w:sz w:val="20"/>
          <w:vertAlign w:val="baseline"/>
        </w:rPr>
        <w:t>Moriarty</w:t>
      </w:r>
      <w:r>
        <w:rPr>
          <w:spacing w:val="-6"/>
          <w:sz w:val="20"/>
          <w:vertAlign w:val="baseline"/>
        </w:rPr>
        <w:t> </w:t>
      </w:r>
      <w:r>
        <w:rPr>
          <w:sz w:val="20"/>
          <w:vertAlign w:val="baseline"/>
        </w:rPr>
        <w:t>DG,</w:t>
      </w:r>
      <w:r>
        <w:rPr>
          <w:spacing w:val="-6"/>
          <w:sz w:val="20"/>
          <w:vertAlign w:val="baseline"/>
        </w:rPr>
        <w:t> </w:t>
      </w:r>
      <w:r>
        <w:rPr>
          <w:sz w:val="20"/>
          <w:vertAlign w:val="baseline"/>
        </w:rPr>
        <w:t>Owens</w:t>
      </w:r>
      <w:r>
        <w:rPr>
          <w:spacing w:val="-8"/>
          <w:sz w:val="20"/>
          <w:vertAlign w:val="baseline"/>
        </w:rPr>
        <w:t> </w:t>
      </w:r>
      <w:r>
        <w:rPr>
          <w:sz w:val="20"/>
          <w:vertAlign w:val="baseline"/>
        </w:rPr>
        <w:t>M,</w:t>
      </w:r>
      <w:r>
        <w:rPr>
          <w:spacing w:val="-6"/>
          <w:sz w:val="20"/>
          <w:vertAlign w:val="baseline"/>
        </w:rPr>
        <w:t> </w:t>
      </w:r>
      <w:r>
        <w:rPr>
          <w:sz w:val="20"/>
          <w:vertAlign w:val="baseline"/>
        </w:rPr>
        <w:t>Mokdad</w:t>
      </w:r>
      <w:r>
        <w:rPr>
          <w:spacing w:val="-6"/>
          <w:sz w:val="20"/>
          <w:vertAlign w:val="baseline"/>
        </w:rPr>
        <w:t> </w:t>
      </w:r>
      <w:r>
        <w:rPr>
          <w:sz w:val="20"/>
          <w:vertAlign w:val="baseline"/>
        </w:rPr>
        <w:t>AH.</w:t>
      </w:r>
      <w:r>
        <w:rPr>
          <w:spacing w:val="-7"/>
          <w:sz w:val="20"/>
          <w:vertAlign w:val="baseline"/>
        </w:rPr>
        <w:t> </w:t>
      </w:r>
      <w:r>
        <w:rPr>
          <w:sz w:val="20"/>
          <w:vertAlign w:val="baseline"/>
        </w:rPr>
        <w:t>Risk</w:t>
      </w:r>
      <w:r>
        <w:rPr>
          <w:spacing w:val="-6"/>
          <w:sz w:val="20"/>
          <w:vertAlign w:val="baseline"/>
        </w:rPr>
        <w:t> </w:t>
      </w:r>
      <w:r>
        <w:rPr>
          <w:sz w:val="20"/>
          <w:vertAlign w:val="baseline"/>
        </w:rPr>
        <w:t>behaviors</w:t>
      </w:r>
      <w:r>
        <w:rPr>
          <w:spacing w:val="-8"/>
          <w:sz w:val="20"/>
          <w:vertAlign w:val="baseline"/>
        </w:rPr>
        <w:t> </w:t>
      </w:r>
      <w:r>
        <w:rPr>
          <w:sz w:val="20"/>
          <w:vertAlign w:val="baseline"/>
        </w:rPr>
        <w:t>and</w:t>
      </w:r>
      <w:r>
        <w:rPr>
          <w:spacing w:val="-6"/>
          <w:sz w:val="20"/>
          <w:vertAlign w:val="baseline"/>
        </w:rPr>
        <w:t> </w:t>
      </w:r>
      <w:r>
        <w:rPr>
          <w:sz w:val="20"/>
          <w:vertAlign w:val="baseline"/>
        </w:rPr>
        <w:t>healthcare coverage among adults by frequent mental distress status, 2001. Am J Prev Med. 2004 Apr;26(3):213-6. doi: 10.1016/j.amepre.2003.11.002. PMID: 15026100.</w:t>
      </w:r>
    </w:p>
    <w:p>
      <w:pPr>
        <w:spacing w:after="0"/>
        <w:jc w:val="left"/>
        <w:rPr>
          <w:sz w:val="20"/>
        </w:rPr>
        <w:sectPr>
          <w:pgSz w:w="12240" w:h="15840"/>
          <w:pgMar w:header="161" w:footer="1223" w:top="1360" w:bottom="1420" w:left="0" w:right="0"/>
        </w:sectPr>
      </w:pPr>
    </w:p>
    <w:p>
      <w:pPr>
        <w:pStyle w:val="BodyText"/>
        <w:spacing w:line="256" w:lineRule="auto" w:before="64"/>
        <w:ind w:right="1588"/>
      </w:pPr>
      <w:r>
        <w:rPr/>
        <w:t>community</w:t>
      </w:r>
      <w:r>
        <w:rPr>
          <w:spacing w:val="-7"/>
        </w:rPr>
        <w:t> </w:t>
      </w:r>
      <w:r>
        <w:rPr/>
        <w:t>outreach</w:t>
      </w:r>
      <w:r>
        <w:rPr>
          <w:spacing w:val="-7"/>
        </w:rPr>
        <w:t> </w:t>
      </w:r>
      <w:r>
        <w:rPr/>
        <w:t>and</w:t>
      </w:r>
      <w:r>
        <w:rPr>
          <w:spacing w:val="-7"/>
        </w:rPr>
        <w:t> </w:t>
      </w:r>
      <w:r>
        <w:rPr/>
        <w:t>engagement,</w:t>
      </w:r>
      <w:r>
        <w:rPr>
          <w:spacing w:val="-5"/>
        </w:rPr>
        <w:t> </w:t>
      </w:r>
      <w:r>
        <w:rPr/>
        <w:t>with</w:t>
      </w:r>
      <w:r>
        <w:rPr>
          <w:spacing w:val="-8"/>
        </w:rPr>
        <w:t> </w:t>
      </w:r>
      <w:r>
        <w:rPr/>
        <w:t>many</w:t>
      </w:r>
      <w:r>
        <w:rPr>
          <w:spacing w:val="-5"/>
        </w:rPr>
        <w:t> </w:t>
      </w:r>
      <w:r>
        <w:rPr/>
        <w:t>residents</w:t>
      </w:r>
      <w:r>
        <w:rPr>
          <w:spacing w:val="-5"/>
        </w:rPr>
        <w:t> </w:t>
      </w:r>
      <w:r>
        <w:rPr/>
        <w:t>expressing</w:t>
      </w:r>
      <w:r>
        <w:rPr>
          <w:spacing w:val="-6"/>
        </w:rPr>
        <w:t> </w:t>
      </w:r>
      <w:r>
        <w:rPr/>
        <w:t>a</w:t>
      </w:r>
      <w:r>
        <w:rPr>
          <w:spacing w:val="-8"/>
        </w:rPr>
        <w:t> </w:t>
      </w:r>
      <w:r>
        <w:rPr/>
        <w:t>desire</w:t>
      </w:r>
      <w:r>
        <w:rPr>
          <w:spacing w:val="-5"/>
        </w:rPr>
        <w:t> </w:t>
      </w:r>
      <w:r>
        <w:rPr/>
        <w:t>for</w:t>
      </w:r>
      <w:r>
        <w:rPr>
          <w:spacing w:val="-8"/>
        </w:rPr>
        <w:t> </w:t>
      </w:r>
      <w:r>
        <w:rPr/>
        <w:t>more</w:t>
      </w:r>
      <w:r>
        <w:rPr>
          <w:spacing w:val="-7"/>
        </w:rPr>
        <w:t> </w:t>
      </w:r>
      <w:r>
        <w:rPr/>
        <w:t>opportunifies to connect with the various populafions of Yates County.</w:t>
      </w:r>
    </w:p>
    <w:p>
      <w:pPr>
        <w:pStyle w:val="BodyText"/>
        <w:spacing w:line="256" w:lineRule="auto" w:before="160"/>
        <w:ind w:right="1467"/>
      </w:pPr>
      <w:r>
        <w:rPr/>
        <w:t>Despite recognizing opportunifies and a desire to grow community connecfions, isolafion remains a frequent</w:t>
      </w:r>
      <w:r>
        <w:rPr>
          <w:spacing w:val="-5"/>
        </w:rPr>
        <w:t> </w:t>
      </w:r>
      <w:r>
        <w:rPr/>
        <w:t>theme,</w:t>
      </w:r>
      <w:r>
        <w:rPr>
          <w:spacing w:val="-4"/>
        </w:rPr>
        <w:t> </w:t>
      </w:r>
      <w:r>
        <w:rPr/>
        <w:t>parficularly</w:t>
      </w:r>
      <w:r>
        <w:rPr>
          <w:spacing w:val="-4"/>
        </w:rPr>
        <w:t> </w:t>
      </w:r>
      <w:r>
        <w:rPr/>
        <w:t>in</w:t>
      </w:r>
      <w:r>
        <w:rPr>
          <w:spacing w:val="-5"/>
        </w:rPr>
        <w:t> </w:t>
      </w:r>
      <w:r>
        <w:rPr/>
        <w:t>the</w:t>
      </w:r>
      <w:r>
        <w:rPr>
          <w:spacing w:val="-7"/>
        </w:rPr>
        <w:t> </w:t>
      </w:r>
      <w:r>
        <w:rPr/>
        <w:t>aging</w:t>
      </w:r>
      <w:r>
        <w:rPr>
          <w:spacing w:val="-5"/>
        </w:rPr>
        <w:t> </w:t>
      </w:r>
      <w:r>
        <w:rPr/>
        <w:t>community.</w:t>
      </w:r>
      <w:r>
        <w:rPr>
          <w:spacing w:val="-8"/>
        </w:rPr>
        <w:t> </w:t>
      </w:r>
      <w:r>
        <w:rPr/>
        <w:t>Beyond</w:t>
      </w:r>
      <w:r>
        <w:rPr>
          <w:spacing w:val="-6"/>
        </w:rPr>
        <w:t> </w:t>
      </w:r>
      <w:r>
        <w:rPr/>
        <w:t>social</w:t>
      </w:r>
      <w:r>
        <w:rPr>
          <w:spacing w:val="-8"/>
        </w:rPr>
        <w:t> </w:t>
      </w:r>
      <w:r>
        <w:rPr/>
        <w:t>connecfions,</w:t>
      </w:r>
      <w:r>
        <w:rPr>
          <w:spacing w:val="-7"/>
        </w:rPr>
        <w:t> </w:t>
      </w:r>
      <w:r>
        <w:rPr/>
        <w:t>residents</w:t>
      </w:r>
      <w:r>
        <w:rPr>
          <w:spacing w:val="-7"/>
        </w:rPr>
        <w:t> </w:t>
      </w:r>
      <w:r>
        <w:rPr/>
        <w:t>request</w:t>
      </w:r>
      <w:r>
        <w:rPr>
          <w:spacing w:val="-7"/>
        </w:rPr>
        <w:t> </w:t>
      </w:r>
      <w:r>
        <w:rPr/>
        <w:t>more chances for mentorship and regular informafion sharing. There is a desire for more educafional programming on topics such as chronic disease prevenfion and resource awareness. Community members feel that implemenfing such programs may assist in bringing together the community and removing the sense of isolafion to befter support and improve the overall quality of life in the </w:t>
      </w:r>
      <w:r>
        <w:rPr>
          <w:spacing w:val="-2"/>
        </w:rPr>
        <w:t>community.</w:t>
      </w:r>
    </w:p>
    <w:p>
      <w:pPr>
        <w:pStyle w:val="Heading3"/>
        <w:spacing w:before="162"/>
      </w:pPr>
      <w:r>
        <w:rPr/>
        <w:t>Priority:</w:t>
      </w:r>
      <w:r>
        <w:rPr>
          <w:spacing w:val="-2"/>
        </w:rPr>
        <w:t> Suicide</w:t>
      </w:r>
    </w:p>
    <w:p>
      <w:pPr>
        <w:pStyle w:val="BodyText"/>
        <w:spacing w:line="259" w:lineRule="auto" w:before="199"/>
        <w:ind w:right="1467"/>
      </w:pPr>
      <w:r>
        <w:rPr/>
        <w:t>The Nafional Center for Health Stafisfics notes that in 2022 the suicide rate in the county was 15.0 per 100,000</w:t>
      </w:r>
      <w:r>
        <w:rPr>
          <w:spacing w:val="-5"/>
        </w:rPr>
        <w:t> </w:t>
      </w:r>
      <w:r>
        <w:rPr/>
        <w:t>people,</w:t>
      </w:r>
      <w:r>
        <w:rPr>
          <w:spacing w:val="-4"/>
        </w:rPr>
        <w:t> </w:t>
      </w:r>
      <w:r>
        <w:rPr/>
        <w:t>nearly</w:t>
      </w:r>
      <w:r>
        <w:rPr>
          <w:spacing w:val="-3"/>
        </w:rPr>
        <w:t> </w:t>
      </w:r>
      <w:r>
        <w:rPr/>
        <w:t>double</w:t>
      </w:r>
      <w:r>
        <w:rPr>
          <w:spacing w:val="-3"/>
        </w:rPr>
        <w:t> </w:t>
      </w:r>
      <w:r>
        <w:rPr/>
        <w:t>the</w:t>
      </w:r>
      <w:r>
        <w:rPr>
          <w:spacing w:val="-3"/>
        </w:rPr>
        <w:t> </w:t>
      </w:r>
      <w:r>
        <w:rPr/>
        <w:t>NYS</w:t>
      </w:r>
      <w:r>
        <w:rPr>
          <w:spacing w:val="-4"/>
        </w:rPr>
        <w:t> </w:t>
      </w:r>
      <w:r>
        <w:rPr/>
        <w:t>average</w:t>
      </w:r>
      <w:r>
        <w:rPr>
          <w:spacing w:val="-6"/>
        </w:rPr>
        <w:t> </w:t>
      </w:r>
      <w:r>
        <w:rPr/>
        <w:t>of</w:t>
      </w:r>
      <w:r>
        <w:rPr>
          <w:spacing w:val="-6"/>
        </w:rPr>
        <w:t> </w:t>
      </w:r>
      <w:r>
        <w:rPr/>
        <w:t>8</w:t>
      </w:r>
      <w:r>
        <w:rPr>
          <w:spacing w:val="-3"/>
        </w:rPr>
        <w:t> </w:t>
      </w:r>
      <w:r>
        <w:rPr/>
        <w:t>per</w:t>
      </w:r>
      <w:r>
        <w:rPr>
          <w:spacing w:val="-4"/>
        </w:rPr>
        <w:t> </w:t>
      </w:r>
      <w:r>
        <w:rPr/>
        <w:t>100,000</w:t>
      </w:r>
      <w:r>
        <w:rPr>
          <w:spacing w:val="-3"/>
        </w:rPr>
        <w:t> </w:t>
      </w:r>
      <w:r>
        <w:rPr/>
        <w:t>people.</w:t>
      </w:r>
      <w:r>
        <w:rPr>
          <w:spacing w:val="-5"/>
        </w:rPr>
        <w:t> </w:t>
      </w:r>
      <w:r>
        <w:rPr/>
        <w:t>This</w:t>
      </w:r>
      <w:r>
        <w:rPr>
          <w:spacing w:val="-6"/>
        </w:rPr>
        <w:t> </w:t>
      </w:r>
      <w:r>
        <w:rPr/>
        <w:t>represents</w:t>
      </w:r>
      <w:r>
        <w:rPr>
          <w:spacing w:val="-4"/>
        </w:rPr>
        <w:t> </w:t>
      </w:r>
      <w:r>
        <w:rPr/>
        <w:t>a</w:t>
      </w:r>
      <w:r>
        <w:rPr>
          <w:spacing w:val="-6"/>
        </w:rPr>
        <w:t> </w:t>
      </w:r>
      <w:r>
        <w:rPr/>
        <w:t>36%</w:t>
      </w:r>
      <w:r>
        <w:rPr>
          <w:spacing w:val="-3"/>
        </w:rPr>
        <w:t> </w:t>
      </w:r>
      <w:r>
        <w:rPr/>
        <w:t>increase in deaths due to suicide since 2018. In contrast, the suicide rate among youth (15-19 years of age) was</w:t>
      </w:r>
    </w:p>
    <w:p>
      <w:pPr>
        <w:pStyle w:val="BodyText"/>
        <w:spacing w:line="259" w:lineRule="auto"/>
        <w:ind w:right="1499"/>
      </w:pPr>
      <w:r>
        <w:rPr/>
        <w:t>0.0 per 100,000 people in 2022, which is lower than the NYS average of 5.6 and has remained unchanged since 2015. The rate of youth suicide remains a bright spot, suggesfing strong protecfive factors</w:t>
      </w:r>
      <w:r>
        <w:rPr>
          <w:spacing w:val="-8"/>
        </w:rPr>
        <w:t> </w:t>
      </w:r>
      <w:r>
        <w:rPr/>
        <w:t>and</w:t>
      </w:r>
      <w:r>
        <w:rPr>
          <w:spacing w:val="-8"/>
        </w:rPr>
        <w:t> </w:t>
      </w:r>
      <w:r>
        <w:rPr/>
        <w:t>support</w:t>
      </w:r>
      <w:r>
        <w:rPr>
          <w:spacing w:val="-8"/>
        </w:rPr>
        <w:t> </w:t>
      </w:r>
      <w:r>
        <w:rPr/>
        <w:t>systems</w:t>
      </w:r>
      <w:r>
        <w:rPr>
          <w:spacing w:val="-8"/>
        </w:rPr>
        <w:t> </w:t>
      </w:r>
      <w:r>
        <w:rPr/>
        <w:t>for</w:t>
      </w:r>
      <w:r>
        <w:rPr>
          <w:spacing w:val="-8"/>
        </w:rPr>
        <w:t> </w:t>
      </w:r>
      <w:r>
        <w:rPr/>
        <w:t>adolescents</w:t>
      </w:r>
      <w:r>
        <w:rPr>
          <w:spacing w:val="-9"/>
        </w:rPr>
        <w:t> </w:t>
      </w:r>
      <w:r>
        <w:rPr/>
        <w:t>in</w:t>
      </w:r>
      <w:r>
        <w:rPr>
          <w:spacing w:val="-11"/>
        </w:rPr>
        <w:t> </w:t>
      </w:r>
      <w:r>
        <w:rPr/>
        <w:t>the</w:t>
      </w:r>
      <w:r>
        <w:rPr>
          <w:spacing w:val="-8"/>
        </w:rPr>
        <w:t> </w:t>
      </w:r>
      <w:r>
        <w:rPr/>
        <w:t>county.</w:t>
      </w:r>
      <w:r>
        <w:rPr>
          <w:spacing w:val="-8"/>
        </w:rPr>
        <w:t> </w:t>
      </w:r>
      <w:r>
        <w:rPr/>
        <w:t>However,</w:t>
      </w:r>
      <w:r>
        <w:rPr>
          <w:spacing w:val="-8"/>
        </w:rPr>
        <w:t> </w:t>
      </w:r>
      <w:r>
        <w:rPr/>
        <w:t>the</w:t>
      </w:r>
      <w:r>
        <w:rPr>
          <w:spacing w:val="-10"/>
        </w:rPr>
        <w:t> </w:t>
      </w:r>
      <w:r>
        <w:rPr/>
        <w:t>substanfial</w:t>
      </w:r>
      <w:r>
        <w:rPr>
          <w:spacing w:val="-8"/>
        </w:rPr>
        <w:t> </w:t>
      </w:r>
      <w:r>
        <w:rPr/>
        <w:t>increase</w:t>
      </w:r>
      <w:r>
        <w:rPr>
          <w:spacing w:val="-8"/>
        </w:rPr>
        <w:t> </w:t>
      </w:r>
      <w:r>
        <w:rPr/>
        <w:t>in</w:t>
      </w:r>
      <w:r>
        <w:rPr>
          <w:spacing w:val="-9"/>
        </w:rPr>
        <w:t> </w:t>
      </w:r>
      <w:r>
        <w:rPr/>
        <w:t>deaths due to suicide among adults indicates that expanded mental health resources are needed to befter support this populafion.</w:t>
      </w:r>
    </w:p>
    <w:p>
      <w:pPr>
        <w:pStyle w:val="BodyText"/>
        <w:spacing w:line="259" w:lineRule="auto" w:before="159"/>
        <w:ind w:right="1467"/>
      </w:pPr>
      <w:r>
        <w:rPr/>
        <w:t>Rising suicide rates signal worsening mental health and increasing levels of stress, trauma, or unmet behavioral health needs in the community. When the county’s</w:t>
      </w:r>
      <w:r>
        <w:rPr>
          <w:spacing w:val="-1"/>
        </w:rPr>
        <w:t> </w:t>
      </w:r>
      <w:r>
        <w:rPr/>
        <w:t>overall suicide rate exceeds the state average,</w:t>
      </w:r>
      <w:r>
        <w:rPr>
          <w:spacing w:val="-6"/>
        </w:rPr>
        <w:t> </w:t>
      </w:r>
      <w:r>
        <w:rPr/>
        <w:t>it</w:t>
      </w:r>
      <w:r>
        <w:rPr>
          <w:spacing w:val="-8"/>
        </w:rPr>
        <w:t> </w:t>
      </w:r>
      <w:r>
        <w:rPr/>
        <w:t>suggests</w:t>
      </w:r>
      <w:r>
        <w:rPr>
          <w:spacing w:val="-8"/>
        </w:rPr>
        <w:t> </w:t>
      </w:r>
      <w:r>
        <w:rPr/>
        <w:t>that</w:t>
      </w:r>
      <w:r>
        <w:rPr>
          <w:spacing w:val="-5"/>
        </w:rPr>
        <w:t> </w:t>
      </w:r>
      <w:r>
        <w:rPr/>
        <w:t>residents</w:t>
      </w:r>
      <w:r>
        <w:rPr>
          <w:spacing w:val="-6"/>
        </w:rPr>
        <w:t> </w:t>
      </w:r>
      <w:r>
        <w:rPr/>
        <w:t>may</w:t>
      </w:r>
      <w:r>
        <w:rPr>
          <w:spacing w:val="-5"/>
        </w:rPr>
        <w:t> </w:t>
      </w:r>
      <w:r>
        <w:rPr/>
        <w:t>face</w:t>
      </w:r>
      <w:r>
        <w:rPr>
          <w:spacing w:val="-5"/>
        </w:rPr>
        <w:t> </w:t>
      </w:r>
      <w:r>
        <w:rPr/>
        <w:t>greater</w:t>
      </w:r>
      <w:r>
        <w:rPr>
          <w:spacing w:val="-6"/>
        </w:rPr>
        <w:t> </w:t>
      </w:r>
      <w:r>
        <w:rPr/>
        <w:t>barriers</w:t>
      </w:r>
      <w:r>
        <w:rPr>
          <w:spacing w:val="-6"/>
        </w:rPr>
        <w:t> </w:t>
      </w:r>
      <w:r>
        <w:rPr/>
        <w:t>to</w:t>
      </w:r>
      <w:r>
        <w:rPr>
          <w:spacing w:val="-7"/>
        </w:rPr>
        <w:t> </w:t>
      </w:r>
      <w:r>
        <w:rPr/>
        <w:t>fimely</w:t>
      </w:r>
      <w:r>
        <w:rPr>
          <w:spacing w:val="-7"/>
        </w:rPr>
        <w:t> </w:t>
      </w:r>
      <w:r>
        <w:rPr/>
        <w:t>mental</w:t>
      </w:r>
      <w:r>
        <w:rPr>
          <w:spacing w:val="-6"/>
        </w:rPr>
        <w:t> </w:t>
      </w:r>
      <w:r>
        <w:rPr/>
        <w:t>health</w:t>
      </w:r>
      <w:r>
        <w:rPr>
          <w:spacing w:val="-6"/>
        </w:rPr>
        <w:t> </w:t>
      </w:r>
      <w:r>
        <w:rPr/>
        <w:t>care,</w:t>
      </w:r>
      <w:r>
        <w:rPr>
          <w:spacing w:val="-8"/>
        </w:rPr>
        <w:t> </w:t>
      </w:r>
      <w:r>
        <w:rPr/>
        <w:t>social</w:t>
      </w:r>
      <w:r>
        <w:rPr>
          <w:spacing w:val="-6"/>
        </w:rPr>
        <w:t> </w:t>
      </w:r>
      <w:r>
        <w:rPr/>
        <w:t>support, or crisis intervenfion. Higher suicide rates also have wide-reaching impacts, causing strain to families, schools, healthcare systems, and communifies. It also potenfially indicates deeper issues such as isolafion, substance use, economic stress, or limited access to mental-health services</w:t>
      </w:r>
      <w:hyperlink w:history="true" w:anchor="_bookmark12">
        <w:r>
          <w:rPr/>
          <w:t>.</w:t>
        </w:r>
        <w:r>
          <w:rPr>
            <w:vertAlign w:val="superscript"/>
          </w:rPr>
          <w:t>44</w:t>
        </w:r>
      </w:hyperlink>
    </w:p>
    <w:p>
      <w:pPr>
        <w:pStyle w:val="Heading3"/>
        <w:spacing w:before="159"/>
      </w:pPr>
      <w:r>
        <w:rPr/>
        <w:t>Priority:</w:t>
      </w:r>
      <w:r>
        <w:rPr>
          <w:spacing w:val="-2"/>
        </w:rPr>
        <w:t> Depression</w:t>
      </w:r>
    </w:p>
    <w:p>
      <w:pPr>
        <w:pStyle w:val="BodyText"/>
        <w:spacing w:line="259" w:lineRule="auto" w:before="182"/>
        <w:ind w:right="1467"/>
      </w:pPr>
      <w:r>
        <w:rPr/>
        <w:t>In Yates County, the age-adjusted percentage of adults reporfing a depressive disorder in 2021 was 24.3%. This is greater than the NYS rate of 18.7% in the same year and has increased 40% since 2016. Elevated</w:t>
      </w:r>
      <w:r>
        <w:rPr>
          <w:spacing w:val="-6"/>
        </w:rPr>
        <w:t> </w:t>
      </w:r>
      <w:r>
        <w:rPr/>
        <w:t>rates</w:t>
      </w:r>
      <w:r>
        <w:rPr>
          <w:spacing w:val="-7"/>
        </w:rPr>
        <w:t> </w:t>
      </w:r>
      <w:r>
        <w:rPr/>
        <w:t>of</w:t>
      </w:r>
      <w:r>
        <w:rPr>
          <w:spacing w:val="-7"/>
        </w:rPr>
        <w:t> </w:t>
      </w:r>
      <w:r>
        <w:rPr/>
        <w:t>depression</w:t>
      </w:r>
      <w:r>
        <w:rPr>
          <w:spacing w:val="-6"/>
        </w:rPr>
        <w:t> </w:t>
      </w:r>
      <w:r>
        <w:rPr/>
        <w:t>are</w:t>
      </w:r>
      <w:r>
        <w:rPr>
          <w:spacing w:val="-4"/>
        </w:rPr>
        <w:t> </w:t>
      </w:r>
      <w:r>
        <w:rPr/>
        <w:t>associated</w:t>
      </w:r>
      <w:r>
        <w:rPr>
          <w:spacing w:val="-8"/>
        </w:rPr>
        <w:t> </w:t>
      </w:r>
      <w:r>
        <w:rPr/>
        <w:t>with</w:t>
      </w:r>
      <w:r>
        <w:rPr>
          <w:spacing w:val="-5"/>
        </w:rPr>
        <w:t> </w:t>
      </w:r>
      <w:r>
        <w:rPr/>
        <w:t>increased</w:t>
      </w:r>
      <w:r>
        <w:rPr>
          <w:spacing w:val="-5"/>
        </w:rPr>
        <w:t> </w:t>
      </w:r>
      <w:r>
        <w:rPr/>
        <w:t>risk</w:t>
      </w:r>
      <w:r>
        <w:rPr>
          <w:spacing w:val="-7"/>
        </w:rPr>
        <w:t> </w:t>
      </w:r>
      <w:r>
        <w:rPr/>
        <w:t>of</w:t>
      </w:r>
      <w:r>
        <w:rPr>
          <w:spacing w:val="-8"/>
        </w:rPr>
        <w:t> </w:t>
      </w:r>
      <w:r>
        <w:rPr/>
        <w:t>chronic</w:t>
      </w:r>
      <w:r>
        <w:rPr>
          <w:spacing w:val="-5"/>
        </w:rPr>
        <w:t> </w:t>
      </w:r>
      <w:r>
        <w:rPr/>
        <w:t>diseases,</w:t>
      </w:r>
      <w:r>
        <w:rPr>
          <w:spacing w:val="-5"/>
        </w:rPr>
        <w:t> </w:t>
      </w:r>
      <w:r>
        <w:rPr/>
        <w:t>substance</w:t>
      </w:r>
      <w:r>
        <w:rPr>
          <w:spacing w:val="-4"/>
        </w:rPr>
        <w:t> </w:t>
      </w:r>
      <w:r>
        <w:rPr/>
        <w:t>use,</w:t>
      </w:r>
      <w:r>
        <w:rPr>
          <w:spacing w:val="-4"/>
        </w:rPr>
        <w:t> </w:t>
      </w:r>
      <w:r>
        <w:rPr/>
        <w:t>social isolafion, and suicide, as well as greater demand for mental health services. When the county rate is both higher than the state's average and rising, it indicates that many residents may not be receiving adequate treatment or support, contribufing to long-term health disparifies and strain on local healthcare and social services.</w:t>
      </w:r>
      <w:hyperlink w:history="true" w:anchor="_bookmark13">
        <w:r>
          <w:rPr>
            <w:vertAlign w:val="superscript"/>
          </w:rPr>
          <w:t>45</w:t>
        </w:r>
      </w:hyperlink>
    </w:p>
    <w:p>
      <w:pPr>
        <w:pStyle w:val="BodyText"/>
        <w:spacing w:line="259" w:lineRule="auto" w:before="158"/>
        <w:ind w:right="1467"/>
      </w:pPr>
      <w:r>
        <w:rPr/>
        <w:t>Focus groups idenfiﬁed</w:t>
      </w:r>
      <w:r>
        <w:rPr>
          <w:spacing w:val="-1"/>
        </w:rPr>
        <w:t> </w:t>
      </w:r>
      <w:r>
        <w:rPr/>
        <w:t>several root causes of high depression rates in</w:t>
      </w:r>
      <w:r>
        <w:rPr>
          <w:spacing w:val="-1"/>
        </w:rPr>
        <w:t> </w:t>
      </w:r>
      <w:r>
        <w:rPr/>
        <w:t>the area. Insights suggested that decreased</w:t>
      </w:r>
      <w:r>
        <w:rPr>
          <w:spacing w:val="-7"/>
        </w:rPr>
        <w:t> </w:t>
      </w:r>
      <w:r>
        <w:rPr/>
        <w:t>resiliency,</w:t>
      </w:r>
      <w:r>
        <w:rPr>
          <w:spacing w:val="-7"/>
        </w:rPr>
        <w:t> </w:t>
      </w:r>
      <w:r>
        <w:rPr/>
        <w:t>increased</w:t>
      </w:r>
      <w:r>
        <w:rPr>
          <w:spacing w:val="-8"/>
        </w:rPr>
        <w:t> </w:t>
      </w:r>
      <w:r>
        <w:rPr/>
        <w:t>reliance</w:t>
      </w:r>
      <w:r>
        <w:rPr>
          <w:spacing w:val="-8"/>
        </w:rPr>
        <w:t> </w:t>
      </w:r>
      <w:r>
        <w:rPr/>
        <w:t>on</w:t>
      </w:r>
      <w:r>
        <w:rPr>
          <w:spacing w:val="-8"/>
        </w:rPr>
        <w:t> </w:t>
      </w:r>
      <w:r>
        <w:rPr/>
        <w:t>social</w:t>
      </w:r>
      <w:r>
        <w:rPr>
          <w:spacing w:val="-8"/>
        </w:rPr>
        <w:t> </w:t>
      </w:r>
      <w:r>
        <w:rPr/>
        <w:t>media</w:t>
      </w:r>
      <w:r>
        <w:rPr>
          <w:spacing w:val="-7"/>
        </w:rPr>
        <w:t> </w:t>
      </w:r>
      <w:r>
        <w:rPr/>
        <w:t>and</w:t>
      </w:r>
      <w:r>
        <w:rPr>
          <w:spacing w:val="-8"/>
        </w:rPr>
        <w:t> </w:t>
      </w:r>
      <w:r>
        <w:rPr/>
        <w:t>technology,</w:t>
      </w:r>
      <w:r>
        <w:rPr>
          <w:spacing w:val="-8"/>
        </w:rPr>
        <w:t> </w:t>
      </w:r>
      <w:r>
        <w:rPr/>
        <w:t>and</w:t>
      </w:r>
      <w:r>
        <w:rPr>
          <w:spacing w:val="-8"/>
        </w:rPr>
        <w:t> </w:t>
      </w:r>
      <w:r>
        <w:rPr/>
        <w:t>the</w:t>
      </w:r>
      <w:r>
        <w:rPr>
          <w:spacing w:val="-6"/>
        </w:rPr>
        <w:t> </w:t>
      </w:r>
      <w:r>
        <w:rPr/>
        <w:t>lingering</w:t>
      </w:r>
      <w:r>
        <w:rPr>
          <w:spacing w:val="-7"/>
        </w:rPr>
        <w:t> </w:t>
      </w:r>
      <w:r>
        <w:rPr/>
        <w:t>mental</w:t>
      </w:r>
      <w:r>
        <w:rPr>
          <w:spacing w:val="-7"/>
        </w:rPr>
        <w:t> </w:t>
      </w:r>
      <w:r>
        <w:rPr/>
        <w:t>health impacts of the pandemic have all played signiﬁcant roles. Parficipants also idenfiﬁed broader societal inﬂuences, such as the sfigma around receiving care, the high cost of living, and career burnout, as</w:t>
      </w:r>
    </w:p>
    <w:p>
      <w:pPr>
        <w:pStyle w:val="BodyText"/>
        <w:spacing w:before="132"/>
        <w:ind w:left="0"/>
        <w:rPr>
          <w:sz w:val="20"/>
        </w:rPr>
      </w:pPr>
      <w:r>
        <w:rPr>
          <w:sz w:val="20"/>
        </w:rPr>
        <mc:AlternateContent>
          <mc:Choice Requires="wps">
            <w:drawing>
              <wp:anchor distT="0" distB="0" distL="0" distR="0" allowOverlap="1" layoutInCell="1" locked="0" behindDoc="1" simplePos="0" relativeHeight="487601664">
                <wp:simplePos x="0" y="0"/>
                <wp:positionH relativeFrom="page">
                  <wp:posOffset>914400</wp:posOffset>
                </wp:positionH>
                <wp:positionV relativeFrom="paragraph">
                  <wp:posOffset>254701</wp:posOffset>
                </wp:positionV>
                <wp:extent cx="1828800" cy="9525"/>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0.055204pt;width:144pt;height:.71pt;mso-position-horizontal-relative:page;mso-position-vertical-relative:paragraph;z-index:-15714816;mso-wrap-distance-left:0;mso-wrap-distance-right:0" id="docshape65" filled="true" fillcolor="#000000" stroked="false">
                <v:fill type="solid"/>
                <w10:wrap type="topAndBottom"/>
              </v:rect>
            </w:pict>
          </mc:Fallback>
        </mc:AlternateContent>
      </w:r>
    </w:p>
    <w:p>
      <w:pPr>
        <w:spacing w:line="243" w:lineRule="exact" w:before="102"/>
        <w:ind w:left="1440" w:right="0" w:firstLine="0"/>
        <w:jc w:val="left"/>
        <w:rPr>
          <w:sz w:val="20"/>
        </w:rPr>
      </w:pPr>
      <w:r>
        <w:rPr>
          <w:sz w:val="20"/>
          <w:vertAlign w:val="superscript"/>
        </w:rPr>
        <w:t>44</w:t>
      </w:r>
      <w:r>
        <w:rPr>
          <w:spacing w:val="-9"/>
          <w:sz w:val="20"/>
          <w:vertAlign w:val="baseline"/>
        </w:rPr>
        <w:t> </w:t>
      </w:r>
      <w:bookmarkStart w:name="_bookmark12" w:id="13"/>
      <w:bookmarkEnd w:id="13"/>
      <w:r>
        <w:rPr>
          <w:sz w:val="20"/>
          <w:vertAlign w:val="baseline"/>
        </w:rPr>
        <w:t>S</w:t>
      </w:r>
      <w:r>
        <w:rPr>
          <w:sz w:val="20"/>
          <w:vertAlign w:val="baseline"/>
        </w:rPr>
        <w:t>ource:</w:t>
      </w:r>
      <w:r>
        <w:rPr>
          <w:spacing w:val="-8"/>
          <w:sz w:val="20"/>
          <w:vertAlign w:val="baseline"/>
        </w:rPr>
        <w:t> </w:t>
      </w:r>
      <w:r>
        <w:rPr>
          <w:spacing w:val="-2"/>
          <w:sz w:val="20"/>
          <w:vertAlign w:val="baseline"/>
        </w:rPr>
        <w:t>hftps://</w:t>
      </w:r>
      <w:hyperlink r:id="rId28">
        <w:r>
          <w:rPr>
            <w:spacing w:val="-2"/>
            <w:sz w:val="20"/>
            <w:vertAlign w:val="baseline"/>
          </w:rPr>
          <w:t>www.cdc.gov/suicide/facts/index.html</w:t>
        </w:r>
      </w:hyperlink>
    </w:p>
    <w:p>
      <w:pPr>
        <w:spacing w:line="243" w:lineRule="exact" w:before="0"/>
        <w:ind w:left="1440" w:right="0" w:firstLine="0"/>
        <w:jc w:val="left"/>
        <w:rPr>
          <w:sz w:val="20"/>
        </w:rPr>
      </w:pPr>
      <w:r>
        <w:rPr>
          <w:spacing w:val="-2"/>
          <w:sz w:val="20"/>
          <w:vertAlign w:val="superscript"/>
        </w:rPr>
        <w:t>45</w:t>
      </w:r>
      <w:bookmarkStart w:name="_bookmark13" w:id="14"/>
      <w:bookmarkEnd w:id="14"/>
      <w:r>
        <w:rPr>
          <w:spacing w:val="-2"/>
          <w:sz w:val="20"/>
          <w:vertAlign w:val="baseline"/>
        </w:rPr>
        <w:t>S</w:t>
      </w:r>
      <w:r>
        <w:rPr>
          <w:spacing w:val="-2"/>
          <w:sz w:val="20"/>
          <w:vertAlign w:val="baseline"/>
        </w:rPr>
        <w:t>ource:</w:t>
      </w:r>
      <w:r>
        <w:rPr>
          <w:spacing w:val="10"/>
          <w:sz w:val="20"/>
          <w:vertAlign w:val="baseline"/>
        </w:rPr>
        <w:t> </w:t>
      </w:r>
      <w:r>
        <w:rPr>
          <w:spacing w:val="-2"/>
          <w:sz w:val="20"/>
          <w:vertAlign w:val="baseline"/>
        </w:rPr>
        <w:t>Nafional</w:t>
      </w:r>
      <w:r>
        <w:rPr>
          <w:spacing w:val="11"/>
          <w:sz w:val="20"/>
          <w:vertAlign w:val="baseline"/>
        </w:rPr>
        <w:t> </w:t>
      </w:r>
      <w:r>
        <w:rPr>
          <w:spacing w:val="-2"/>
          <w:sz w:val="20"/>
          <w:vertAlign w:val="baseline"/>
        </w:rPr>
        <w:t>Insfitute</w:t>
      </w:r>
      <w:r>
        <w:rPr>
          <w:spacing w:val="10"/>
          <w:sz w:val="20"/>
          <w:vertAlign w:val="baseline"/>
        </w:rPr>
        <w:t> </w:t>
      </w:r>
      <w:r>
        <w:rPr>
          <w:spacing w:val="-2"/>
          <w:sz w:val="20"/>
          <w:vertAlign w:val="baseline"/>
        </w:rPr>
        <w:t>of</w:t>
      </w:r>
      <w:r>
        <w:rPr>
          <w:spacing w:val="12"/>
          <w:sz w:val="20"/>
          <w:vertAlign w:val="baseline"/>
        </w:rPr>
        <w:t> </w:t>
      </w:r>
      <w:r>
        <w:rPr>
          <w:spacing w:val="-2"/>
          <w:sz w:val="20"/>
          <w:vertAlign w:val="baseline"/>
        </w:rPr>
        <w:t>Mental</w:t>
      </w:r>
      <w:r>
        <w:rPr>
          <w:spacing w:val="10"/>
          <w:sz w:val="20"/>
          <w:vertAlign w:val="baseline"/>
        </w:rPr>
        <w:t> </w:t>
      </w:r>
      <w:r>
        <w:rPr>
          <w:spacing w:val="-2"/>
          <w:sz w:val="20"/>
          <w:vertAlign w:val="baseline"/>
        </w:rPr>
        <w:t>Health:</w:t>
      </w:r>
      <w:r>
        <w:rPr>
          <w:spacing w:val="10"/>
          <w:sz w:val="20"/>
          <w:vertAlign w:val="baseline"/>
        </w:rPr>
        <w:t> </w:t>
      </w:r>
      <w:r>
        <w:rPr>
          <w:spacing w:val="-2"/>
          <w:sz w:val="20"/>
          <w:vertAlign w:val="baseline"/>
        </w:rPr>
        <w:t>hftps://</w:t>
      </w:r>
      <w:hyperlink r:id="rId29">
        <w:r>
          <w:rPr>
            <w:spacing w:val="-2"/>
            <w:sz w:val="20"/>
            <w:vertAlign w:val="baseline"/>
          </w:rPr>
          <w:t>www.nimh.nih.gov/health/publicafions/chronic-illness-</w:t>
        </w:r>
      </w:hyperlink>
    </w:p>
    <w:p>
      <w:pPr>
        <w:spacing w:before="1"/>
        <w:ind w:left="1440" w:right="0" w:firstLine="0"/>
        <w:jc w:val="left"/>
        <w:rPr>
          <w:sz w:val="20"/>
        </w:rPr>
      </w:pPr>
      <w:r>
        <w:rPr>
          <w:spacing w:val="-2"/>
          <w:sz w:val="20"/>
        </w:rPr>
        <w:t>mental-health?utm_source=chatgpt.com</w:t>
      </w:r>
    </w:p>
    <w:p>
      <w:pPr>
        <w:spacing w:after="0"/>
        <w:jc w:val="left"/>
        <w:rPr>
          <w:sz w:val="20"/>
        </w:rPr>
        <w:sectPr>
          <w:pgSz w:w="12240" w:h="15840"/>
          <w:pgMar w:header="161" w:footer="1223" w:top="1360" w:bottom="1420" w:left="0" w:right="0"/>
        </w:sectPr>
      </w:pPr>
    </w:p>
    <w:p>
      <w:pPr>
        <w:pStyle w:val="BodyText"/>
        <w:spacing w:line="259" w:lineRule="auto" w:before="64"/>
        <w:ind w:right="1467"/>
      </w:pPr>
      <w:r>
        <w:rPr/>
        <w:t>addifional</w:t>
      </w:r>
      <w:r>
        <w:rPr>
          <w:spacing w:val="-5"/>
        </w:rPr>
        <w:t> </w:t>
      </w:r>
      <w:r>
        <w:rPr/>
        <w:t>inﬂuences</w:t>
      </w:r>
      <w:r>
        <w:rPr>
          <w:spacing w:val="-6"/>
        </w:rPr>
        <w:t> </w:t>
      </w:r>
      <w:r>
        <w:rPr/>
        <w:t>on</w:t>
      </w:r>
      <w:r>
        <w:rPr>
          <w:spacing w:val="-7"/>
        </w:rPr>
        <w:t> </w:t>
      </w:r>
      <w:r>
        <w:rPr/>
        <w:t>mental</w:t>
      </w:r>
      <w:r>
        <w:rPr>
          <w:spacing w:val="-5"/>
        </w:rPr>
        <w:t> </w:t>
      </w:r>
      <w:r>
        <w:rPr/>
        <w:t>health.</w:t>
      </w:r>
      <w:r>
        <w:rPr>
          <w:spacing w:val="-5"/>
        </w:rPr>
        <w:t> </w:t>
      </w:r>
      <w:r>
        <w:rPr/>
        <w:t>Focus</w:t>
      </w:r>
      <w:r>
        <w:rPr>
          <w:spacing w:val="-6"/>
        </w:rPr>
        <w:t> </w:t>
      </w:r>
      <w:r>
        <w:rPr/>
        <w:t>groups</w:t>
      </w:r>
      <w:r>
        <w:rPr>
          <w:spacing w:val="-7"/>
        </w:rPr>
        <w:t> </w:t>
      </w:r>
      <w:r>
        <w:rPr/>
        <w:t>did</w:t>
      </w:r>
      <w:r>
        <w:rPr>
          <w:spacing w:val="-6"/>
        </w:rPr>
        <w:t> </w:t>
      </w:r>
      <w:r>
        <w:rPr/>
        <w:t>recognize</w:t>
      </w:r>
      <w:r>
        <w:rPr>
          <w:spacing w:val="-6"/>
        </w:rPr>
        <w:t> </w:t>
      </w:r>
      <w:r>
        <w:rPr/>
        <w:t>that</w:t>
      </w:r>
      <w:r>
        <w:rPr>
          <w:spacing w:val="-5"/>
        </w:rPr>
        <w:t> </w:t>
      </w:r>
      <w:r>
        <w:rPr/>
        <w:t>the</w:t>
      </w:r>
      <w:r>
        <w:rPr>
          <w:spacing w:val="-6"/>
        </w:rPr>
        <w:t> </w:t>
      </w:r>
      <w:r>
        <w:rPr/>
        <w:t>screening</w:t>
      </w:r>
      <w:r>
        <w:rPr>
          <w:spacing w:val="-5"/>
        </w:rPr>
        <w:t> </w:t>
      </w:r>
      <w:r>
        <w:rPr/>
        <w:t>process</w:t>
      </w:r>
      <w:r>
        <w:rPr>
          <w:spacing w:val="-5"/>
        </w:rPr>
        <w:t> </w:t>
      </w:r>
      <w:r>
        <w:rPr/>
        <w:t>for</w:t>
      </w:r>
      <w:r>
        <w:rPr>
          <w:spacing w:val="-6"/>
        </w:rPr>
        <w:t> </w:t>
      </w:r>
      <w:r>
        <w:rPr/>
        <w:t>mental health concerns has greatly improved, potenfially idenfifying a higher number of</w:t>
      </w:r>
      <w:r>
        <w:rPr>
          <w:spacing w:val="-1"/>
        </w:rPr>
        <w:t> </w:t>
      </w:r>
      <w:r>
        <w:rPr/>
        <w:t>cases compared to the past. However, it was consistently noted that the infrastructure of mental health care is lacking in the area, contribufing to diﬃculty in receiving care when needed.</w:t>
      </w:r>
    </w:p>
    <w:p>
      <w:pPr>
        <w:pStyle w:val="BodyText"/>
        <w:spacing w:line="259" w:lineRule="auto" w:before="160"/>
        <w:ind w:right="1499"/>
      </w:pPr>
      <w:r>
        <w:rPr/>
        <w:t>The community emphasized that expanding opportunifies for social support and community engagement</w:t>
      </w:r>
      <w:r>
        <w:rPr>
          <w:spacing w:val="-9"/>
        </w:rPr>
        <w:t> </w:t>
      </w:r>
      <w:r>
        <w:rPr/>
        <w:t>would</w:t>
      </w:r>
      <w:r>
        <w:rPr>
          <w:spacing w:val="-8"/>
        </w:rPr>
        <w:t> </w:t>
      </w:r>
      <w:r>
        <w:rPr/>
        <w:t>improve</w:t>
      </w:r>
      <w:r>
        <w:rPr>
          <w:spacing w:val="-7"/>
        </w:rPr>
        <w:t> </w:t>
      </w:r>
      <w:r>
        <w:rPr/>
        <w:t>mental</w:t>
      </w:r>
      <w:r>
        <w:rPr>
          <w:spacing w:val="-7"/>
        </w:rPr>
        <w:t> </w:t>
      </w:r>
      <w:r>
        <w:rPr/>
        <w:t>health</w:t>
      </w:r>
      <w:r>
        <w:rPr>
          <w:spacing w:val="-7"/>
        </w:rPr>
        <w:t> </w:t>
      </w:r>
      <w:r>
        <w:rPr/>
        <w:t>across</w:t>
      </w:r>
      <w:r>
        <w:rPr>
          <w:spacing w:val="-7"/>
        </w:rPr>
        <w:t> </w:t>
      </w:r>
      <w:r>
        <w:rPr/>
        <w:t>the</w:t>
      </w:r>
      <w:r>
        <w:rPr>
          <w:spacing w:val="-11"/>
        </w:rPr>
        <w:t> </w:t>
      </w:r>
      <w:r>
        <w:rPr/>
        <w:t>county.</w:t>
      </w:r>
      <w:r>
        <w:rPr>
          <w:spacing w:val="-8"/>
        </w:rPr>
        <w:t> </w:t>
      </w:r>
      <w:r>
        <w:rPr/>
        <w:t>It</w:t>
      </w:r>
      <w:r>
        <w:rPr>
          <w:spacing w:val="-9"/>
        </w:rPr>
        <w:t> </w:t>
      </w:r>
      <w:r>
        <w:rPr/>
        <w:t>is</w:t>
      </w:r>
      <w:r>
        <w:rPr>
          <w:spacing w:val="-7"/>
        </w:rPr>
        <w:t> </w:t>
      </w:r>
      <w:r>
        <w:rPr/>
        <w:t>also</w:t>
      </w:r>
      <w:r>
        <w:rPr>
          <w:spacing w:val="-7"/>
        </w:rPr>
        <w:t> </w:t>
      </w:r>
      <w:r>
        <w:rPr/>
        <w:t>understood</w:t>
      </w:r>
      <w:r>
        <w:rPr>
          <w:spacing w:val="-8"/>
        </w:rPr>
        <w:t> </w:t>
      </w:r>
      <w:r>
        <w:rPr/>
        <w:t>that</w:t>
      </w:r>
      <w:r>
        <w:rPr>
          <w:spacing w:val="-7"/>
        </w:rPr>
        <w:t> </w:t>
      </w:r>
      <w:r>
        <w:rPr/>
        <w:t>geographic factors, such as the rural landscape of Yates County, can increase the risk of social isolafion and contribute to depression rates. Considering this, parficipants stressed the importance of pursuing creafive solufions</w:t>
      </w:r>
      <w:r>
        <w:rPr>
          <w:spacing w:val="-2"/>
        </w:rPr>
        <w:t> </w:t>
      </w:r>
      <w:r>
        <w:rPr/>
        <w:t>that build on community</w:t>
      </w:r>
      <w:r>
        <w:rPr>
          <w:spacing w:val="-1"/>
        </w:rPr>
        <w:t> </w:t>
      </w:r>
      <w:r>
        <w:rPr/>
        <w:t>strengths</w:t>
      </w:r>
      <w:r>
        <w:rPr>
          <w:spacing w:val="-2"/>
        </w:rPr>
        <w:t> </w:t>
      </w:r>
      <w:r>
        <w:rPr/>
        <w:t>to befter</w:t>
      </w:r>
      <w:r>
        <w:rPr>
          <w:spacing w:val="-2"/>
        </w:rPr>
        <w:t> </w:t>
      </w:r>
      <w:r>
        <w:rPr/>
        <w:t>support</w:t>
      </w:r>
      <w:r>
        <w:rPr>
          <w:spacing w:val="-2"/>
        </w:rPr>
        <w:t> </w:t>
      </w:r>
      <w:r>
        <w:rPr/>
        <w:t>those</w:t>
      </w:r>
      <w:r>
        <w:rPr>
          <w:spacing w:val="-2"/>
        </w:rPr>
        <w:t> </w:t>
      </w:r>
      <w:r>
        <w:rPr/>
        <w:t>experiencing</w:t>
      </w:r>
      <w:r>
        <w:rPr>
          <w:spacing w:val="-3"/>
        </w:rPr>
        <w:t> </w:t>
      </w:r>
      <w:r>
        <w:rPr/>
        <w:t>mental </w:t>
      </w:r>
      <w:r>
        <w:rPr>
          <w:spacing w:val="-2"/>
        </w:rPr>
        <w:t>distress.</w:t>
      </w:r>
    </w:p>
    <w:p>
      <w:pPr>
        <w:pStyle w:val="Heading3"/>
        <w:spacing w:before="158"/>
      </w:pPr>
      <w:r>
        <w:rPr/>
        <w:t>Priority:</w:t>
      </w:r>
      <w:r>
        <w:rPr>
          <w:spacing w:val="-6"/>
        </w:rPr>
        <w:t> </w:t>
      </w:r>
      <w:r>
        <w:rPr/>
        <w:t>Primary</w:t>
      </w:r>
      <w:r>
        <w:rPr>
          <w:spacing w:val="-5"/>
        </w:rPr>
        <w:t> </w:t>
      </w:r>
      <w:r>
        <w:rPr/>
        <w:t>Prevenfion,</w:t>
      </w:r>
      <w:r>
        <w:rPr>
          <w:spacing w:val="-6"/>
        </w:rPr>
        <w:t> </w:t>
      </w:r>
      <w:r>
        <w:rPr/>
        <w:t>Substance</w:t>
      </w:r>
      <w:r>
        <w:rPr>
          <w:spacing w:val="-5"/>
        </w:rPr>
        <w:t> </w:t>
      </w:r>
      <w:r>
        <w:rPr/>
        <w:t>Misuse,</w:t>
      </w:r>
      <w:r>
        <w:rPr>
          <w:spacing w:val="-6"/>
        </w:rPr>
        <w:t> </w:t>
      </w:r>
      <w:r>
        <w:rPr/>
        <w:t>and</w:t>
      </w:r>
      <w:r>
        <w:rPr>
          <w:spacing w:val="-4"/>
        </w:rPr>
        <w:t> </w:t>
      </w:r>
      <w:r>
        <w:rPr/>
        <w:t>Overdose</w:t>
      </w:r>
      <w:r>
        <w:rPr>
          <w:spacing w:val="-4"/>
        </w:rPr>
        <w:t> </w:t>
      </w:r>
      <w:r>
        <w:rPr>
          <w:spacing w:val="-2"/>
        </w:rPr>
        <w:t>Prevenfion</w:t>
      </w:r>
    </w:p>
    <w:p>
      <w:pPr>
        <w:pStyle w:val="BodyText"/>
        <w:spacing w:line="259" w:lineRule="auto" w:before="182"/>
        <w:ind w:right="1467"/>
      </w:pPr>
      <w:r>
        <w:rPr/>
        <w:t>Since 2021, there has been a sharp decrease in overdose deaths involving any drug in Yates County, decreasing from a crude rate of 20 deaths per 100,000 populafion in 2021 to 8.2 deaths per 100,000 in 2022. Yates County also has a lower</w:t>
      </w:r>
      <w:r>
        <w:rPr>
          <w:spacing w:val="-2"/>
        </w:rPr>
        <w:t> </w:t>
      </w:r>
      <w:r>
        <w:rPr/>
        <w:t>overdose death rate compared to the Finger Lakes Region as a whole. Opioids, opioid pain relievers, and synthefic opioids other than methadone saw a dramafic decline</w:t>
      </w:r>
      <w:r>
        <w:rPr>
          <w:spacing w:val="-7"/>
        </w:rPr>
        <w:t> </w:t>
      </w:r>
      <w:r>
        <w:rPr/>
        <w:t>in</w:t>
      </w:r>
      <w:r>
        <w:rPr>
          <w:spacing w:val="-11"/>
        </w:rPr>
        <w:t> </w:t>
      </w:r>
      <w:r>
        <w:rPr/>
        <w:t>overdose</w:t>
      </w:r>
      <w:r>
        <w:rPr>
          <w:spacing w:val="-7"/>
        </w:rPr>
        <w:t> </w:t>
      </w:r>
      <w:r>
        <w:rPr/>
        <w:t>deaths.</w:t>
      </w:r>
      <w:r>
        <w:rPr>
          <w:spacing w:val="-10"/>
        </w:rPr>
        <w:t> </w:t>
      </w:r>
      <w:r>
        <w:rPr/>
        <w:t>However,</w:t>
      </w:r>
      <w:r>
        <w:rPr>
          <w:spacing w:val="-10"/>
        </w:rPr>
        <w:t> </w:t>
      </w:r>
      <w:r>
        <w:rPr/>
        <w:t>overdoses</w:t>
      </w:r>
      <w:r>
        <w:rPr>
          <w:spacing w:val="-8"/>
        </w:rPr>
        <w:t> </w:t>
      </w:r>
      <w:r>
        <w:rPr/>
        <w:t>involving</w:t>
      </w:r>
      <w:r>
        <w:rPr>
          <w:spacing w:val="-9"/>
        </w:rPr>
        <w:t> </w:t>
      </w:r>
      <w:r>
        <w:rPr/>
        <w:t>cocaine</w:t>
      </w:r>
      <w:r>
        <w:rPr>
          <w:spacing w:val="-7"/>
        </w:rPr>
        <w:t> </w:t>
      </w:r>
      <w:r>
        <w:rPr/>
        <w:t>in</w:t>
      </w:r>
      <w:r>
        <w:rPr>
          <w:spacing w:val="-11"/>
        </w:rPr>
        <w:t> </w:t>
      </w:r>
      <w:r>
        <w:rPr/>
        <w:t>Yates</w:t>
      </w:r>
      <w:r>
        <w:rPr>
          <w:spacing w:val="-10"/>
        </w:rPr>
        <w:t> </w:t>
      </w:r>
      <w:r>
        <w:rPr/>
        <w:t>County</w:t>
      </w:r>
      <w:r>
        <w:rPr>
          <w:spacing w:val="-9"/>
        </w:rPr>
        <w:t> </w:t>
      </w:r>
      <w:r>
        <w:rPr/>
        <w:t>have</w:t>
      </w:r>
      <w:r>
        <w:rPr>
          <w:spacing w:val="-7"/>
        </w:rPr>
        <w:t> </w:t>
      </w:r>
      <w:r>
        <w:rPr/>
        <w:t>increased</w:t>
      </w:r>
      <w:r>
        <w:rPr>
          <w:spacing w:val="-9"/>
        </w:rPr>
        <w:t> </w:t>
      </w:r>
      <w:r>
        <w:rPr/>
        <w:t>from</w:t>
      </w:r>
      <w:r>
        <w:rPr>
          <w:spacing w:val="-9"/>
        </w:rPr>
        <w:t> </w:t>
      </w:r>
      <w:r>
        <w:rPr/>
        <w:t>a zero</w:t>
      </w:r>
      <w:r>
        <w:rPr>
          <w:spacing w:val="-3"/>
        </w:rPr>
        <w:t> </w:t>
      </w:r>
      <w:r>
        <w:rPr/>
        <w:t>crude</w:t>
      </w:r>
      <w:r>
        <w:rPr>
          <w:spacing w:val="-1"/>
        </w:rPr>
        <w:t> </w:t>
      </w:r>
      <w:r>
        <w:rPr/>
        <w:t>rate</w:t>
      </w:r>
      <w:r>
        <w:rPr>
          <w:spacing w:val="-1"/>
        </w:rPr>
        <w:t> </w:t>
      </w:r>
      <w:r>
        <w:rPr/>
        <w:t>per</w:t>
      </w:r>
      <w:r>
        <w:rPr>
          <w:spacing w:val="-4"/>
        </w:rPr>
        <w:t> </w:t>
      </w:r>
      <w:r>
        <w:rPr/>
        <w:t>100,000</w:t>
      </w:r>
      <w:r>
        <w:rPr>
          <w:spacing w:val="-1"/>
        </w:rPr>
        <w:t> </w:t>
      </w:r>
      <w:r>
        <w:rPr/>
        <w:t>populafion</w:t>
      </w:r>
      <w:r>
        <w:rPr>
          <w:spacing w:val="-5"/>
        </w:rPr>
        <w:t> </w:t>
      </w:r>
      <w:r>
        <w:rPr/>
        <w:t>in</w:t>
      </w:r>
      <w:r>
        <w:rPr>
          <w:spacing w:val="-3"/>
        </w:rPr>
        <w:t> </w:t>
      </w:r>
      <w:r>
        <w:rPr/>
        <w:t>2020</w:t>
      </w:r>
      <w:r>
        <w:rPr>
          <w:spacing w:val="-1"/>
        </w:rPr>
        <w:t> </w:t>
      </w:r>
      <w:r>
        <w:rPr/>
        <w:t>to</w:t>
      </w:r>
      <w:r>
        <w:rPr>
          <w:spacing w:val="-3"/>
        </w:rPr>
        <w:t> </w:t>
      </w:r>
      <w:r>
        <w:rPr/>
        <w:t>8.2</w:t>
      </w:r>
      <w:r>
        <w:rPr>
          <w:spacing w:val="-3"/>
        </w:rPr>
        <w:t> </w:t>
      </w:r>
      <w:r>
        <w:rPr/>
        <w:t>in</w:t>
      </w:r>
      <w:r>
        <w:rPr>
          <w:spacing w:val="-3"/>
        </w:rPr>
        <w:t> </w:t>
      </w:r>
      <w:r>
        <w:rPr/>
        <w:t>2022.</w:t>
      </w:r>
      <w:r>
        <w:rPr>
          <w:spacing w:val="-5"/>
        </w:rPr>
        <w:t> </w:t>
      </w:r>
      <w:r>
        <w:rPr/>
        <w:t>This</w:t>
      </w:r>
      <w:r>
        <w:rPr>
          <w:spacing w:val="-2"/>
        </w:rPr>
        <w:t> </w:t>
      </w:r>
      <w:r>
        <w:rPr/>
        <w:t>data</w:t>
      </w:r>
      <w:r>
        <w:rPr>
          <w:spacing w:val="-4"/>
        </w:rPr>
        <w:t> </w:t>
      </w:r>
      <w:r>
        <w:rPr/>
        <w:t>supports</w:t>
      </w:r>
      <w:r>
        <w:rPr>
          <w:spacing w:val="-4"/>
        </w:rPr>
        <w:t> </w:t>
      </w:r>
      <w:r>
        <w:rPr/>
        <w:t>anecdotal</w:t>
      </w:r>
      <w:r>
        <w:rPr>
          <w:spacing w:val="-2"/>
        </w:rPr>
        <w:t> </w:t>
      </w:r>
      <w:r>
        <w:rPr/>
        <w:t>informafion from the community regarding a recent shift to increased use of cocaine and methamphetamine.</w:t>
      </w:r>
    </w:p>
    <w:p>
      <w:pPr>
        <w:pStyle w:val="BodyText"/>
        <w:spacing w:line="259" w:lineRule="auto" w:before="158"/>
        <w:ind w:right="1467"/>
      </w:pPr>
      <w:r>
        <w:rPr/>
        <w:t>Focus groups expressed concern about the connecfion between mental health and substance use, remarking that poor access to mental health providers in the area may aﬀect substance use rates. Individuals with lived experience noted the eﬀect that social isolafion has on substance use and mental health, adding that disciplinary acfions such as revoking driver’s licenses intensify feelings of isolafion. Yates County has one mental health provider for every 840 residents, more than three fimes the NYS rafio (260:1), indicafing that Yates County has roughly two-thirds fewer available providers than the state. According to the Substance Abuse and Mental Health Administrafion (SAMHSA), a diagnosis such as anxiety or depression increases an individual’s risk for substance use. With limited access to mental health</w:t>
      </w:r>
      <w:r>
        <w:rPr>
          <w:spacing w:val="-6"/>
        </w:rPr>
        <w:t> </w:t>
      </w:r>
      <w:r>
        <w:rPr/>
        <w:t>support,</w:t>
      </w:r>
      <w:r>
        <w:rPr>
          <w:spacing w:val="-6"/>
        </w:rPr>
        <w:t> </w:t>
      </w:r>
      <w:r>
        <w:rPr/>
        <w:t>Yates</w:t>
      </w:r>
      <w:r>
        <w:rPr>
          <w:spacing w:val="-5"/>
        </w:rPr>
        <w:t> </w:t>
      </w:r>
      <w:r>
        <w:rPr/>
        <w:t>residents</w:t>
      </w:r>
      <w:r>
        <w:rPr>
          <w:spacing w:val="-5"/>
        </w:rPr>
        <w:t> </w:t>
      </w:r>
      <w:r>
        <w:rPr/>
        <w:t>with</w:t>
      </w:r>
      <w:r>
        <w:rPr>
          <w:spacing w:val="-6"/>
        </w:rPr>
        <w:t> </w:t>
      </w:r>
      <w:r>
        <w:rPr/>
        <w:t>exisfing</w:t>
      </w:r>
      <w:r>
        <w:rPr>
          <w:spacing w:val="-5"/>
        </w:rPr>
        <w:t> </w:t>
      </w:r>
      <w:r>
        <w:rPr/>
        <w:t>mental</w:t>
      </w:r>
      <w:r>
        <w:rPr>
          <w:spacing w:val="-5"/>
        </w:rPr>
        <w:t> </w:t>
      </w:r>
      <w:r>
        <w:rPr/>
        <w:t>health</w:t>
      </w:r>
      <w:r>
        <w:rPr>
          <w:spacing w:val="-6"/>
        </w:rPr>
        <w:t> </w:t>
      </w:r>
      <w:r>
        <w:rPr/>
        <w:t>concerns</w:t>
      </w:r>
      <w:r>
        <w:rPr>
          <w:spacing w:val="-6"/>
        </w:rPr>
        <w:t> </w:t>
      </w:r>
      <w:r>
        <w:rPr/>
        <w:t>may</w:t>
      </w:r>
      <w:r>
        <w:rPr>
          <w:spacing w:val="-6"/>
        </w:rPr>
        <w:t> </w:t>
      </w:r>
      <w:r>
        <w:rPr/>
        <w:t>be</w:t>
      </w:r>
      <w:r>
        <w:rPr>
          <w:spacing w:val="-4"/>
        </w:rPr>
        <w:t> </w:t>
      </w:r>
      <w:r>
        <w:rPr/>
        <w:t>at</w:t>
      </w:r>
      <w:r>
        <w:rPr>
          <w:spacing w:val="-6"/>
        </w:rPr>
        <w:t> </w:t>
      </w:r>
      <w:r>
        <w:rPr/>
        <w:t>a</w:t>
      </w:r>
      <w:r>
        <w:rPr>
          <w:spacing w:val="-6"/>
        </w:rPr>
        <w:t> </w:t>
      </w:r>
      <w:r>
        <w:rPr/>
        <w:t>higher</w:t>
      </w:r>
      <w:r>
        <w:rPr>
          <w:spacing w:val="-5"/>
        </w:rPr>
        <w:t> </w:t>
      </w:r>
      <w:r>
        <w:rPr/>
        <w:t>risk</w:t>
      </w:r>
      <w:r>
        <w:rPr>
          <w:spacing w:val="-6"/>
        </w:rPr>
        <w:t> </w:t>
      </w:r>
      <w:r>
        <w:rPr/>
        <w:t>of</w:t>
      </w:r>
      <w:r>
        <w:rPr>
          <w:spacing w:val="-5"/>
        </w:rPr>
        <w:t> </w:t>
      </w:r>
      <w:r>
        <w:rPr/>
        <w:t>substance use than those in surrounding counfies</w:t>
      </w:r>
      <w:hyperlink w:history="true" w:anchor="_bookmark14">
        <w:r>
          <w:rPr/>
          <w:t>.</w:t>
        </w:r>
        <w:r>
          <w:rPr>
            <w:vertAlign w:val="superscript"/>
          </w:rPr>
          <w:t>46</w:t>
        </w:r>
      </w:hyperlink>
    </w:p>
    <w:p>
      <w:pPr>
        <w:pStyle w:val="BodyText"/>
        <w:spacing w:line="259" w:lineRule="auto" w:before="158"/>
        <w:ind w:right="1467"/>
      </w:pPr>
      <w:r>
        <w:rPr/>
        <w:t>The community recognized Yates County’s eﬀorts to address the opioid epidemic and the resulfing progress.</w:t>
      </w:r>
      <w:r>
        <w:rPr>
          <w:spacing w:val="-6"/>
        </w:rPr>
        <w:t> </w:t>
      </w:r>
      <w:r>
        <w:rPr/>
        <w:t>Since</w:t>
      </w:r>
      <w:r>
        <w:rPr>
          <w:spacing w:val="-6"/>
        </w:rPr>
        <w:t> </w:t>
      </w:r>
      <w:r>
        <w:rPr/>
        <w:t>2023,</w:t>
      </w:r>
      <w:r>
        <w:rPr>
          <w:spacing w:val="-5"/>
        </w:rPr>
        <w:t> </w:t>
      </w:r>
      <w:r>
        <w:rPr/>
        <w:t>the</w:t>
      </w:r>
      <w:r>
        <w:rPr>
          <w:spacing w:val="-4"/>
        </w:rPr>
        <w:t> </w:t>
      </w:r>
      <w:r>
        <w:rPr/>
        <w:t>county</w:t>
      </w:r>
      <w:r>
        <w:rPr>
          <w:spacing w:val="-4"/>
        </w:rPr>
        <w:t> </w:t>
      </w:r>
      <w:r>
        <w:rPr/>
        <w:t>has</w:t>
      </w:r>
      <w:r>
        <w:rPr>
          <w:spacing w:val="-7"/>
        </w:rPr>
        <w:t> </w:t>
      </w:r>
      <w:r>
        <w:rPr/>
        <w:t>recorded</w:t>
      </w:r>
      <w:r>
        <w:rPr>
          <w:spacing w:val="-8"/>
        </w:rPr>
        <w:t> </w:t>
      </w:r>
      <w:r>
        <w:rPr/>
        <w:t>269</w:t>
      </w:r>
      <w:r>
        <w:rPr>
          <w:spacing w:val="-4"/>
        </w:rPr>
        <w:t> </w:t>
      </w:r>
      <w:r>
        <w:rPr/>
        <w:t>Naloxone</w:t>
      </w:r>
      <w:r>
        <w:rPr>
          <w:spacing w:val="-7"/>
        </w:rPr>
        <w:t> </w:t>
      </w:r>
      <w:r>
        <w:rPr/>
        <w:t>training</w:t>
      </w:r>
      <w:r>
        <w:rPr>
          <w:spacing w:val="-5"/>
        </w:rPr>
        <w:t> </w:t>
      </w:r>
      <w:r>
        <w:rPr/>
        <w:t>sessions,</w:t>
      </w:r>
      <w:r>
        <w:rPr>
          <w:spacing w:val="-7"/>
        </w:rPr>
        <w:t> </w:t>
      </w:r>
      <w:r>
        <w:rPr/>
        <w:t>798</w:t>
      </w:r>
      <w:r>
        <w:rPr>
          <w:spacing w:val="-4"/>
        </w:rPr>
        <w:t> </w:t>
      </w:r>
      <w:r>
        <w:rPr/>
        <w:t>individuals</w:t>
      </w:r>
      <w:r>
        <w:rPr>
          <w:spacing w:val="-5"/>
        </w:rPr>
        <w:t> </w:t>
      </w:r>
      <w:r>
        <w:rPr/>
        <w:t>trained</w:t>
      </w:r>
      <w:r>
        <w:rPr>
          <w:spacing w:val="-6"/>
        </w:rPr>
        <w:t> </w:t>
      </w:r>
      <w:r>
        <w:rPr/>
        <w:t>in Naloxone distribufion, and 495 Naloxone kits distributed. Despite the shifting trends in substance use, maintaining these inifiafives is vital to prevent opioid-related deaths. Furthermore, the growing use of sfimulants</w:t>
      </w:r>
      <w:r>
        <w:rPr>
          <w:spacing w:val="-2"/>
        </w:rPr>
        <w:t> </w:t>
      </w:r>
      <w:r>
        <w:rPr/>
        <w:t>presents</w:t>
      </w:r>
      <w:r>
        <w:rPr>
          <w:spacing w:val="-4"/>
        </w:rPr>
        <w:t> </w:t>
      </w:r>
      <w:r>
        <w:rPr/>
        <w:t>confinued</w:t>
      </w:r>
      <w:r>
        <w:rPr>
          <w:spacing w:val="-2"/>
        </w:rPr>
        <w:t> </w:t>
      </w:r>
      <w:r>
        <w:rPr/>
        <w:t>risks</w:t>
      </w:r>
      <w:r>
        <w:rPr>
          <w:spacing w:val="-2"/>
        </w:rPr>
        <w:t> </w:t>
      </w:r>
      <w:r>
        <w:rPr/>
        <w:t>as</w:t>
      </w:r>
      <w:r>
        <w:rPr>
          <w:spacing w:val="-4"/>
        </w:rPr>
        <w:t> </w:t>
      </w:r>
      <w:r>
        <w:rPr/>
        <w:t>these</w:t>
      </w:r>
      <w:r>
        <w:rPr>
          <w:spacing w:val="-1"/>
        </w:rPr>
        <w:t> </w:t>
      </w:r>
      <w:r>
        <w:rPr/>
        <w:t>substances</w:t>
      </w:r>
      <w:r>
        <w:rPr>
          <w:spacing w:val="-4"/>
        </w:rPr>
        <w:t> </w:t>
      </w:r>
      <w:r>
        <w:rPr/>
        <w:t>may</w:t>
      </w:r>
      <w:r>
        <w:rPr>
          <w:spacing w:val="-1"/>
        </w:rPr>
        <w:t> </w:t>
      </w:r>
      <w:r>
        <w:rPr/>
        <w:t>be</w:t>
      </w:r>
      <w:r>
        <w:rPr>
          <w:spacing w:val="-4"/>
        </w:rPr>
        <w:t> </w:t>
      </w:r>
      <w:r>
        <w:rPr/>
        <w:t>contaminated</w:t>
      </w:r>
      <w:r>
        <w:rPr>
          <w:spacing w:val="-2"/>
        </w:rPr>
        <w:t> </w:t>
      </w:r>
      <w:r>
        <w:rPr/>
        <w:t>with</w:t>
      </w:r>
      <w:r>
        <w:rPr>
          <w:spacing w:val="-2"/>
        </w:rPr>
        <w:t> </w:t>
      </w:r>
      <w:r>
        <w:rPr/>
        <w:t>high-risk</w:t>
      </w:r>
      <w:r>
        <w:rPr>
          <w:spacing w:val="-1"/>
        </w:rPr>
        <w:t> </w:t>
      </w:r>
      <w:r>
        <w:rPr/>
        <w:t>drugs</w:t>
      </w:r>
      <w:r>
        <w:rPr>
          <w:spacing w:val="-2"/>
        </w:rPr>
        <w:t> </w:t>
      </w:r>
      <w:r>
        <w:rPr/>
        <w:t>such as fentanyl. People who use substances consequently remain vulnerable to opioid-related injury or death, regardless of the type of substance being used. Ongoing community educafion about overdose prevenfion and substance use risks is crifical in confinuing the posifive trends currently being </w:t>
      </w:r>
      <w:r>
        <w:rPr>
          <w:spacing w:val="-2"/>
        </w:rPr>
        <w:t>experienced.</w:t>
      </w:r>
    </w:p>
    <w:p>
      <w:pPr>
        <w:pStyle w:val="BodyText"/>
        <w:ind w:left="0"/>
        <w:rPr>
          <w:sz w:val="20"/>
        </w:rPr>
      </w:pPr>
    </w:p>
    <w:p>
      <w:pPr>
        <w:pStyle w:val="BodyText"/>
        <w:ind w:left="0"/>
        <w:rPr>
          <w:sz w:val="20"/>
        </w:rPr>
      </w:pPr>
    </w:p>
    <w:p>
      <w:pPr>
        <w:pStyle w:val="BodyText"/>
        <w:spacing w:before="183"/>
        <w:ind w:left="0"/>
        <w:rPr>
          <w:sz w:val="20"/>
        </w:rPr>
      </w:pPr>
      <w:r>
        <w:rPr>
          <w:sz w:val="20"/>
        </w:rPr>
        <mc:AlternateContent>
          <mc:Choice Requires="wps">
            <w:drawing>
              <wp:anchor distT="0" distB="0" distL="0" distR="0" allowOverlap="1" layoutInCell="1" locked="0" behindDoc="1" simplePos="0" relativeHeight="487602176">
                <wp:simplePos x="0" y="0"/>
                <wp:positionH relativeFrom="page">
                  <wp:posOffset>914400</wp:posOffset>
                </wp:positionH>
                <wp:positionV relativeFrom="paragraph">
                  <wp:posOffset>286857</wp:posOffset>
                </wp:positionV>
                <wp:extent cx="1828800" cy="9525"/>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587187pt;width:144pt;height:.71pt;mso-position-horizontal-relative:page;mso-position-vertical-relative:paragraph;z-index:-15714304;mso-wrap-distance-left:0;mso-wrap-distance-right:0" id="docshape66" filled="true" fillcolor="#000000" stroked="false">
                <v:fill type="solid"/>
                <w10:wrap type="topAndBottom"/>
              </v:rect>
            </w:pict>
          </mc:Fallback>
        </mc:AlternateContent>
      </w:r>
    </w:p>
    <w:p>
      <w:pPr>
        <w:spacing w:before="102"/>
        <w:ind w:left="1440" w:right="0" w:firstLine="0"/>
        <w:jc w:val="left"/>
        <w:rPr>
          <w:sz w:val="20"/>
        </w:rPr>
      </w:pPr>
      <w:r>
        <w:rPr>
          <w:sz w:val="20"/>
          <w:vertAlign w:val="superscript"/>
        </w:rPr>
        <w:t>46</w:t>
      </w:r>
      <w:r>
        <w:rPr>
          <w:spacing w:val="-11"/>
          <w:sz w:val="20"/>
          <w:vertAlign w:val="baseline"/>
        </w:rPr>
        <w:t> </w:t>
      </w:r>
      <w:bookmarkStart w:name="_bookmark14" w:id="15"/>
      <w:bookmarkEnd w:id="15"/>
      <w:r>
        <w:rPr>
          <w:sz w:val="20"/>
          <w:vertAlign w:val="baseline"/>
        </w:rPr>
        <w:t>S</w:t>
      </w:r>
      <w:r>
        <w:rPr>
          <w:sz w:val="20"/>
          <w:vertAlign w:val="baseline"/>
        </w:rPr>
        <w:t>ource:</w:t>
      </w:r>
      <w:r>
        <w:rPr>
          <w:spacing w:val="-9"/>
          <w:sz w:val="20"/>
          <w:vertAlign w:val="baseline"/>
        </w:rPr>
        <w:t> </w:t>
      </w:r>
      <w:r>
        <w:rPr>
          <w:sz w:val="20"/>
          <w:vertAlign w:val="baseline"/>
        </w:rPr>
        <w:t>Substance</w:t>
      </w:r>
      <w:r>
        <w:rPr>
          <w:spacing w:val="-11"/>
          <w:sz w:val="20"/>
          <w:vertAlign w:val="baseline"/>
        </w:rPr>
        <w:t> </w:t>
      </w:r>
      <w:r>
        <w:rPr>
          <w:sz w:val="20"/>
          <w:vertAlign w:val="baseline"/>
        </w:rPr>
        <w:t>Abuse</w:t>
      </w:r>
      <w:r>
        <w:rPr>
          <w:spacing w:val="-10"/>
          <w:sz w:val="20"/>
          <w:vertAlign w:val="baseline"/>
        </w:rPr>
        <w:t> </w:t>
      </w:r>
      <w:r>
        <w:rPr>
          <w:sz w:val="20"/>
          <w:vertAlign w:val="baseline"/>
        </w:rPr>
        <w:t>and</w:t>
      </w:r>
      <w:r>
        <w:rPr>
          <w:spacing w:val="-9"/>
          <w:sz w:val="20"/>
          <w:vertAlign w:val="baseline"/>
        </w:rPr>
        <w:t> </w:t>
      </w:r>
      <w:r>
        <w:rPr>
          <w:sz w:val="20"/>
          <w:vertAlign w:val="baseline"/>
        </w:rPr>
        <w:t>Mental</w:t>
      </w:r>
      <w:r>
        <w:rPr>
          <w:spacing w:val="-9"/>
          <w:sz w:val="20"/>
          <w:vertAlign w:val="baseline"/>
        </w:rPr>
        <w:t> </w:t>
      </w:r>
      <w:r>
        <w:rPr>
          <w:sz w:val="20"/>
          <w:vertAlign w:val="baseline"/>
        </w:rPr>
        <w:t>Health</w:t>
      </w:r>
      <w:r>
        <w:rPr>
          <w:spacing w:val="-9"/>
          <w:sz w:val="20"/>
          <w:vertAlign w:val="baseline"/>
        </w:rPr>
        <w:t> </w:t>
      </w:r>
      <w:r>
        <w:rPr>
          <w:sz w:val="20"/>
          <w:vertAlign w:val="baseline"/>
        </w:rPr>
        <w:t>Administrafion</w:t>
      </w:r>
      <w:r>
        <w:rPr>
          <w:spacing w:val="-7"/>
          <w:sz w:val="20"/>
          <w:vertAlign w:val="baseline"/>
        </w:rPr>
        <w:t> </w:t>
      </w:r>
      <w:r>
        <w:rPr>
          <w:spacing w:val="-2"/>
          <w:sz w:val="20"/>
          <w:vertAlign w:val="baseline"/>
        </w:rPr>
        <w:t>(SAMHSA)</w:t>
      </w:r>
    </w:p>
    <w:p>
      <w:pPr>
        <w:spacing w:after="0"/>
        <w:jc w:val="left"/>
        <w:rPr>
          <w:sz w:val="20"/>
        </w:rPr>
        <w:sectPr>
          <w:pgSz w:w="12240" w:h="15840"/>
          <w:pgMar w:header="161" w:footer="1223" w:top="1360" w:bottom="1420" w:left="0" w:right="0"/>
        </w:sectPr>
      </w:pPr>
    </w:p>
    <w:p>
      <w:pPr>
        <w:pStyle w:val="Heading3"/>
      </w:pPr>
      <w:r>
        <w:rPr>
          <w:spacing w:val="-2"/>
        </w:rPr>
        <w:t>Priority:</w:t>
      </w:r>
      <w:r>
        <w:rPr>
          <w:spacing w:val="3"/>
        </w:rPr>
        <w:t> </w:t>
      </w:r>
      <w:r>
        <w:rPr>
          <w:spacing w:val="-2"/>
        </w:rPr>
        <w:t>Tobacco/E-cigarefte</w:t>
      </w:r>
      <w:r>
        <w:rPr>
          <w:spacing w:val="5"/>
        </w:rPr>
        <w:t> </w:t>
      </w:r>
      <w:r>
        <w:rPr>
          <w:spacing w:val="-2"/>
        </w:rPr>
        <w:t>and</w:t>
      </w:r>
      <w:r>
        <w:rPr>
          <w:spacing w:val="6"/>
        </w:rPr>
        <w:t> </w:t>
      </w:r>
      <w:r>
        <w:rPr>
          <w:spacing w:val="-2"/>
        </w:rPr>
        <w:t>Alcohol</w:t>
      </w:r>
      <w:r>
        <w:rPr>
          <w:spacing w:val="3"/>
        </w:rPr>
        <w:t> </w:t>
      </w:r>
      <w:r>
        <w:rPr>
          <w:spacing w:val="-5"/>
        </w:rPr>
        <w:t>Use</w:t>
      </w:r>
    </w:p>
    <w:p>
      <w:pPr>
        <w:pStyle w:val="BodyText"/>
        <w:spacing w:line="259" w:lineRule="auto" w:before="182"/>
        <w:ind w:right="1467"/>
      </w:pPr>
      <w:r>
        <w:rPr/>
        <w:t>According to data</w:t>
      </w:r>
      <w:r>
        <w:rPr>
          <w:spacing w:val="-1"/>
        </w:rPr>
        <w:t> </w:t>
      </w:r>
      <w:r>
        <w:rPr/>
        <w:t>from the</w:t>
      </w:r>
      <w:r>
        <w:rPr>
          <w:spacing w:val="-3"/>
        </w:rPr>
        <w:t> </w:t>
      </w:r>
      <w:r>
        <w:rPr/>
        <w:t>BRFSS, the percentage of adults who are</w:t>
      </w:r>
      <w:r>
        <w:rPr>
          <w:spacing w:val="-1"/>
        </w:rPr>
        <w:t> </w:t>
      </w:r>
      <w:r>
        <w:rPr/>
        <w:t>current</w:t>
      </w:r>
      <w:r>
        <w:rPr>
          <w:spacing w:val="-1"/>
        </w:rPr>
        <w:t> </w:t>
      </w:r>
      <w:r>
        <w:rPr/>
        <w:t>smokers (age-adjusted)</w:t>
      </w:r>
      <w:r>
        <w:rPr>
          <w:spacing w:val="-1"/>
        </w:rPr>
        <w:t> </w:t>
      </w:r>
      <w:r>
        <w:rPr/>
        <w:t>has declined slightly since 2018 from 19% to 18% in 2022, which sfill remains above the New York State average</w:t>
      </w:r>
      <w:r>
        <w:rPr>
          <w:spacing w:val="-3"/>
        </w:rPr>
        <w:t> </w:t>
      </w:r>
      <w:r>
        <w:rPr/>
        <w:t>of</w:t>
      </w:r>
      <w:r>
        <w:rPr>
          <w:spacing w:val="-7"/>
        </w:rPr>
        <w:t> </w:t>
      </w:r>
      <w:r>
        <w:rPr/>
        <w:t>12%.</w:t>
      </w:r>
      <w:r>
        <w:rPr>
          <w:spacing w:val="-4"/>
        </w:rPr>
        <w:t> </w:t>
      </w:r>
      <w:r>
        <w:rPr/>
        <w:t>In</w:t>
      </w:r>
      <w:r>
        <w:rPr>
          <w:spacing w:val="-4"/>
        </w:rPr>
        <w:t> </w:t>
      </w:r>
      <w:r>
        <w:rPr/>
        <w:t>contrast,</w:t>
      </w:r>
      <w:r>
        <w:rPr>
          <w:spacing w:val="-3"/>
        </w:rPr>
        <w:t> </w:t>
      </w:r>
      <w:r>
        <w:rPr/>
        <w:t>the</w:t>
      </w:r>
      <w:r>
        <w:rPr>
          <w:spacing w:val="-3"/>
        </w:rPr>
        <w:t> </w:t>
      </w:r>
      <w:r>
        <w:rPr/>
        <w:t>percentage</w:t>
      </w:r>
      <w:r>
        <w:rPr>
          <w:spacing w:val="-5"/>
        </w:rPr>
        <w:t> </w:t>
      </w:r>
      <w:r>
        <w:rPr/>
        <w:t>of</w:t>
      </w:r>
      <w:r>
        <w:rPr>
          <w:spacing w:val="-4"/>
        </w:rPr>
        <w:t> </w:t>
      </w:r>
      <w:r>
        <w:rPr/>
        <w:t>adults</w:t>
      </w:r>
      <w:r>
        <w:rPr>
          <w:spacing w:val="-6"/>
        </w:rPr>
        <w:t> </w:t>
      </w:r>
      <w:r>
        <w:rPr/>
        <w:t>reporfing</w:t>
      </w:r>
      <w:r>
        <w:rPr>
          <w:spacing w:val="-4"/>
        </w:rPr>
        <w:t> </w:t>
      </w:r>
      <w:r>
        <w:rPr/>
        <w:t>binge</w:t>
      </w:r>
      <w:r>
        <w:rPr>
          <w:spacing w:val="-3"/>
        </w:rPr>
        <w:t> </w:t>
      </w:r>
      <w:r>
        <w:rPr/>
        <w:t>or</w:t>
      </w:r>
      <w:r>
        <w:rPr>
          <w:spacing w:val="-7"/>
        </w:rPr>
        <w:t> </w:t>
      </w:r>
      <w:r>
        <w:rPr/>
        <w:t>heavy</w:t>
      </w:r>
      <w:r>
        <w:rPr>
          <w:spacing w:val="-3"/>
        </w:rPr>
        <w:t> </w:t>
      </w:r>
      <w:r>
        <w:rPr/>
        <w:t>drinking</w:t>
      </w:r>
      <w:r>
        <w:rPr>
          <w:spacing w:val="-4"/>
        </w:rPr>
        <w:t> </w:t>
      </w:r>
      <w:r>
        <w:rPr/>
        <w:t>quickly</w:t>
      </w:r>
      <w:r>
        <w:rPr>
          <w:spacing w:val="-5"/>
        </w:rPr>
        <w:t> </w:t>
      </w:r>
      <w:r>
        <w:rPr/>
        <w:t>rose</w:t>
      </w:r>
      <w:r>
        <w:rPr>
          <w:spacing w:val="-3"/>
        </w:rPr>
        <w:t> </w:t>
      </w:r>
      <w:r>
        <w:rPr/>
        <w:t>from 16%</w:t>
      </w:r>
      <w:r>
        <w:rPr>
          <w:spacing w:val="-3"/>
        </w:rPr>
        <w:t> </w:t>
      </w:r>
      <w:r>
        <w:rPr/>
        <w:t>(2021)</w:t>
      </w:r>
      <w:r>
        <w:rPr>
          <w:spacing w:val="-6"/>
        </w:rPr>
        <w:t> </w:t>
      </w:r>
      <w:r>
        <w:rPr/>
        <w:t>to</w:t>
      </w:r>
      <w:r>
        <w:rPr>
          <w:spacing w:val="-5"/>
        </w:rPr>
        <w:t> </w:t>
      </w:r>
      <w:r>
        <w:rPr/>
        <w:t>22%</w:t>
      </w:r>
      <w:r>
        <w:rPr>
          <w:spacing w:val="-6"/>
        </w:rPr>
        <w:t> </w:t>
      </w:r>
      <w:r>
        <w:rPr/>
        <w:t>(2022),</w:t>
      </w:r>
      <w:r>
        <w:rPr>
          <w:spacing w:val="-8"/>
        </w:rPr>
        <w:t> </w:t>
      </w:r>
      <w:r>
        <w:rPr/>
        <w:t>higher</w:t>
      </w:r>
      <w:r>
        <w:rPr>
          <w:spacing w:val="-4"/>
        </w:rPr>
        <w:t> </w:t>
      </w:r>
      <w:r>
        <w:rPr/>
        <w:t>than</w:t>
      </w:r>
      <w:r>
        <w:rPr>
          <w:spacing w:val="-5"/>
        </w:rPr>
        <w:t> </w:t>
      </w:r>
      <w:r>
        <w:rPr/>
        <w:t>the</w:t>
      </w:r>
      <w:r>
        <w:rPr>
          <w:spacing w:val="-3"/>
        </w:rPr>
        <w:t> </w:t>
      </w:r>
      <w:r>
        <w:rPr/>
        <w:t>state</w:t>
      </w:r>
      <w:r>
        <w:rPr>
          <w:spacing w:val="-5"/>
        </w:rPr>
        <w:t> </w:t>
      </w:r>
      <w:r>
        <w:rPr/>
        <w:t>average</w:t>
      </w:r>
      <w:r>
        <w:rPr>
          <w:spacing w:val="-3"/>
        </w:rPr>
        <w:t> </w:t>
      </w:r>
      <w:r>
        <w:rPr/>
        <w:t>of</w:t>
      </w:r>
      <w:r>
        <w:rPr>
          <w:spacing w:val="-6"/>
        </w:rPr>
        <w:t> </w:t>
      </w:r>
      <w:r>
        <w:rPr/>
        <w:t>20%.</w:t>
      </w:r>
      <w:r>
        <w:rPr>
          <w:spacing w:val="-4"/>
        </w:rPr>
        <w:t> </w:t>
      </w:r>
      <w:r>
        <w:rPr/>
        <w:t>Data</w:t>
      </w:r>
      <w:r>
        <w:rPr>
          <w:spacing w:val="-6"/>
        </w:rPr>
        <w:t> </w:t>
      </w:r>
      <w:r>
        <w:rPr/>
        <w:t>on</w:t>
      </w:r>
      <w:r>
        <w:rPr>
          <w:spacing w:val="-4"/>
        </w:rPr>
        <w:t> </w:t>
      </w:r>
      <w:r>
        <w:rPr/>
        <w:t>e-cigarefte</w:t>
      </w:r>
      <w:r>
        <w:rPr>
          <w:spacing w:val="-3"/>
        </w:rPr>
        <w:t> </w:t>
      </w:r>
      <w:r>
        <w:rPr/>
        <w:t>use</w:t>
      </w:r>
      <w:r>
        <w:rPr>
          <w:spacing w:val="-3"/>
        </w:rPr>
        <w:t> </w:t>
      </w:r>
      <w:r>
        <w:rPr/>
        <w:t>among</w:t>
      </w:r>
      <w:r>
        <w:rPr>
          <w:spacing w:val="-4"/>
        </w:rPr>
        <w:t> </w:t>
      </w:r>
      <w:r>
        <w:rPr/>
        <w:t>adults</w:t>
      </w:r>
      <w:r>
        <w:rPr>
          <w:spacing w:val="-4"/>
        </w:rPr>
        <w:t> </w:t>
      </w:r>
      <w:r>
        <w:rPr/>
        <w:t>in the county are not available, but rates of vaping by middle and high school students are available. In 2022, 3.9% of middle school students reported vaping within the last 30 days, and 5.3% of high school students reported that they vaped within the last 30 days.</w:t>
      </w:r>
      <w:hyperlink w:history="true" w:anchor="_bookmark15">
        <w:r>
          <w:rPr>
            <w:vertAlign w:val="superscript"/>
          </w:rPr>
          <w:t>47</w:t>
        </w:r>
      </w:hyperlink>
    </w:p>
    <w:p>
      <w:pPr>
        <w:pStyle w:val="BodyText"/>
        <w:spacing w:line="259" w:lineRule="auto" w:before="159"/>
        <w:ind w:right="1467"/>
      </w:pPr>
      <w:r>
        <w:rPr/>
        <w:t>Both smoking and excessive alcohol use are major risk factors for chronic diseases, including heart disease,</w:t>
      </w:r>
      <w:r>
        <w:rPr>
          <w:spacing w:val="-6"/>
        </w:rPr>
        <w:t> </w:t>
      </w:r>
      <w:r>
        <w:rPr/>
        <w:t>cancer,</w:t>
      </w:r>
      <w:r>
        <w:rPr>
          <w:spacing w:val="-6"/>
        </w:rPr>
        <w:t> </w:t>
      </w:r>
      <w:r>
        <w:rPr/>
        <w:t>liver</w:t>
      </w:r>
      <w:r>
        <w:rPr>
          <w:spacing w:val="-6"/>
        </w:rPr>
        <w:t> </w:t>
      </w:r>
      <w:r>
        <w:rPr/>
        <w:t>disease,</w:t>
      </w:r>
      <w:r>
        <w:rPr>
          <w:spacing w:val="-6"/>
        </w:rPr>
        <w:t> </w:t>
      </w:r>
      <w:r>
        <w:rPr/>
        <w:t>and</w:t>
      </w:r>
      <w:r>
        <w:rPr>
          <w:spacing w:val="-7"/>
        </w:rPr>
        <w:t> </w:t>
      </w:r>
      <w:r>
        <w:rPr/>
        <w:t>respiratory</w:t>
      </w:r>
      <w:r>
        <w:rPr>
          <w:spacing w:val="-5"/>
        </w:rPr>
        <w:t> </w:t>
      </w:r>
      <w:r>
        <w:rPr/>
        <w:t>illnesses.</w:t>
      </w:r>
      <w:r>
        <w:rPr>
          <w:spacing w:val="-9"/>
        </w:rPr>
        <w:t> </w:t>
      </w:r>
      <w:r>
        <w:rPr/>
        <w:t>Higher</w:t>
      </w:r>
      <w:r>
        <w:rPr>
          <w:spacing w:val="-6"/>
        </w:rPr>
        <w:t> </w:t>
      </w:r>
      <w:r>
        <w:rPr/>
        <w:t>rates</w:t>
      </w:r>
      <w:r>
        <w:rPr>
          <w:spacing w:val="-8"/>
        </w:rPr>
        <w:t> </w:t>
      </w:r>
      <w:r>
        <w:rPr/>
        <w:t>of</w:t>
      </w:r>
      <w:r>
        <w:rPr>
          <w:spacing w:val="-8"/>
        </w:rPr>
        <w:t> </w:t>
      </w:r>
      <w:r>
        <w:rPr/>
        <w:t>these</w:t>
      </w:r>
      <w:r>
        <w:rPr>
          <w:spacing w:val="-8"/>
        </w:rPr>
        <w:t> </w:t>
      </w:r>
      <w:r>
        <w:rPr/>
        <w:t>behaviors</w:t>
      </w:r>
      <w:r>
        <w:rPr>
          <w:spacing w:val="-6"/>
        </w:rPr>
        <w:t> </w:t>
      </w:r>
      <w:r>
        <w:rPr/>
        <w:t>in</w:t>
      </w:r>
      <w:r>
        <w:rPr>
          <w:spacing w:val="-9"/>
        </w:rPr>
        <w:t> </w:t>
      </w:r>
      <w:r>
        <w:rPr/>
        <w:t>the</w:t>
      </w:r>
      <w:r>
        <w:rPr>
          <w:spacing w:val="-5"/>
        </w:rPr>
        <w:t> </w:t>
      </w:r>
      <w:r>
        <w:rPr/>
        <w:t>community increase the burden on healthcare systems, contribute to preventable morbidity and mortality, and can reduce quality of life. Persistent smoking above the state average and rising binge or heavy drinking indicate that residents may face elevated long-term health risks and that targeted prevenfion and intervenfion eﬀorts are needed</w:t>
      </w:r>
      <w:hyperlink w:history="true" w:anchor="_bookmark16">
        <w:r>
          <w:rPr/>
          <w:t>.</w:t>
        </w:r>
        <w:r>
          <w:rPr>
            <w:vertAlign w:val="superscript"/>
          </w:rPr>
          <w:t>48</w:t>
        </w:r>
      </w:hyperlink>
    </w:p>
    <w:p>
      <w:pPr>
        <w:pStyle w:val="Heading3"/>
        <w:spacing w:before="160"/>
      </w:pPr>
      <w:r>
        <w:rPr/>
        <w:t>Priority:</w:t>
      </w:r>
      <w:r>
        <w:rPr>
          <w:spacing w:val="-6"/>
        </w:rPr>
        <w:t> </w:t>
      </w:r>
      <w:r>
        <w:rPr/>
        <w:t>Adverse</w:t>
      </w:r>
      <w:r>
        <w:rPr>
          <w:spacing w:val="-4"/>
        </w:rPr>
        <w:t> </w:t>
      </w:r>
      <w:r>
        <w:rPr/>
        <w:t>Childhood</w:t>
      </w:r>
      <w:r>
        <w:rPr>
          <w:spacing w:val="-3"/>
        </w:rPr>
        <w:t> </w:t>
      </w:r>
      <w:r>
        <w:rPr>
          <w:spacing w:val="-2"/>
        </w:rPr>
        <w:t>Experiences</w:t>
      </w:r>
    </w:p>
    <w:p>
      <w:pPr>
        <w:pStyle w:val="BodyText"/>
        <w:spacing w:line="259" w:lineRule="auto" w:before="182"/>
        <w:ind w:right="1467"/>
      </w:pPr>
      <w:r>
        <w:rPr/>
        <w:t>Adverse Childhood Experiences (ACEs) are the emofional and physical circumstances one experiences before age 18. These may include neglect, sexual abuse, parental divorce, mental illness, and/or substance</w:t>
      </w:r>
      <w:r>
        <w:rPr>
          <w:spacing w:val="-5"/>
        </w:rPr>
        <w:t> </w:t>
      </w:r>
      <w:r>
        <w:rPr/>
        <w:t>abuse</w:t>
      </w:r>
      <w:r>
        <w:rPr>
          <w:spacing w:val="-3"/>
        </w:rPr>
        <w:t> </w:t>
      </w:r>
      <w:r>
        <w:rPr/>
        <w:t>in</w:t>
      </w:r>
      <w:r>
        <w:rPr>
          <w:spacing w:val="-7"/>
        </w:rPr>
        <w:t> </w:t>
      </w:r>
      <w:r>
        <w:rPr/>
        <w:t>the</w:t>
      </w:r>
      <w:r>
        <w:rPr>
          <w:spacing w:val="-3"/>
        </w:rPr>
        <w:t> </w:t>
      </w:r>
      <w:r>
        <w:rPr/>
        <w:t>home,</w:t>
      </w:r>
      <w:r>
        <w:rPr>
          <w:spacing w:val="-6"/>
        </w:rPr>
        <w:t> </w:t>
      </w:r>
      <w:r>
        <w:rPr/>
        <w:t>and</w:t>
      </w:r>
      <w:r>
        <w:rPr>
          <w:spacing w:val="-5"/>
        </w:rPr>
        <w:t> </w:t>
      </w:r>
      <w:r>
        <w:rPr/>
        <w:t>exposure</w:t>
      </w:r>
      <w:r>
        <w:rPr>
          <w:spacing w:val="-3"/>
        </w:rPr>
        <w:t> </w:t>
      </w:r>
      <w:r>
        <w:rPr/>
        <w:t>to</w:t>
      </w:r>
      <w:r>
        <w:rPr>
          <w:spacing w:val="-5"/>
        </w:rPr>
        <w:t> </w:t>
      </w:r>
      <w:r>
        <w:rPr/>
        <w:t>violence.</w:t>
      </w:r>
      <w:r>
        <w:rPr>
          <w:spacing w:val="-4"/>
        </w:rPr>
        <w:t> </w:t>
      </w:r>
      <w:r>
        <w:rPr/>
        <w:t>ACEs</w:t>
      </w:r>
      <w:r>
        <w:rPr>
          <w:spacing w:val="-4"/>
        </w:rPr>
        <w:t> </w:t>
      </w:r>
      <w:r>
        <w:rPr/>
        <w:t>impact</w:t>
      </w:r>
      <w:r>
        <w:rPr>
          <w:spacing w:val="-6"/>
        </w:rPr>
        <w:t> </w:t>
      </w:r>
      <w:r>
        <w:rPr/>
        <w:t>individuals</w:t>
      </w:r>
      <w:r>
        <w:rPr>
          <w:spacing w:val="-6"/>
        </w:rPr>
        <w:t> </w:t>
      </w:r>
      <w:r>
        <w:rPr/>
        <w:t>well</w:t>
      </w:r>
      <w:r>
        <w:rPr>
          <w:spacing w:val="-4"/>
        </w:rPr>
        <w:t> </w:t>
      </w:r>
      <w:r>
        <w:rPr/>
        <w:t>into</w:t>
      </w:r>
      <w:r>
        <w:rPr>
          <w:spacing w:val="-3"/>
        </w:rPr>
        <w:t> </w:t>
      </w:r>
      <w:r>
        <w:rPr/>
        <w:t>adulthood</w:t>
      </w:r>
      <w:r>
        <w:rPr>
          <w:spacing w:val="-5"/>
        </w:rPr>
        <w:t> </w:t>
      </w:r>
      <w:r>
        <w:rPr/>
        <w:t>and may result in long-term physical and mental health problems. The age-adjusted percentage of adults with</w:t>
      </w:r>
      <w:r>
        <w:rPr>
          <w:spacing w:val="-3"/>
        </w:rPr>
        <w:t> </w:t>
      </w:r>
      <w:r>
        <w:rPr/>
        <w:t>two</w:t>
      </w:r>
      <w:r>
        <w:rPr>
          <w:spacing w:val="-3"/>
        </w:rPr>
        <w:t> </w:t>
      </w:r>
      <w:r>
        <w:rPr/>
        <w:t>or</w:t>
      </w:r>
      <w:r>
        <w:rPr>
          <w:spacing w:val="-5"/>
        </w:rPr>
        <w:t> </w:t>
      </w:r>
      <w:r>
        <w:rPr/>
        <w:t>more</w:t>
      </w:r>
      <w:r>
        <w:rPr>
          <w:spacing w:val="-4"/>
        </w:rPr>
        <w:t> </w:t>
      </w:r>
      <w:r>
        <w:rPr/>
        <w:t>adverse</w:t>
      </w:r>
      <w:r>
        <w:rPr>
          <w:spacing w:val="-1"/>
        </w:rPr>
        <w:t> </w:t>
      </w:r>
      <w:r>
        <w:rPr/>
        <w:t>childhood</w:t>
      </w:r>
      <w:r>
        <w:rPr>
          <w:spacing w:val="-5"/>
        </w:rPr>
        <w:t> </w:t>
      </w:r>
      <w:r>
        <w:rPr/>
        <w:t>experiences</w:t>
      </w:r>
      <w:r>
        <w:rPr>
          <w:spacing w:val="-2"/>
        </w:rPr>
        <w:t> </w:t>
      </w:r>
      <w:r>
        <w:rPr/>
        <w:t>decreased</w:t>
      </w:r>
      <w:r>
        <w:rPr>
          <w:spacing w:val="-3"/>
        </w:rPr>
        <w:t> </w:t>
      </w:r>
      <w:r>
        <w:rPr/>
        <w:t>from</w:t>
      </w:r>
      <w:r>
        <w:rPr>
          <w:spacing w:val="-3"/>
        </w:rPr>
        <w:t> </w:t>
      </w:r>
      <w:r>
        <w:rPr/>
        <w:t>29.4%</w:t>
      </w:r>
      <w:r>
        <w:rPr>
          <w:spacing w:val="-4"/>
        </w:rPr>
        <w:t> </w:t>
      </w:r>
      <w:r>
        <w:rPr/>
        <w:t>in</w:t>
      </w:r>
      <w:r>
        <w:rPr>
          <w:spacing w:val="-3"/>
        </w:rPr>
        <w:t> </w:t>
      </w:r>
      <w:r>
        <w:rPr/>
        <w:t>2016</w:t>
      </w:r>
      <w:r>
        <w:rPr>
          <w:spacing w:val="-1"/>
        </w:rPr>
        <w:t> </w:t>
      </w:r>
      <w:r>
        <w:rPr/>
        <w:t>to 24.8%</w:t>
      </w:r>
      <w:r>
        <w:rPr>
          <w:spacing w:val="-1"/>
        </w:rPr>
        <w:t> </w:t>
      </w:r>
      <w:r>
        <w:rPr/>
        <w:t>in</w:t>
      </w:r>
      <w:r>
        <w:rPr>
          <w:spacing w:val="-5"/>
        </w:rPr>
        <w:t> </w:t>
      </w:r>
      <w:r>
        <w:rPr/>
        <w:t>2021,</w:t>
      </w:r>
      <w:r>
        <w:rPr>
          <w:spacing w:val="-4"/>
        </w:rPr>
        <w:t> </w:t>
      </w:r>
      <w:r>
        <w:rPr/>
        <w:t>below the current NYS average of 40.5%.</w:t>
      </w:r>
    </w:p>
    <w:p>
      <w:pPr>
        <w:pStyle w:val="BodyText"/>
        <w:spacing w:line="259" w:lineRule="auto" w:before="158"/>
        <w:ind w:right="1436"/>
      </w:pPr>
      <w:r>
        <w:rPr/>
        <w:t>ACEs</w:t>
      </w:r>
      <w:r>
        <w:rPr>
          <w:spacing w:val="-5"/>
        </w:rPr>
        <w:t> </w:t>
      </w:r>
      <w:r>
        <w:rPr/>
        <w:t>have</w:t>
      </w:r>
      <w:r>
        <w:rPr>
          <w:spacing w:val="-5"/>
        </w:rPr>
        <w:t> </w:t>
      </w:r>
      <w:r>
        <w:rPr/>
        <w:t>long-lasfing</w:t>
      </w:r>
      <w:r>
        <w:rPr>
          <w:spacing w:val="-5"/>
        </w:rPr>
        <w:t> </w:t>
      </w:r>
      <w:r>
        <w:rPr/>
        <w:t>eﬀects</w:t>
      </w:r>
      <w:r>
        <w:rPr>
          <w:spacing w:val="-7"/>
        </w:rPr>
        <w:t> </w:t>
      </w:r>
      <w:r>
        <w:rPr/>
        <w:t>on</w:t>
      </w:r>
      <w:r>
        <w:rPr>
          <w:spacing w:val="-6"/>
        </w:rPr>
        <w:t> </w:t>
      </w:r>
      <w:r>
        <w:rPr/>
        <w:t>physical,</w:t>
      </w:r>
      <w:r>
        <w:rPr>
          <w:spacing w:val="-7"/>
        </w:rPr>
        <w:t> </w:t>
      </w:r>
      <w:r>
        <w:rPr/>
        <w:t>mental,</w:t>
      </w:r>
      <w:r>
        <w:rPr>
          <w:spacing w:val="-7"/>
        </w:rPr>
        <w:t> </w:t>
      </w:r>
      <w:r>
        <w:rPr/>
        <w:t>and</w:t>
      </w:r>
      <w:r>
        <w:rPr>
          <w:spacing w:val="-5"/>
        </w:rPr>
        <w:t> </w:t>
      </w:r>
      <w:r>
        <w:rPr/>
        <w:t>behavioral</w:t>
      </w:r>
      <w:r>
        <w:rPr>
          <w:spacing w:val="-5"/>
        </w:rPr>
        <w:t> </w:t>
      </w:r>
      <w:r>
        <w:rPr/>
        <w:t>health.</w:t>
      </w:r>
      <w:r>
        <w:rPr>
          <w:spacing w:val="-5"/>
        </w:rPr>
        <w:t> </w:t>
      </w:r>
      <w:r>
        <w:rPr/>
        <w:t>Experiencing</w:t>
      </w:r>
      <w:r>
        <w:rPr>
          <w:spacing w:val="-5"/>
        </w:rPr>
        <w:t> </w:t>
      </w:r>
      <w:r>
        <w:rPr/>
        <w:t>two</w:t>
      </w:r>
      <w:r>
        <w:rPr>
          <w:spacing w:val="-6"/>
        </w:rPr>
        <w:t> </w:t>
      </w:r>
      <w:r>
        <w:rPr/>
        <w:t>or</w:t>
      </w:r>
      <w:r>
        <w:rPr>
          <w:spacing w:val="-7"/>
        </w:rPr>
        <w:t> </w:t>
      </w:r>
      <w:r>
        <w:rPr/>
        <w:t>more</w:t>
      </w:r>
      <w:r>
        <w:rPr>
          <w:spacing w:val="-5"/>
        </w:rPr>
        <w:t> </w:t>
      </w:r>
      <w:r>
        <w:rPr/>
        <w:t>ACEs increases the risk of chronic diseases, mental health disorders, substance use, and social challenges well into adulthood. Even</w:t>
      </w:r>
      <w:r>
        <w:rPr>
          <w:spacing w:val="-1"/>
        </w:rPr>
        <w:t> </w:t>
      </w:r>
      <w:r>
        <w:rPr/>
        <w:t>though the county’s rate of adults with</w:t>
      </w:r>
      <w:r>
        <w:rPr>
          <w:spacing w:val="-1"/>
        </w:rPr>
        <w:t> </w:t>
      </w:r>
      <w:r>
        <w:rPr/>
        <w:t>two or</w:t>
      </w:r>
      <w:r>
        <w:rPr>
          <w:spacing w:val="-3"/>
        </w:rPr>
        <w:t> </w:t>
      </w:r>
      <w:r>
        <w:rPr/>
        <w:t>more ACEs has decreased to 24.8%, this sfill represents a substanfial porfion of the populafion at higher risk for long-term health problems and increased healthcare and social service needs.</w:t>
      </w:r>
      <w:hyperlink w:history="true" w:anchor="_bookmark17">
        <w:r>
          <w:rPr>
            <w:vertAlign w:val="superscript"/>
          </w:rPr>
          <w:t>49</w:t>
        </w:r>
      </w:hyperlink>
    </w:p>
    <w:p>
      <w:pPr>
        <w:pStyle w:val="Heading3"/>
        <w:spacing w:before="161"/>
      </w:pPr>
      <w:r>
        <w:rPr/>
        <w:t>Priority:</w:t>
      </w:r>
      <w:r>
        <w:rPr>
          <w:spacing w:val="-4"/>
        </w:rPr>
        <w:t> </w:t>
      </w:r>
      <w:r>
        <w:rPr/>
        <w:t>Healthy</w:t>
      </w:r>
      <w:r>
        <w:rPr>
          <w:spacing w:val="-3"/>
        </w:rPr>
        <w:t> </w:t>
      </w:r>
      <w:r>
        <w:rPr>
          <w:spacing w:val="-2"/>
        </w:rPr>
        <w:t>Eafing</w:t>
      </w:r>
    </w:p>
    <w:p>
      <w:pPr>
        <w:pStyle w:val="BodyText"/>
        <w:spacing w:line="259" w:lineRule="auto" w:before="182"/>
        <w:ind w:right="1467"/>
      </w:pPr>
      <w:r>
        <w:rPr/>
        <w:t>From</w:t>
      </w:r>
      <w:r>
        <w:rPr>
          <w:spacing w:val="-5"/>
        </w:rPr>
        <w:t> </w:t>
      </w:r>
      <w:r>
        <w:rPr/>
        <w:t>2016</w:t>
      </w:r>
      <w:r>
        <w:rPr>
          <w:spacing w:val="-5"/>
        </w:rPr>
        <w:t> </w:t>
      </w:r>
      <w:r>
        <w:rPr/>
        <w:t>to</w:t>
      </w:r>
      <w:r>
        <w:rPr>
          <w:spacing w:val="-5"/>
        </w:rPr>
        <w:t> </w:t>
      </w:r>
      <w:r>
        <w:rPr/>
        <w:t>2021,</w:t>
      </w:r>
      <w:r>
        <w:rPr>
          <w:spacing w:val="-3"/>
        </w:rPr>
        <w:t> </w:t>
      </w:r>
      <w:r>
        <w:rPr/>
        <w:t>the</w:t>
      </w:r>
      <w:r>
        <w:rPr>
          <w:spacing w:val="-3"/>
        </w:rPr>
        <w:t> </w:t>
      </w:r>
      <w:r>
        <w:rPr/>
        <w:t>percentage</w:t>
      </w:r>
      <w:r>
        <w:rPr>
          <w:spacing w:val="-5"/>
        </w:rPr>
        <w:t> </w:t>
      </w:r>
      <w:r>
        <w:rPr/>
        <w:t>of</w:t>
      </w:r>
      <w:r>
        <w:rPr>
          <w:spacing w:val="-4"/>
        </w:rPr>
        <w:t> </w:t>
      </w:r>
      <w:r>
        <w:rPr/>
        <w:t>adults</w:t>
      </w:r>
      <w:r>
        <w:rPr>
          <w:spacing w:val="-5"/>
        </w:rPr>
        <w:t> </w:t>
      </w:r>
      <w:r>
        <w:rPr/>
        <w:t>who</w:t>
      </w:r>
      <w:r>
        <w:rPr>
          <w:spacing w:val="-5"/>
        </w:rPr>
        <w:t> </w:t>
      </w:r>
      <w:r>
        <w:rPr/>
        <w:t>eat</w:t>
      </w:r>
      <w:r>
        <w:rPr>
          <w:spacing w:val="-5"/>
        </w:rPr>
        <w:t> </w:t>
      </w:r>
      <w:r>
        <w:rPr/>
        <w:t>fruits</w:t>
      </w:r>
      <w:r>
        <w:rPr>
          <w:spacing w:val="-3"/>
        </w:rPr>
        <w:t> </w:t>
      </w:r>
      <w:r>
        <w:rPr/>
        <w:t>daily</w:t>
      </w:r>
      <w:r>
        <w:rPr>
          <w:spacing w:val="-3"/>
        </w:rPr>
        <w:t> </w:t>
      </w:r>
      <w:r>
        <w:rPr/>
        <w:t>(63.4%)</w:t>
      </w:r>
      <w:r>
        <w:rPr>
          <w:spacing w:val="-3"/>
        </w:rPr>
        <w:t> </w:t>
      </w:r>
      <w:r>
        <w:rPr/>
        <w:t>increased</w:t>
      </w:r>
      <w:r>
        <w:rPr>
          <w:spacing w:val="-4"/>
        </w:rPr>
        <w:t> </w:t>
      </w:r>
      <w:r>
        <w:rPr/>
        <w:t>by</w:t>
      </w:r>
      <w:r>
        <w:rPr>
          <w:spacing w:val="-5"/>
        </w:rPr>
        <w:t> </w:t>
      </w:r>
      <w:r>
        <w:rPr/>
        <w:t>16%,</w:t>
      </w:r>
      <w:r>
        <w:rPr>
          <w:spacing w:val="-4"/>
        </w:rPr>
        <w:t> </w:t>
      </w:r>
      <w:r>
        <w:rPr/>
        <w:t>and</w:t>
      </w:r>
      <w:r>
        <w:rPr>
          <w:spacing w:val="-4"/>
        </w:rPr>
        <w:t> </w:t>
      </w:r>
      <w:r>
        <w:rPr/>
        <w:t>those who eat vegetables daily (70.2%) decreased by 4%</w:t>
      </w:r>
      <w:hyperlink w:history="true" w:anchor="_bookmark18">
        <w:r>
          <w:rPr/>
          <w:t>.</w:t>
        </w:r>
        <w:r>
          <w:rPr>
            <w:vertAlign w:val="superscript"/>
          </w:rPr>
          <w:t>50</w:t>
        </w:r>
      </w:hyperlink>
      <w:r>
        <w:rPr>
          <w:vertAlign w:val="baseline"/>
        </w:rPr>
        <w:t> An interesfing dichotomy arose in focus groups where some individuals stated it was diﬃcult to incorporate healthy eafing into their roufines, while others said it was very easy. Approximately 1 in 5 NYS adults consume at least one sugar-sweetened</w:t>
      </w:r>
    </w:p>
    <w:p>
      <w:pPr>
        <w:pStyle w:val="BodyText"/>
        <w:ind w:left="0"/>
        <w:rPr>
          <w:sz w:val="20"/>
        </w:rPr>
      </w:pPr>
    </w:p>
    <w:p>
      <w:pPr>
        <w:pStyle w:val="BodyText"/>
        <w:ind w:left="0"/>
        <w:rPr>
          <w:sz w:val="20"/>
        </w:rPr>
      </w:pPr>
    </w:p>
    <w:p>
      <w:pPr>
        <w:pStyle w:val="BodyText"/>
        <w:ind w:left="0"/>
        <w:rPr>
          <w:sz w:val="20"/>
        </w:rPr>
      </w:pPr>
    </w:p>
    <w:p>
      <w:pPr>
        <w:pStyle w:val="BodyText"/>
        <w:spacing w:before="86"/>
        <w:ind w:left="0"/>
        <w:rPr>
          <w:sz w:val="20"/>
        </w:rPr>
      </w:pPr>
      <w:r>
        <w:rPr>
          <w:sz w:val="20"/>
        </w:rPr>
        <mc:AlternateContent>
          <mc:Choice Requires="wps">
            <w:drawing>
              <wp:anchor distT="0" distB="0" distL="0" distR="0" allowOverlap="1" layoutInCell="1" locked="0" behindDoc="1" simplePos="0" relativeHeight="487602688">
                <wp:simplePos x="0" y="0"/>
                <wp:positionH relativeFrom="page">
                  <wp:posOffset>914400</wp:posOffset>
                </wp:positionH>
                <wp:positionV relativeFrom="paragraph">
                  <wp:posOffset>225157</wp:posOffset>
                </wp:positionV>
                <wp:extent cx="1828800" cy="9525"/>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728916pt;width:144pt;height:.71pt;mso-position-horizontal-relative:page;mso-position-vertical-relative:paragraph;z-index:-15713792;mso-wrap-distance-left:0;mso-wrap-distance-right:0" id="docshape67" filled="true" fillcolor="#000000" stroked="false">
                <v:fill type="solid"/>
                <w10:wrap type="topAndBottom"/>
              </v:rect>
            </w:pict>
          </mc:Fallback>
        </mc:AlternateContent>
      </w:r>
    </w:p>
    <w:p>
      <w:pPr>
        <w:spacing w:line="243" w:lineRule="exact" w:before="102"/>
        <w:ind w:left="1440" w:right="0" w:firstLine="0"/>
        <w:jc w:val="left"/>
        <w:rPr>
          <w:sz w:val="20"/>
        </w:rPr>
      </w:pPr>
      <w:r>
        <w:rPr>
          <w:spacing w:val="-2"/>
          <w:sz w:val="20"/>
          <w:vertAlign w:val="superscript"/>
        </w:rPr>
        <w:t>47</w:t>
      </w:r>
      <w:r>
        <w:rPr>
          <w:spacing w:val="-2"/>
          <w:sz w:val="20"/>
          <w:vertAlign w:val="baseline"/>
        </w:rPr>
        <w:t> </w:t>
      </w:r>
      <w:bookmarkStart w:name="_bookmark15" w:id="16"/>
      <w:bookmarkEnd w:id="16"/>
      <w:r>
        <w:rPr>
          <w:spacing w:val="-2"/>
          <w:sz w:val="20"/>
          <w:vertAlign w:val="baseline"/>
        </w:rPr>
        <w:t>S</w:t>
      </w:r>
      <w:r>
        <w:rPr>
          <w:spacing w:val="-2"/>
          <w:sz w:val="20"/>
          <w:vertAlign w:val="baseline"/>
        </w:rPr>
        <w:t>ource:</w:t>
      </w:r>
      <w:r>
        <w:rPr>
          <w:spacing w:val="-1"/>
          <w:sz w:val="20"/>
          <w:vertAlign w:val="baseline"/>
        </w:rPr>
        <w:t> </w:t>
      </w:r>
      <w:r>
        <w:rPr>
          <w:spacing w:val="-2"/>
          <w:sz w:val="20"/>
          <w:vertAlign w:val="baseline"/>
        </w:rPr>
        <w:t>Yates County</w:t>
      </w:r>
      <w:r>
        <w:rPr>
          <w:spacing w:val="1"/>
          <w:sz w:val="20"/>
          <w:vertAlign w:val="baseline"/>
        </w:rPr>
        <w:t> </w:t>
      </w:r>
      <w:r>
        <w:rPr>
          <w:spacing w:val="-2"/>
          <w:sz w:val="20"/>
          <w:vertAlign w:val="baseline"/>
        </w:rPr>
        <w:t>Evalumetric Youth</w:t>
      </w:r>
      <w:r>
        <w:rPr>
          <w:sz w:val="20"/>
          <w:vertAlign w:val="baseline"/>
        </w:rPr>
        <w:t> </w:t>
      </w:r>
      <w:r>
        <w:rPr>
          <w:spacing w:val="-2"/>
          <w:sz w:val="20"/>
          <w:vertAlign w:val="baseline"/>
        </w:rPr>
        <w:t>Survey</w:t>
      </w:r>
      <w:r>
        <w:rPr>
          <w:spacing w:val="1"/>
          <w:sz w:val="20"/>
          <w:vertAlign w:val="baseline"/>
        </w:rPr>
        <w:t> </w:t>
      </w:r>
      <w:r>
        <w:rPr>
          <w:spacing w:val="-2"/>
          <w:sz w:val="20"/>
          <w:vertAlign w:val="baseline"/>
        </w:rPr>
        <w:t>Report,</w:t>
      </w:r>
      <w:r>
        <w:rPr>
          <w:sz w:val="20"/>
          <w:vertAlign w:val="baseline"/>
        </w:rPr>
        <w:t> </w:t>
      </w:r>
      <w:r>
        <w:rPr>
          <w:spacing w:val="-4"/>
          <w:sz w:val="20"/>
          <w:vertAlign w:val="baseline"/>
        </w:rPr>
        <w:t>2022</w:t>
      </w:r>
    </w:p>
    <w:p>
      <w:pPr>
        <w:spacing w:before="0"/>
        <w:ind w:left="1440" w:right="1467" w:firstLine="0"/>
        <w:jc w:val="left"/>
        <w:rPr>
          <w:sz w:val="20"/>
        </w:rPr>
      </w:pPr>
      <w:r>
        <w:rPr>
          <w:sz w:val="20"/>
          <w:vertAlign w:val="superscript"/>
        </w:rPr>
        <w:t>48</w:t>
      </w:r>
      <w:r>
        <w:rPr>
          <w:spacing w:val="-7"/>
          <w:sz w:val="20"/>
          <w:vertAlign w:val="baseline"/>
        </w:rPr>
        <w:t> </w:t>
      </w:r>
      <w:bookmarkStart w:name="_bookmark16" w:id="17"/>
      <w:bookmarkEnd w:id="17"/>
      <w:r>
        <w:rPr>
          <w:sz w:val="20"/>
          <w:vertAlign w:val="baseline"/>
        </w:rPr>
        <w:t>S</w:t>
      </w:r>
      <w:r>
        <w:rPr>
          <w:sz w:val="20"/>
          <w:vertAlign w:val="baseline"/>
        </w:rPr>
        <w:t>ource:</w:t>
      </w:r>
      <w:r>
        <w:rPr>
          <w:spacing w:val="-6"/>
          <w:sz w:val="20"/>
          <w:vertAlign w:val="baseline"/>
        </w:rPr>
        <w:t> </w:t>
      </w:r>
      <w:r>
        <w:rPr>
          <w:sz w:val="20"/>
          <w:vertAlign w:val="baseline"/>
        </w:rPr>
        <w:t>Kim</w:t>
      </w:r>
      <w:r>
        <w:rPr>
          <w:spacing w:val="-7"/>
          <w:sz w:val="20"/>
          <w:vertAlign w:val="baseline"/>
        </w:rPr>
        <w:t> </w:t>
      </w:r>
      <w:r>
        <w:rPr>
          <w:sz w:val="20"/>
          <w:vertAlign w:val="baseline"/>
        </w:rPr>
        <w:t>Y.</w:t>
      </w:r>
      <w:r>
        <w:rPr>
          <w:spacing w:val="-5"/>
          <w:sz w:val="20"/>
          <w:vertAlign w:val="baseline"/>
        </w:rPr>
        <w:t> </w:t>
      </w:r>
      <w:r>
        <w:rPr>
          <w:sz w:val="20"/>
          <w:vertAlign w:val="baseline"/>
        </w:rPr>
        <w:t>The</w:t>
      </w:r>
      <w:r>
        <w:rPr>
          <w:spacing w:val="-5"/>
          <w:sz w:val="20"/>
          <w:vertAlign w:val="baseline"/>
        </w:rPr>
        <w:t> </w:t>
      </w:r>
      <w:r>
        <w:rPr>
          <w:sz w:val="20"/>
          <w:vertAlign w:val="baseline"/>
        </w:rPr>
        <w:t>eﬀects</w:t>
      </w:r>
      <w:r>
        <w:rPr>
          <w:spacing w:val="-7"/>
          <w:sz w:val="20"/>
          <w:vertAlign w:val="baseline"/>
        </w:rPr>
        <w:t> </w:t>
      </w:r>
      <w:r>
        <w:rPr>
          <w:sz w:val="20"/>
          <w:vertAlign w:val="baseline"/>
        </w:rPr>
        <w:t>of</w:t>
      </w:r>
      <w:r>
        <w:rPr>
          <w:spacing w:val="-7"/>
          <w:sz w:val="20"/>
          <w:vertAlign w:val="baseline"/>
        </w:rPr>
        <w:t> </w:t>
      </w:r>
      <w:r>
        <w:rPr>
          <w:sz w:val="20"/>
          <w:vertAlign w:val="baseline"/>
        </w:rPr>
        <w:t>smoking,</w:t>
      </w:r>
      <w:r>
        <w:rPr>
          <w:spacing w:val="-6"/>
          <w:sz w:val="20"/>
          <w:vertAlign w:val="baseline"/>
        </w:rPr>
        <w:t> </w:t>
      </w:r>
      <w:r>
        <w:rPr>
          <w:sz w:val="20"/>
          <w:vertAlign w:val="baseline"/>
        </w:rPr>
        <w:t>alcohol</w:t>
      </w:r>
      <w:r>
        <w:rPr>
          <w:spacing w:val="-6"/>
          <w:sz w:val="20"/>
          <w:vertAlign w:val="baseline"/>
        </w:rPr>
        <w:t> </w:t>
      </w:r>
      <w:r>
        <w:rPr>
          <w:sz w:val="20"/>
          <w:vertAlign w:val="baseline"/>
        </w:rPr>
        <w:t>consumpfion,</w:t>
      </w:r>
      <w:r>
        <w:rPr>
          <w:spacing w:val="-6"/>
          <w:sz w:val="20"/>
          <w:vertAlign w:val="baseline"/>
        </w:rPr>
        <w:t> </w:t>
      </w:r>
      <w:r>
        <w:rPr>
          <w:sz w:val="20"/>
          <w:vertAlign w:val="baseline"/>
        </w:rPr>
        <w:t>obesity,</w:t>
      </w:r>
      <w:r>
        <w:rPr>
          <w:spacing w:val="-5"/>
          <w:sz w:val="20"/>
          <w:vertAlign w:val="baseline"/>
        </w:rPr>
        <w:t> </w:t>
      </w:r>
      <w:r>
        <w:rPr>
          <w:sz w:val="20"/>
          <w:vertAlign w:val="baseline"/>
        </w:rPr>
        <w:t>and</w:t>
      </w:r>
      <w:r>
        <w:rPr>
          <w:spacing w:val="-5"/>
          <w:sz w:val="20"/>
          <w:vertAlign w:val="baseline"/>
        </w:rPr>
        <w:t> </w:t>
      </w:r>
      <w:r>
        <w:rPr>
          <w:sz w:val="20"/>
          <w:vertAlign w:val="baseline"/>
        </w:rPr>
        <w:t>physical</w:t>
      </w:r>
      <w:r>
        <w:rPr>
          <w:spacing w:val="-6"/>
          <w:sz w:val="20"/>
          <w:vertAlign w:val="baseline"/>
        </w:rPr>
        <w:t> </w:t>
      </w:r>
      <w:r>
        <w:rPr>
          <w:sz w:val="20"/>
          <w:vertAlign w:val="baseline"/>
        </w:rPr>
        <w:t>inacfivity</w:t>
      </w:r>
      <w:r>
        <w:rPr>
          <w:spacing w:val="-5"/>
          <w:sz w:val="20"/>
          <w:vertAlign w:val="baseline"/>
        </w:rPr>
        <w:t> </w:t>
      </w:r>
      <w:r>
        <w:rPr>
          <w:sz w:val="20"/>
          <w:vertAlign w:val="baseline"/>
        </w:rPr>
        <w:t>on</w:t>
      </w:r>
      <w:r>
        <w:rPr>
          <w:spacing w:val="-5"/>
          <w:sz w:val="20"/>
          <w:vertAlign w:val="baseline"/>
        </w:rPr>
        <w:t> </w:t>
      </w:r>
      <w:r>
        <w:rPr>
          <w:sz w:val="20"/>
          <w:vertAlign w:val="baseline"/>
        </w:rPr>
        <w:t>healthcare</w:t>
      </w:r>
      <w:r>
        <w:rPr>
          <w:spacing w:val="-7"/>
          <w:sz w:val="20"/>
          <w:vertAlign w:val="baseline"/>
        </w:rPr>
        <w:t> </w:t>
      </w:r>
      <w:r>
        <w:rPr>
          <w:sz w:val="20"/>
          <w:vertAlign w:val="baseline"/>
        </w:rPr>
        <w:t>costs:</w:t>
      </w:r>
      <w:r>
        <w:rPr>
          <w:spacing w:val="-7"/>
          <w:sz w:val="20"/>
          <w:vertAlign w:val="baseline"/>
        </w:rPr>
        <w:t> </w:t>
      </w:r>
      <w:r>
        <w:rPr>
          <w:sz w:val="20"/>
          <w:vertAlign w:val="baseline"/>
        </w:rPr>
        <w:t>a longitudinal cohort study. BMC Public Health. 2025 Mar 5;25(1):873. doi: 10.1186/s12889-025-22133-4. PMID: 40045251; PMCID: PMC11881326.</w:t>
      </w:r>
    </w:p>
    <w:p>
      <w:pPr>
        <w:spacing w:line="244" w:lineRule="exact" w:before="0"/>
        <w:ind w:left="1440" w:right="0" w:firstLine="0"/>
        <w:jc w:val="left"/>
        <w:rPr>
          <w:sz w:val="20"/>
        </w:rPr>
      </w:pPr>
      <w:r>
        <w:rPr>
          <w:sz w:val="20"/>
          <w:vertAlign w:val="superscript"/>
        </w:rPr>
        <w:t>49</w:t>
      </w:r>
      <w:r>
        <w:rPr>
          <w:spacing w:val="-9"/>
          <w:sz w:val="20"/>
          <w:vertAlign w:val="baseline"/>
        </w:rPr>
        <w:t> </w:t>
      </w:r>
      <w:bookmarkStart w:name="_bookmark17" w:id="18"/>
      <w:bookmarkEnd w:id="18"/>
      <w:r>
        <w:rPr>
          <w:sz w:val="20"/>
          <w:vertAlign w:val="baseline"/>
        </w:rPr>
        <w:t>S</w:t>
      </w:r>
      <w:r>
        <w:rPr>
          <w:sz w:val="20"/>
          <w:vertAlign w:val="baseline"/>
        </w:rPr>
        <w:t>ource:</w:t>
      </w:r>
      <w:r>
        <w:rPr>
          <w:spacing w:val="-8"/>
          <w:sz w:val="20"/>
          <w:vertAlign w:val="baseline"/>
        </w:rPr>
        <w:t> </w:t>
      </w:r>
      <w:r>
        <w:rPr>
          <w:spacing w:val="-2"/>
          <w:sz w:val="20"/>
          <w:vertAlign w:val="baseline"/>
        </w:rPr>
        <w:t>hftps://</w:t>
      </w:r>
      <w:hyperlink r:id="rId30">
        <w:r>
          <w:rPr>
            <w:spacing w:val="-2"/>
            <w:sz w:val="20"/>
            <w:vertAlign w:val="baseline"/>
          </w:rPr>
          <w:t>www.cdc.gov/aces/about/index.html</w:t>
        </w:r>
      </w:hyperlink>
    </w:p>
    <w:p>
      <w:pPr>
        <w:spacing w:before="0"/>
        <w:ind w:left="1440" w:right="0" w:firstLine="0"/>
        <w:jc w:val="left"/>
        <w:rPr>
          <w:sz w:val="20"/>
        </w:rPr>
      </w:pPr>
      <w:r>
        <w:rPr>
          <w:sz w:val="20"/>
          <w:vertAlign w:val="superscript"/>
        </w:rPr>
        <w:t>50</w:t>
      </w:r>
      <w:r>
        <w:rPr>
          <w:spacing w:val="-12"/>
          <w:sz w:val="20"/>
          <w:vertAlign w:val="baseline"/>
        </w:rPr>
        <w:t> </w:t>
      </w:r>
      <w:bookmarkStart w:name="_bookmark18" w:id="19"/>
      <w:bookmarkEnd w:id="19"/>
      <w:r>
        <w:rPr>
          <w:sz w:val="20"/>
          <w:vertAlign w:val="baseline"/>
        </w:rPr>
        <w:t>S</w:t>
      </w:r>
      <w:r>
        <w:rPr>
          <w:sz w:val="20"/>
          <w:vertAlign w:val="baseline"/>
        </w:rPr>
        <w:t>ource:</w:t>
      </w:r>
      <w:r>
        <w:rPr>
          <w:spacing w:val="-11"/>
          <w:sz w:val="20"/>
          <w:vertAlign w:val="baseline"/>
        </w:rPr>
        <w:t> </w:t>
      </w:r>
      <w:r>
        <w:rPr>
          <w:sz w:val="20"/>
          <w:vertAlign w:val="baseline"/>
        </w:rPr>
        <w:t>Behavior</w:t>
      </w:r>
      <w:r>
        <w:rPr>
          <w:spacing w:val="-9"/>
          <w:sz w:val="20"/>
          <w:vertAlign w:val="baseline"/>
        </w:rPr>
        <w:t> </w:t>
      </w:r>
      <w:r>
        <w:rPr>
          <w:sz w:val="20"/>
          <w:vertAlign w:val="baseline"/>
        </w:rPr>
        <w:t>Risk</w:t>
      </w:r>
      <w:r>
        <w:rPr>
          <w:spacing w:val="-11"/>
          <w:sz w:val="20"/>
          <w:vertAlign w:val="baseline"/>
        </w:rPr>
        <w:t> </w:t>
      </w:r>
      <w:r>
        <w:rPr>
          <w:sz w:val="20"/>
          <w:vertAlign w:val="baseline"/>
        </w:rPr>
        <w:t>Factor</w:t>
      </w:r>
      <w:r>
        <w:rPr>
          <w:spacing w:val="-9"/>
          <w:sz w:val="20"/>
          <w:vertAlign w:val="baseline"/>
        </w:rPr>
        <w:t> </w:t>
      </w:r>
      <w:r>
        <w:rPr>
          <w:sz w:val="20"/>
          <w:vertAlign w:val="baseline"/>
        </w:rPr>
        <w:t>Surveillance</w:t>
      </w:r>
      <w:r>
        <w:rPr>
          <w:spacing w:val="-11"/>
          <w:sz w:val="20"/>
          <w:vertAlign w:val="baseline"/>
        </w:rPr>
        <w:t> </w:t>
      </w:r>
      <w:r>
        <w:rPr>
          <w:sz w:val="20"/>
          <w:vertAlign w:val="baseline"/>
        </w:rPr>
        <w:t>System</w:t>
      </w:r>
      <w:r>
        <w:rPr>
          <w:spacing w:val="-12"/>
          <w:sz w:val="20"/>
          <w:vertAlign w:val="baseline"/>
        </w:rPr>
        <w:t> </w:t>
      </w:r>
      <w:r>
        <w:rPr>
          <w:sz w:val="20"/>
          <w:vertAlign w:val="baseline"/>
        </w:rPr>
        <w:t>(BRFSS),</w:t>
      </w:r>
      <w:r>
        <w:rPr>
          <w:spacing w:val="-10"/>
          <w:sz w:val="20"/>
          <w:vertAlign w:val="baseline"/>
        </w:rPr>
        <w:t> </w:t>
      </w:r>
      <w:r>
        <w:rPr>
          <w:spacing w:val="-4"/>
          <w:sz w:val="20"/>
          <w:vertAlign w:val="baseline"/>
        </w:rPr>
        <w:t>2021</w:t>
      </w:r>
    </w:p>
    <w:p>
      <w:pPr>
        <w:spacing w:after="0"/>
        <w:jc w:val="left"/>
        <w:rPr>
          <w:sz w:val="20"/>
        </w:rPr>
        <w:sectPr>
          <w:pgSz w:w="12240" w:h="15840"/>
          <w:pgMar w:header="161" w:footer="1223" w:top="1360" w:bottom="1420" w:left="0" w:right="0"/>
        </w:sectPr>
      </w:pPr>
    </w:p>
    <w:p>
      <w:pPr>
        <w:pStyle w:val="BodyText"/>
        <w:spacing w:line="259" w:lineRule="auto" w:before="64"/>
        <w:ind w:right="1588"/>
      </w:pPr>
      <w:r>
        <w:rPr/>
        <w:t>beverage</w:t>
      </w:r>
      <w:r>
        <w:rPr>
          <w:spacing w:val="-7"/>
        </w:rPr>
        <w:t> </w:t>
      </w:r>
      <w:r>
        <w:rPr/>
        <w:t>daily</w:t>
      </w:r>
      <w:hyperlink w:history="true" w:anchor="_bookmark19">
        <w:r>
          <w:rPr/>
          <w:t>.</w:t>
        </w:r>
        <w:r>
          <w:rPr>
            <w:vertAlign w:val="superscript"/>
          </w:rPr>
          <w:t>51</w:t>
        </w:r>
      </w:hyperlink>
      <w:r>
        <w:rPr>
          <w:spacing w:val="-9"/>
          <w:vertAlign w:val="baseline"/>
        </w:rPr>
        <w:t> </w:t>
      </w:r>
      <w:r>
        <w:rPr>
          <w:vertAlign w:val="baseline"/>
        </w:rPr>
        <w:t>In</w:t>
      </w:r>
      <w:r>
        <w:rPr>
          <w:spacing w:val="-8"/>
          <w:vertAlign w:val="baseline"/>
        </w:rPr>
        <w:t> </w:t>
      </w:r>
      <w:r>
        <w:rPr>
          <w:vertAlign w:val="baseline"/>
        </w:rPr>
        <w:t>Yates</w:t>
      </w:r>
      <w:r>
        <w:rPr>
          <w:spacing w:val="-10"/>
          <w:vertAlign w:val="baseline"/>
        </w:rPr>
        <w:t> </w:t>
      </w:r>
      <w:r>
        <w:rPr>
          <w:vertAlign w:val="baseline"/>
        </w:rPr>
        <w:t>County,</w:t>
      </w:r>
      <w:r>
        <w:rPr>
          <w:spacing w:val="-8"/>
          <w:vertAlign w:val="baseline"/>
        </w:rPr>
        <w:t> </w:t>
      </w:r>
      <w:r>
        <w:rPr>
          <w:vertAlign w:val="baseline"/>
        </w:rPr>
        <w:t>the</w:t>
      </w:r>
      <w:r>
        <w:rPr>
          <w:spacing w:val="-7"/>
          <w:vertAlign w:val="baseline"/>
        </w:rPr>
        <w:t> </w:t>
      </w:r>
      <w:r>
        <w:rPr>
          <w:vertAlign w:val="baseline"/>
        </w:rPr>
        <w:t>percentage</w:t>
      </w:r>
      <w:r>
        <w:rPr>
          <w:spacing w:val="-9"/>
          <w:vertAlign w:val="baseline"/>
        </w:rPr>
        <w:t> </w:t>
      </w:r>
      <w:r>
        <w:rPr>
          <w:vertAlign w:val="baseline"/>
        </w:rPr>
        <w:t>of</w:t>
      </w:r>
      <w:r>
        <w:rPr>
          <w:spacing w:val="-10"/>
          <w:vertAlign w:val="baseline"/>
        </w:rPr>
        <w:t> </w:t>
      </w:r>
      <w:r>
        <w:rPr>
          <w:vertAlign w:val="baseline"/>
        </w:rPr>
        <w:t>adults</w:t>
      </w:r>
      <w:r>
        <w:rPr>
          <w:spacing w:val="-7"/>
          <w:vertAlign w:val="baseline"/>
        </w:rPr>
        <w:t> </w:t>
      </w:r>
      <w:r>
        <w:rPr>
          <w:vertAlign w:val="baseline"/>
        </w:rPr>
        <w:t>with</w:t>
      </w:r>
      <w:r>
        <w:rPr>
          <w:spacing w:val="-8"/>
          <w:vertAlign w:val="baseline"/>
        </w:rPr>
        <w:t> </w:t>
      </w:r>
      <w:r>
        <w:rPr>
          <w:vertAlign w:val="baseline"/>
        </w:rPr>
        <w:t>annual</w:t>
      </w:r>
      <w:r>
        <w:rPr>
          <w:spacing w:val="-8"/>
          <w:vertAlign w:val="baseline"/>
        </w:rPr>
        <w:t> </w:t>
      </w:r>
      <w:r>
        <w:rPr>
          <w:vertAlign w:val="baseline"/>
        </w:rPr>
        <w:t>incomes</w:t>
      </w:r>
      <w:r>
        <w:rPr>
          <w:spacing w:val="-8"/>
          <w:vertAlign w:val="baseline"/>
        </w:rPr>
        <w:t> </w:t>
      </w:r>
      <w:r>
        <w:rPr>
          <w:vertAlign w:val="baseline"/>
        </w:rPr>
        <w:t>below</w:t>
      </w:r>
      <w:r>
        <w:rPr>
          <w:spacing w:val="-10"/>
          <w:vertAlign w:val="baseline"/>
        </w:rPr>
        <w:t> </w:t>
      </w:r>
      <w:r>
        <w:rPr>
          <w:vertAlign w:val="baseline"/>
        </w:rPr>
        <w:t>$25,000</w:t>
      </w:r>
      <w:r>
        <w:rPr>
          <w:spacing w:val="-9"/>
          <w:vertAlign w:val="baseline"/>
        </w:rPr>
        <w:t> </w:t>
      </w:r>
      <w:r>
        <w:rPr>
          <w:vertAlign w:val="baseline"/>
        </w:rPr>
        <w:t>who drink one</w:t>
      </w:r>
      <w:r>
        <w:rPr>
          <w:spacing w:val="-2"/>
          <w:vertAlign w:val="baseline"/>
        </w:rPr>
        <w:t> </w:t>
      </w:r>
      <w:r>
        <w:rPr>
          <w:vertAlign w:val="baseline"/>
        </w:rPr>
        <w:t>or</w:t>
      </w:r>
      <w:r>
        <w:rPr>
          <w:spacing w:val="-3"/>
          <w:vertAlign w:val="baseline"/>
        </w:rPr>
        <w:t> </w:t>
      </w:r>
      <w:r>
        <w:rPr>
          <w:vertAlign w:val="baseline"/>
        </w:rPr>
        <w:t>more</w:t>
      </w:r>
      <w:r>
        <w:rPr>
          <w:spacing w:val="-3"/>
          <w:vertAlign w:val="baseline"/>
        </w:rPr>
        <w:t> </w:t>
      </w:r>
      <w:r>
        <w:rPr>
          <w:vertAlign w:val="baseline"/>
        </w:rPr>
        <w:t>sugar-sweetened</w:t>
      </w:r>
      <w:r>
        <w:rPr>
          <w:spacing w:val="-1"/>
          <w:vertAlign w:val="baseline"/>
        </w:rPr>
        <w:t> </w:t>
      </w:r>
      <w:r>
        <w:rPr>
          <w:vertAlign w:val="baseline"/>
        </w:rPr>
        <w:t>beverages</w:t>
      </w:r>
      <w:r>
        <w:rPr>
          <w:spacing w:val="-1"/>
          <w:vertAlign w:val="baseline"/>
        </w:rPr>
        <w:t> </w:t>
      </w:r>
      <w:r>
        <w:rPr>
          <w:vertAlign w:val="baseline"/>
        </w:rPr>
        <w:t>has</w:t>
      </w:r>
      <w:r>
        <w:rPr>
          <w:spacing w:val="-3"/>
          <w:vertAlign w:val="baseline"/>
        </w:rPr>
        <w:t> </w:t>
      </w:r>
      <w:r>
        <w:rPr>
          <w:vertAlign w:val="baseline"/>
        </w:rPr>
        <w:t>increased</w:t>
      </w:r>
      <w:r>
        <w:rPr>
          <w:spacing w:val="-1"/>
          <w:vertAlign w:val="baseline"/>
        </w:rPr>
        <w:t> </w:t>
      </w:r>
      <w:r>
        <w:rPr>
          <w:vertAlign w:val="baseline"/>
        </w:rPr>
        <w:t>from</w:t>
      </w:r>
      <w:r>
        <w:rPr>
          <w:spacing w:val="-2"/>
          <w:vertAlign w:val="baseline"/>
        </w:rPr>
        <w:t> </w:t>
      </w:r>
      <w:r>
        <w:rPr>
          <w:vertAlign w:val="baseline"/>
        </w:rPr>
        <w:t>10.7%</w:t>
      </w:r>
      <w:r>
        <w:rPr>
          <w:spacing w:val="-2"/>
          <w:vertAlign w:val="baseline"/>
        </w:rPr>
        <w:t> </w:t>
      </w:r>
      <w:r>
        <w:rPr>
          <w:vertAlign w:val="baseline"/>
        </w:rPr>
        <w:t>in</w:t>
      </w:r>
      <w:r>
        <w:rPr>
          <w:spacing w:val="-1"/>
          <w:vertAlign w:val="baseline"/>
        </w:rPr>
        <w:t> </w:t>
      </w:r>
      <w:r>
        <w:rPr>
          <w:vertAlign w:val="baseline"/>
        </w:rPr>
        <w:t>2016 to 17.1% in</w:t>
      </w:r>
      <w:r>
        <w:rPr>
          <w:spacing w:val="-4"/>
          <w:vertAlign w:val="baseline"/>
        </w:rPr>
        <w:t> </w:t>
      </w:r>
      <w:r>
        <w:rPr>
          <w:vertAlign w:val="baseline"/>
        </w:rPr>
        <w:t>2018.</w:t>
      </w:r>
    </w:p>
    <w:p>
      <w:pPr>
        <w:pStyle w:val="BodyText"/>
        <w:spacing w:line="259" w:lineRule="auto" w:before="159"/>
        <w:ind w:right="1467"/>
      </w:pPr>
      <w:r>
        <w:rPr/>
        <w:t>Low consumpfion</w:t>
      </w:r>
      <w:r>
        <w:rPr>
          <w:spacing w:val="-2"/>
        </w:rPr>
        <w:t> </w:t>
      </w:r>
      <w:r>
        <w:rPr/>
        <w:t>of fruits</w:t>
      </w:r>
      <w:r>
        <w:rPr>
          <w:spacing w:val="-1"/>
        </w:rPr>
        <w:t> </w:t>
      </w:r>
      <w:r>
        <w:rPr/>
        <w:t>and vegetables</w:t>
      </w:r>
      <w:r>
        <w:rPr>
          <w:spacing w:val="-1"/>
        </w:rPr>
        <w:t> </w:t>
      </w:r>
      <w:r>
        <w:rPr/>
        <w:t>and high intake</w:t>
      </w:r>
      <w:r>
        <w:rPr>
          <w:spacing w:val="-1"/>
        </w:rPr>
        <w:t> </w:t>
      </w:r>
      <w:r>
        <w:rPr/>
        <w:t>of sugary drinks contribute to poor nutrifion, obesity, diabetes, heart disease, and other chronic condifions. Addressing sugar-sweetened beverage consumpfion</w:t>
      </w:r>
      <w:r>
        <w:rPr>
          <w:spacing w:val="-7"/>
        </w:rPr>
        <w:t> </w:t>
      </w:r>
      <w:r>
        <w:rPr/>
        <w:t>is</w:t>
      </w:r>
      <w:r>
        <w:rPr>
          <w:spacing w:val="-8"/>
        </w:rPr>
        <w:t> </w:t>
      </w:r>
      <w:r>
        <w:rPr/>
        <w:t>important</w:t>
      </w:r>
      <w:r>
        <w:rPr>
          <w:spacing w:val="-10"/>
        </w:rPr>
        <w:t> </w:t>
      </w:r>
      <w:r>
        <w:rPr/>
        <w:t>because</w:t>
      </w:r>
      <w:r>
        <w:rPr>
          <w:spacing w:val="-5"/>
        </w:rPr>
        <w:t> </w:t>
      </w:r>
      <w:r>
        <w:rPr/>
        <w:t>studies</w:t>
      </w:r>
      <w:r>
        <w:rPr>
          <w:spacing w:val="-6"/>
        </w:rPr>
        <w:t> </w:t>
      </w:r>
      <w:r>
        <w:rPr/>
        <w:t>have</w:t>
      </w:r>
      <w:r>
        <w:rPr>
          <w:spacing w:val="-5"/>
        </w:rPr>
        <w:t> </w:t>
      </w:r>
      <w:r>
        <w:rPr/>
        <w:t>found</w:t>
      </w:r>
      <w:r>
        <w:rPr>
          <w:spacing w:val="-7"/>
        </w:rPr>
        <w:t> </w:t>
      </w:r>
      <w:r>
        <w:rPr/>
        <w:t>that</w:t>
      </w:r>
      <w:r>
        <w:rPr>
          <w:spacing w:val="-6"/>
        </w:rPr>
        <w:t> </w:t>
      </w:r>
      <w:r>
        <w:rPr/>
        <w:t>frequently</w:t>
      </w:r>
      <w:r>
        <w:rPr>
          <w:spacing w:val="-5"/>
        </w:rPr>
        <w:t> </w:t>
      </w:r>
      <w:r>
        <w:rPr/>
        <w:t>drinking</w:t>
      </w:r>
      <w:r>
        <w:rPr>
          <w:spacing w:val="-6"/>
        </w:rPr>
        <w:t> </w:t>
      </w:r>
      <w:r>
        <w:rPr/>
        <w:t>these</w:t>
      </w:r>
      <w:r>
        <w:rPr>
          <w:spacing w:val="-5"/>
        </w:rPr>
        <w:t> </w:t>
      </w:r>
      <w:r>
        <w:rPr/>
        <w:t>beverages</w:t>
      </w:r>
      <w:r>
        <w:rPr>
          <w:spacing w:val="-6"/>
        </w:rPr>
        <w:t> </w:t>
      </w:r>
      <w:r>
        <w:rPr/>
        <w:t>is</w:t>
      </w:r>
      <w:r>
        <w:rPr>
          <w:spacing w:val="-6"/>
        </w:rPr>
        <w:t> </w:t>
      </w:r>
      <w:r>
        <w:rPr/>
        <w:t>linked to weight gain, tooth decay and cavifies, heart disease, stroke, and type 2 diabetes in adults</w:t>
      </w:r>
      <w:hyperlink w:history="true" w:anchor="_bookmark20">
        <w:r>
          <w:rPr/>
          <w:t>.</w:t>
        </w:r>
        <w:r>
          <w:rPr>
            <w:vertAlign w:val="superscript"/>
          </w:rPr>
          <w:t>52</w:t>
        </w:r>
      </w:hyperlink>
      <w:r>
        <w:rPr>
          <w:vertAlign w:val="baseline"/>
        </w:rPr>
        <w:t> When access to healthy foods is limited, especially for lower-income populafions, residents are more likely to develop diet-related illnesses, increasing healthcare costs and reducing overall community health and quality of life</w:t>
      </w:r>
      <w:hyperlink w:history="true" w:anchor="_bookmark21">
        <w:r>
          <w:rPr>
            <w:vertAlign w:val="baseline"/>
          </w:rPr>
          <w:t>.</w:t>
        </w:r>
        <w:r>
          <w:rPr>
            <w:vertAlign w:val="superscript"/>
          </w:rPr>
          <w:t>53</w:t>
        </w:r>
      </w:hyperlink>
    </w:p>
    <w:p>
      <w:pPr>
        <w:pStyle w:val="BodyText"/>
        <w:spacing w:line="259" w:lineRule="auto" w:before="158"/>
        <w:ind w:right="1467"/>
      </w:pPr>
      <w:r>
        <w:rPr>
          <w:b/>
          <w:i/>
        </w:rPr>
        <w:t>Social</w:t>
      </w:r>
      <w:r>
        <w:rPr>
          <w:b/>
          <w:i/>
          <w:spacing w:val="-7"/>
        </w:rPr>
        <w:t> </w:t>
      </w:r>
      <w:r>
        <w:rPr>
          <w:b/>
          <w:i/>
        </w:rPr>
        <w:t>and</w:t>
      </w:r>
      <w:r>
        <w:rPr>
          <w:b/>
          <w:i/>
          <w:spacing w:val="-7"/>
        </w:rPr>
        <w:t> </w:t>
      </w:r>
      <w:r>
        <w:rPr>
          <w:b/>
          <w:i/>
        </w:rPr>
        <w:t>Community</w:t>
      </w:r>
      <w:r>
        <w:rPr>
          <w:b/>
          <w:i/>
          <w:spacing w:val="-9"/>
        </w:rPr>
        <w:t> </w:t>
      </w:r>
      <w:r>
        <w:rPr>
          <w:b/>
          <w:i/>
        </w:rPr>
        <w:t>Context</w:t>
      </w:r>
      <w:r>
        <w:rPr>
          <w:b/>
          <w:i/>
          <w:spacing w:val="-5"/>
        </w:rPr>
        <w:t> </w:t>
      </w:r>
      <w:r>
        <w:rPr>
          <w:b/>
          <w:i/>
        </w:rPr>
        <w:t>Domain</w:t>
      </w:r>
      <w:r>
        <w:rPr>
          <w:b/>
          <w:i/>
          <w:spacing w:val="-7"/>
        </w:rPr>
        <w:t> </w:t>
      </w:r>
      <w:r>
        <w:rPr>
          <w:b/>
          <w:i/>
        </w:rPr>
        <w:t>Summary:</w:t>
      </w:r>
      <w:r>
        <w:rPr>
          <w:b/>
          <w:i/>
          <w:spacing w:val="-7"/>
        </w:rPr>
        <w:t> </w:t>
      </w:r>
      <w:r>
        <w:rPr/>
        <w:t>Yates</w:t>
      </w:r>
      <w:r>
        <w:rPr>
          <w:spacing w:val="-6"/>
        </w:rPr>
        <w:t> </w:t>
      </w:r>
      <w:r>
        <w:rPr/>
        <w:t>County</w:t>
      </w:r>
      <w:r>
        <w:rPr>
          <w:spacing w:val="-5"/>
        </w:rPr>
        <w:t> </w:t>
      </w:r>
      <w:r>
        <w:rPr/>
        <w:t>is</w:t>
      </w:r>
      <w:r>
        <w:rPr>
          <w:spacing w:val="-8"/>
        </w:rPr>
        <w:t> </w:t>
      </w:r>
      <w:r>
        <w:rPr/>
        <w:t>experiencing</w:t>
      </w:r>
      <w:r>
        <w:rPr>
          <w:spacing w:val="-7"/>
        </w:rPr>
        <w:t> </w:t>
      </w:r>
      <w:r>
        <w:rPr/>
        <w:t>signiﬁcant</w:t>
      </w:r>
      <w:r>
        <w:rPr>
          <w:spacing w:val="-5"/>
        </w:rPr>
        <w:t> </w:t>
      </w:r>
      <w:r>
        <w:rPr/>
        <w:t>mental</w:t>
      </w:r>
      <w:r>
        <w:rPr>
          <w:spacing w:val="-6"/>
        </w:rPr>
        <w:t> </w:t>
      </w:r>
      <w:r>
        <w:rPr/>
        <w:t>and behavioral health challenges. Rates of poor mental health, depression, and suicide all exceed state averages, signaling rising stress, untreated mental health needs, and growing demand for services.</w:t>
      </w:r>
    </w:p>
    <w:p>
      <w:pPr>
        <w:pStyle w:val="BodyText"/>
        <w:spacing w:line="259" w:lineRule="auto"/>
        <w:ind w:right="1436"/>
      </w:pPr>
      <w:r>
        <w:rPr/>
        <w:t>Substance use concerns are also increasing, with sharp rises in overdose deaths involving non-opioid drugs,</w:t>
      </w:r>
      <w:r>
        <w:rPr>
          <w:spacing w:val="-4"/>
        </w:rPr>
        <w:t> </w:t>
      </w:r>
      <w:r>
        <w:rPr/>
        <w:t>despite</w:t>
      </w:r>
      <w:r>
        <w:rPr>
          <w:spacing w:val="-7"/>
        </w:rPr>
        <w:t> </w:t>
      </w:r>
      <w:r>
        <w:rPr/>
        <w:t>overall</w:t>
      </w:r>
      <w:r>
        <w:rPr>
          <w:spacing w:val="-5"/>
        </w:rPr>
        <w:t> </w:t>
      </w:r>
      <w:r>
        <w:rPr/>
        <w:t>rates</w:t>
      </w:r>
      <w:r>
        <w:rPr>
          <w:spacing w:val="-7"/>
        </w:rPr>
        <w:t> </w:t>
      </w:r>
      <w:r>
        <w:rPr/>
        <w:t>remaining</w:t>
      </w:r>
      <w:r>
        <w:rPr>
          <w:spacing w:val="-6"/>
        </w:rPr>
        <w:t> </w:t>
      </w:r>
      <w:r>
        <w:rPr/>
        <w:t>below</w:t>
      </w:r>
      <w:r>
        <w:rPr>
          <w:spacing w:val="-4"/>
        </w:rPr>
        <w:t> </w:t>
      </w:r>
      <w:r>
        <w:rPr/>
        <w:t>the</w:t>
      </w:r>
      <w:r>
        <w:rPr>
          <w:spacing w:val="-4"/>
        </w:rPr>
        <w:t> </w:t>
      </w:r>
      <w:r>
        <w:rPr/>
        <w:t>New</w:t>
      </w:r>
      <w:r>
        <w:rPr>
          <w:spacing w:val="-7"/>
        </w:rPr>
        <w:t> </w:t>
      </w:r>
      <w:r>
        <w:rPr/>
        <w:t>York</w:t>
      </w:r>
      <w:r>
        <w:rPr>
          <w:spacing w:val="-4"/>
        </w:rPr>
        <w:t> </w:t>
      </w:r>
      <w:r>
        <w:rPr/>
        <w:t>State</w:t>
      </w:r>
      <w:r>
        <w:rPr>
          <w:spacing w:val="-4"/>
        </w:rPr>
        <w:t> </w:t>
      </w:r>
      <w:r>
        <w:rPr/>
        <w:t>average.</w:t>
      </w:r>
      <w:r>
        <w:rPr>
          <w:spacing w:val="-5"/>
        </w:rPr>
        <w:t> </w:t>
      </w:r>
      <w:r>
        <w:rPr/>
        <w:t>Risk</w:t>
      </w:r>
      <w:r>
        <w:rPr>
          <w:spacing w:val="-4"/>
        </w:rPr>
        <w:t> </w:t>
      </w:r>
      <w:r>
        <w:rPr/>
        <w:t>behaviors</w:t>
      </w:r>
      <w:r>
        <w:rPr>
          <w:spacing w:val="-5"/>
        </w:rPr>
        <w:t> </w:t>
      </w:r>
      <w:r>
        <w:rPr/>
        <w:t>such</w:t>
      </w:r>
      <w:r>
        <w:rPr>
          <w:spacing w:val="-5"/>
        </w:rPr>
        <w:t> </w:t>
      </w:r>
      <w:r>
        <w:rPr/>
        <w:t>as</w:t>
      </w:r>
      <w:r>
        <w:rPr>
          <w:spacing w:val="-7"/>
        </w:rPr>
        <w:t> </w:t>
      </w:r>
      <w:r>
        <w:rPr/>
        <w:t>smoking and</w:t>
      </w:r>
      <w:r>
        <w:rPr>
          <w:spacing w:val="-6"/>
        </w:rPr>
        <w:t> </w:t>
      </w:r>
      <w:r>
        <w:rPr/>
        <w:t>heavy</w:t>
      </w:r>
      <w:r>
        <w:rPr>
          <w:spacing w:val="-7"/>
        </w:rPr>
        <w:t> </w:t>
      </w:r>
      <w:r>
        <w:rPr/>
        <w:t>drinking</w:t>
      </w:r>
      <w:r>
        <w:rPr>
          <w:spacing w:val="-6"/>
        </w:rPr>
        <w:t> </w:t>
      </w:r>
      <w:r>
        <w:rPr/>
        <w:t>confinue</w:t>
      </w:r>
      <w:r>
        <w:rPr>
          <w:spacing w:val="-5"/>
        </w:rPr>
        <w:t> </w:t>
      </w:r>
      <w:r>
        <w:rPr/>
        <w:t>to</w:t>
      </w:r>
      <w:r>
        <w:rPr>
          <w:spacing w:val="-4"/>
        </w:rPr>
        <w:t> </w:t>
      </w:r>
      <w:r>
        <w:rPr/>
        <w:t>contribute</w:t>
      </w:r>
      <w:r>
        <w:rPr>
          <w:spacing w:val="-5"/>
        </w:rPr>
        <w:t> </w:t>
      </w:r>
      <w:r>
        <w:rPr/>
        <w:t>to</w:t>
      </w:r>
      <w:r>
        <w:rPr>
          <w:spacing w:val="-5"/>
        </w:rPr>
        <w:t> </w:t>
      </w:r>
      <w:r>
        <w:rPr/>
        <w:t>preventable</w:t>
      </w:r>
      <w:r>
        <w:rPr>
          <w:spacing w:val="-5"/>
        </w:rPr>
        <w:t> </w:t>
      </w:r>
      <w:r>
        <w:rPr/>
        <w:t>health</w:t>
      </w:r>
      <w:r>
        <w:rPr>
          <w:spacing w:val="-7"/>
        </w:rPr>
        <w:t> </w:t>
      </w:r>
      <w:r>
        <w:rPr/>
        <w:t>problems,</w:t>
      </w:r>
      <w:r>
        <w:rPr>
          <w:spacing w:val="-8"/>
        </w:rPr>
        <w:t> </w:t>
      </w:r>
      <w:r>
        <w:rPr/>
        <w:t>while</w:t>
      </w:r>
      <w:r>
        <w:rPr>
          <w:spacing w:val="-9"/>
        </w:rPr>
        <w:t> </w:t>
      </w:r>
      <w:r>
        <w:rPr/>
        <w:t>mixed</w:t>
      </w:r>
      <w:r>
        <w:rPr>
          <w:spacing w:val="-6"/>
        </w:rPr>
        <w:t> </w:t>
      </w:r>
      <w:r>
        <w:rPr/>
        <w:t>trends</w:t>
      </w:r>
      <w:r>
        <w:rPr>
          <w:spacing w:val="-6"/>
        </w:rPr>
        <w:t> </w:t>
      </w:r>
      <w:r>
        <w:rPr/>
        <w:t>in</w:t>
      </w:r>
      <w:r>
        <w:rPr>
          <w:spacing w:val="-6"/>
        </w:rPr>
        <w:t> </w:t>
      </w:r>
      <w:r>
        <w:rPr/>
        <w:t>healthy eafing and persistent impacts of adverse childhood experiences further underscore ongoing vulnerabilifies. Together, these indicators highlight mental health, substance use, and related social factors as crifical priorifies for improving community well-being.</w:t>
      </w:r>
    </w:p>
    <w:p>
      <w:pPr>
        <w:pStyle w:val="Heading2"/>
        <w:spacing w:before="160"/>
        <w:rPr>
          <w:i/>
        </w:rPr>
      </w:pPr>
      <w:r>
        <w:rPr>
          <w:i/>
        </w:rPr>
        <w:t>Domain:</w:t>
      </w:r>
      <w:r>
        <w:rPr>
          <w:i/>
          <w:spacing w:val="-7"/>
        </w:rPr>
        <w:t> </w:t>
      </w:r>
      <w:r>
        <w:rPr>
          <w:i/>
        </w:rPr>
        <w:t>Neighborhood</w:t>
      </w:r>
      <w:r>
        <w:rPr>
          <w:i/>
          <w:spacing w:val="-4"/>
        </w:rPr>
        <w:t> </w:t>
      </w:r>
      <w:r>
        <w:rPr>
          <w:i/>
        </w:rPr>
        <w:t>and</w:t>
      </w:r>
      <w:r>
        <w:rPr>
          <w:i/>
          <w:spacing w:val="-6"/>
        </w:rPr>
        <w:t> </w:t>
      </w:r>
      <w:r>
        <w:rPr>
          <w:i/>
        </w:rPr>
        <w:t>Built</w:t>
      </w:r>
      <w:r>
        <w:rPr>
          <w:i/>
          <w:spacing w:val="-4"/>
        </w:rPr>
        <w:t> </w:t>
      </w:r>
      <w:r>
        <w:rPr>
          <w:i/>
          <w:spacing w:val="-2"/>
        </w:rPr>
        <w:t>Environment</w:t>
      </w:r>
    </w:p>
    <w:p>
      <w:pPr>
        <w:pStyle w:val="BodyText"/>
        <w:spacing w:line="259" w:lineRule="auto" w:before="186"/>
        <w:ind w:right="1840"/>
        <w:jc w:val="both"/>
      </w:pPr>
      <w:r>
        <w:rPr/>
        <w:t>Regular</w:t>
      </w:r>
      <w:r>
        <w:rPr>
          <w:spacing w:val="-2"/>
        </w:rPr>
        <w:t> </w:t>
      </w:r>
      <w:r>
        <w:rPr/>
        <w:t>physical</w:t>
      </w:r>
      <w:r>
        <w:rPr>
          <w:spacing w:val="-2"/>
        </w:rPr>
        <w:t> </w:t>
      </w:r>
      <w:r>
        <w:rPr/>
        <w:t>acfivity</w:t>
      </w:r>
      <w:r>
        <w:rPr>
          <w:spacing w:val="-3"/>
        </w:rPr>
        <w:t> </w:t>
      </w:r>
      <w:r>
        <w:rPr/>
        <w:t>oﬀers</w:t>
      </w:r>
      <w:r>
        <w:rPr>
          <w:spacing w:val="-2"/>
        </w:rPr>
        <w:t> </w:t>
      </w:r>
      <w:r>
        <w:rPr/>
        <w:t>wide-ranging</w:t>
      </w:r>
      <w:r>
        <w:rPr>
          <w:spacing w:val="-2"/>
        </w:rPr>
        <w:t> </w:t>
      </w:r>
      <w:r>
        <w:rPr/>
        <w:t>beneﬁts</w:t>
      </w:r>
      <w:r>
        <w:rPr>
          <w:spacing w:val="-2"/>
        </w:rPr>
        <w:t> </w:t>
      </w:r>
      <w:r>
        <w:rPr/>
        <w:t>at</w:t>
      </w:r>
      <w:r>
        <w:rPr>
          <w:spacing w:val="-2"/>
        </w:rPr>
        <w:t> </w:t>
      </w:r>
      <w:r>
        <w:rPr/>
        <w:t>every</w:t>
      </w:r>
      <w:r>
        <w:rPr>
          <w:spacing w:val="-3"/>
        </w:rPr>
        <w:t> </w:t>
      </w:r>
      <w:r>
        <w:rPr/>
        <w:t>age.</w:t>
      </w:r>
      <w:r>
        <w:rPr>
          <w:spacing w:val="-2"/>
        </w:rPr>
        <w:t> </w:t>
      </w:r>
      <w:r>
        <w:rPr/>
        <w:t>It</w:t>
      </w:r>
      <w:r>
        <w:rPr>
          <w:spacing w:val="-1"/>
        </w:rPr>
        <w:t> </w:t>
      </w:r>
      <w:r>
        <w:rPr/>
        <w:t>lowers</w:t>
      </w:r>
      <w:r>
        <w:rPr>
          <w:spacing w:val="-2"/>
        </w:rPr>
        <w:t> </w:t>
      </w:r>
      <w:r>
        <w:rPr/>
        <w:t>the</w:t>
      </w:r>
      <w:r>
        <w:rPr>
          <w:spacing w:val="-1"/>
        </w:rPr>
        <w:t> </w:t>
      </w:r>
      <w:r>
        <w:rPr/>
        <w:t>risk</w:t>
      </w:r>
      <w:r>
        <w:rPr>
          <w:spacing w:val="-1"/>
        </w:rPr>
        <w:t> </w:t>
      </w:r>
      <w:r>
        <w:rPr/>
        <w:t>of</w:t>
      </w:r>
      <w:r>
        <w:rPr>
          <w:spacing w:val="-4"/>
        </w:rPr>
        <w:t> </w:t>
      </w:r>
      <w:r>
        <w:rPr/>
        <w:t>major</w:t>
      </w:r>
      <w:r>
        <w:rPr>
          <w:spacing w:val="-4"/>
        </w:rPr>
        <w:t> </w:t>
      </w:r>
      <w:r>
        <w:rPr/>
        <w:t>chronic diseases,</w:t>
      </w:r>
      <w:r>
        <w:rPr>
          <w:spacing w:val="-5"/>
        </w:rPr>
        <w:t> </w:t>
      </w:r>
      <w:r>
        <w:rPr/>
        <w:t>including</w:t>
      </w:r>
      <w:r>
        <w:rPr>
          <w:spacing w:val="-7"/>
        </w:rPr>
        <w:t> </w:t>
      </w:r>
      <w:r>
        <w:rPr/>
        <w:t>heart</w:t>
      </w:r>
      <w:r>
        <w:rPr>
          <w:spacing w:val="-6"/>
        </w:rPr>
        <w:t> </w:t>
      </w:r>
      <w:r>
        <w:rPr/>
        <w:t>disease,</w:t>
      </w:r>
      <w:r>
        <w:rPr>
          <w:spacing w:val="-8"/>
        </w:rPr>
        <w:t> </w:t>
      </w:r>
      <w:r>
        <w:rPr/>
        <w:t>stroke,</w:t>
      </w:r>
      <w:r>
        <w:rPr>
          <w:spacing w:val="-8"/>
        </w:rPr>
        <w:t> </w:t>
      </w:r>
      <w:r>
        <w:rPr/>
        <w:t>type</w:t>
      </w:r>
      <w:r>
        <w:rPr>
          <w:spacing w:val="-8"/>
        </w:rPr>
        <w:t> </w:t>
      </w:r>
      <w:r>
        <w:rPr/>
        <w:t>2</w:t>
      </w:r>
      <w:r>
        <w:rPr>
          <w:spacing w:val="-5"/>
        </w:rPr>
        <w:t> </w:t>
      </w:r>
      <w:r>
        <w:rPr/>
        <w:t>diabetes,</w:t>
      </w:r>
      <w:r>
        <w:rPr>
          <w:spacing w:val="-5"/>
        </w:rPr>
        <w:t> </w:t>
      </w:r>
      <w:r>
        <w:rPr/>
        <w:t>and</w:t>
      </w:r>
      <w:r>
        <w:rPr>
          <w:spacing w:val="-6"/>
        </w:rPr>
        <w:t> </w:t>
      </w:r>
      <w:r>
        <w:rPr/>
        <w:t>several</w:t>
      </w:r>
      <w:r>
        <w:rPr>
          <w:spacing w:val="-6"/>
        </w:rPr>
        <w:t> </w:t>
      </w:r>
      <w:r>
        <w:rPr/>
        <w:t>cancers,</w:t>
      </w:r>
      <w:r>
        <w:rPr>
          <w:spacing w:val="-5"/>
        </w:rPr>
        <w:t> </w:t>
      </w:r>
      <w:r>
        <w:rPr/>
        <w:t>and</w:t>
      </w:r>
      <w:r>
        <w:rPr>
          <w:spacing w:val="-7"/>
        </w:rPr>
        <w:t> </w:t>
      </w:r>
      <w:r>
        <w:rPr/>
        <w:t>supports</w:t>
      </w:r>
      <w:r>
        <w:rPr>
          <w:spacing w:val="-6"/>
        </w:rPr>
        <w:t> </w:t>
      </w:r>
      <w:r>
        <w:rPr/>
        <w:t>stronger bones and muscles, befter sleep, improved mental health, and longer life expectancy.</w:t>
      </w:r>
    </w:p>
    <w:p>
      <w:pPr>
        <w:pStyle w:val="BodyText"/>
        <w:spacing w:line="259" w:lineRule="auto" w:before="159"/>
        <w:ind w:right="1467"/>
      </w:pPr>
      <w:r>
        <w:rPr/>
        <w:t>Access to physical acfivity is not equal. Structural barriers such as unsafe neighborhoods, limited accessible facilifies, or</w:t>
      </w:r>
      <w:r>
        <w:rPr>
          <w:spacing w:val="-1"/>
        </w:rPr>
        <w:t> </w:t>
      </w:r>
      <w:r>
        <w:rPr/>
        <w:t>environments not designed for diverse needs shape how people can be acfive. Social</w:t>
      </w:r>
      <w:r>
        <w:rPr>
          <w:spacing w:val="-6"/>
        </w:rPr>
        <w:t> </w:t>
      </w:r>
      <w:r>
        <w:rPr/>
        <w:t>factors</w:t>
      </w:r>
      <w:r>
        <w:rPr>
          <w:spacing w:val="-6"/>
        </w:rPr>
        <w:t> </w:t>
      </w:r>
      <w:r>
        <w:rPr/>
        <w:t>like</w:t>
      </w:r>
      <w:r>
        <w:rPr>
          <w:spacing w:val="-5"/>
        </w:rPr>
        <w:t> </w:t>
      </w:r>
      <w:r>
        <w:rPr/>
        <w:t>income,</w:t>
      </w:r>
      <w:r>
        <w:rPr>
          <w:spacing w:val="-5"/>
        </w:rPr>
        <w:t> </w:t>
      </w:r>
      <w:r>
        <w:rPr/>
        <w:t>educafion,</w:t>
      </w:r>
      <w:r>
        <w:rPr>
          <w:spacing w:val="-5"/>
        </w:rPr>
        <w:t> </w:t>
      </w:r>
      <w:r>
        <w:rPr/>
        <w:t>community</w:t>
      </w:r>
      <w:r>
        <w:rPr>
          <w:spacing w:val="-5"/>
        </w:rPr>
        <w:t> </w:t>
      </w:r>
      <w:r>
        <w:rPr/>
        <w:t>support,</w:t>
      </w:r>
      <w:r>
        <w:rPr>
          <w:spacing w:val="-6"/>
        </w:rPr>
        <w:t> </w:t>
      </w:r>
      <w:r>
        <w:rPr/>
        <w:t>and</w:t>
      </w:r>
      <w:r>
        <w:rPr>
          <w:spacing w:val="-8"/>
        </w:rPr>
        <w:t> </w:t>
      </w:r>
      <w:r>
        <w:rPr/>
        <w:t>cultural</w:t>
      </w:r>
      <w:r>
        <w:rPr>
          <w:spacing w:val="-6"/>
        </w:rPr>
        <w:t> </w:t>
      </w:r>
      <w:r>
        <w:rPr/>
        <w:t>aftitudes</w:t>
      </w:r>
      <w:r>
        <w:rPr>
          <w:spacing w:val="-6"/>
        </w:rPr>
        <w:t> </w:t>
      </w:r>
      <w:r>
        <w:rPr/>
        <w:t>also</w:t>
      </w:r>
      <w:r>
        <w:rPr>
          <w:spacing w:val="-5"/>
        </w:rPr>
        <w:t> </w:t>
      </w:r>
      <w:r>
        <w:rPr/>
        <w:t>inﬂuence</w:t>
      </w:r>
      <w:r>
        <w:rPr>
          <w:spacing w:val="-5"/>
        </w:rPr>
        <w:t> </w:t>
      </w:r>
      <w:r>
        <w:rPr/>
        <w:t>acfivity levels. Physical environment features, including parks, safe sidewalks, bike lanes, and walkable neighborhood layouts, also play a major role.</w:t>
      </w:r>
    </w:p>
    <w:p>
      <w:pPr>
        <w:pStyle w:val="BodyText"/>
        <w:spacing w:line="259" w:lineRule="auto" w:before="158"/>
        <w:ind w:right="1467"/>
      </w:pPr>
      <w:r>
        <w:rPr/>
        <w:t>Acfive</w:t>
      </w:r>
      <w:r>
        <w:rPr>
          <w:spacing w:val="-5"/>
        </w:rPr>
        <w:t> </w:t>
      </w:r>
      <w:r>
        <w:rPr/>
        <w:t>transportafion,</w:t>
      </w:r>
      <w:r>
        <w:rPr>
          <w:spacing w:val="-4"/>
        </w:rPr>
        <w:t> </w:t>
      </w:r>
      <w:r>
        <w:rPr/>
        <w:t>such</w:t>
      </w:r>
      <w:r>
        <w:rPr>
          <w:spacing w:val="-9"/>
        </w:rPr>
        <w:t> </w:t>
      </w:r>
      <w:r>
        <w:rPr/>
        <w:t>as</w:t>
      </w:r>
      <w:r>
        <w:rPr>
          <w:spacing w:val="-4"/>
        </w:rPr>
        <w:t> </w:t>
      </w:r>
      <w:r>
        <w:rPr/>
        <w:t>walking</w:t>
      </w:r>
      <w:r>
        <w:rPr>
          <w:spacing w:val="-7"/>
        </w:rPr>
        <w:t> </w:t>
      </w:r>
      <w:r>
        <w:rPr/>
        <w:t>or</w:t>
      </w:r>
      <w:r>
        <w:rPr>
          <w:spacing w:val="-4"/>
        </w:rPr>
        <w:t> </w:t>
      </w:r>
      <w:r>
        <w:rPr/>
        <w:t>biking,</w:t>
      </w:r>
      <w:r>
        <w:rPr>
          <w:spacing w:val="-6"/>
        </w:rPr>
        <w:t> </w:t>
      </w:r>
      <w:r>
        <w:rPr/>
        <w:t>to</w:t>
      </w:r>
      <w:r>
        <w:rPr>
          <w:spacing w:val="-5"/>
        </w:rPr>
        <w:t> </w:t>
      </w:r>
      <w:r>
        <w:rPr/>
        <w:t>reach</w:t>
      </w:r>
      <w:r>
        <w:rPr>
          <w:spacing w:val="-5"/>
        </w:rPr>
        <w:t> </w:t>
      </w:r>
      <w:r>
        <w:rPr/>
        <w:t>daily</w:t>
      </w:r>
      <w:r>
        <w:rPr>
          <w:spacing w:val="-3"/>
        </w:rPr>
        <w:t> </w:t>
      </w:r>
      <w:r>
        <w:rPr/>
        <w:t>desfinafions</w:t>
      </w:r>
      <w:r>
        <w:rPr>
          <w:spacing w:val="-4"/>
        </w:rPr>
        <w:t> </w:t>
      </w:r>
      <w:r>
        <w:rPr/>
        <w:t>can</w:t>
      </w:r>
      <w:r>
        <w:rPr>
          <w:spacing w:val="-5"/>
        </w:rPr>
        <w:t> </w:t>
      </w:r>
      <w:r>
        <w:rPr/>
        <w:t>help</w:t>
      </w:r>
      <w:r>
        <w:rPr>
          <w:spacing w:val="-4"/>
        </w:rPr>
        <w:t> </w:t>
      </w:r>
      <w:r>
        <w:rPr/>
        <w:t>integrate</w:t>
      </w:r>
      <w:r>
        <w:rPr>
          <w:spacing w:val="-3"/>
        </w:rPr>
        <w:t> </w:t>
      </w:r>
      <w:r>
        <w:rPr/>
        <w:t>physical acfivity into everyday roufines, but it requires safe, well-connected routes and nearby desfinafions.</w:t>
      </w:r>
    </w:p>
    <w:p>
      <w:pPr>
        <w:pStyle w:val="BodyText"/>
        <w:spacing w:line="259" w:lineRule="auto" w:before="162"/>
        <w:ind w:right="1467"/>
      </w:pPr>
      <w:r>
        <w:rPr/>
        <w:t>Injuries are a leading cause of premature death. Motor vehicle crashes, falls, and overdoses are major contributors,</w:t>
      </w:r>
      <w:r>
        <w:rPr>
          <w:spacing w:val="-6"/>
        </w:rPr>
        <w:t> </w:t>
      </w:r>
      <w:r>
        <w:rPr/>
        <w:t>with</w:t>
      </w:r>
      <w:r>
        <w:rPr>
          <w:spacing w:val="-5"/>
        </w:rPr>
        <w:t> </w:t>
      </w:r>
      <w:r>
        <w:rPr/>
        <w:t>disparifies</w:t>
      </w:r>
      <w:r>
        <w:rPr>
          <w:spacing w:val="-4"/>
        </w:rPr>
        <w:t> </w:t>
      </w:r>
      <w:r>
        <w:rPr/>
        <w:t>aﬀecfing</w:t>
      </w:r>
      <w:r>
        <w:rPr>
          <w:spacing w:val="-4"/>
        </w:rPr>
        <w:t> </w:t>
      </w:r>
      <w:r>
        <w:rPr/>
        <w:t>racial</w:t>
      </w:r>
      <w:r>
        <w:rPr>
          <w:spacing w:val="-4"/>
        </w:rPr>
        <w:t> </w:t>
      </w:r>
      <w:r>
        <w:rPr/>
        <w:t>and</w:t>
      </w:r>
      <w:r>
        <w:rPr>
          <w:spacing w:val="-7"/>
        </w:rPr>
        <w:t> </w:t>
      </w:r>
      <w:r>
        <w:rPr/>
        <w:t>ethnic</w:t>
      </w:r>
      <w:r>
        <w:rPr>
          <w:spacing w:val="-3"/>
        </w:rPr>
        <w:t> </w:t>
      </w:r>
      <w:r>
        <w:rPr/>
        <w:t>minorifies,</w:t>
      </w:r>
      <w:r>
        <w:rPr>
          <w:spacing w:val="-6"/>
        </w:rPr>
        <w:t> </w:t>
      </w:r>
      <w:r>
        <w:rPr/>
        <w:t>older</w:t>
      </w:r>
      <w:r>
        <w:rPr>
          <w:spacing w:val="-7"/>
        </w:rPr>
        <w:t> </w:t>
      </w:r>
      <w:r>
        <w:rPr/>
        <w:t>adults,</w:t>
      </w:r>
      <w:r>
        <w:rPr>
          <w:spacing w:val="-3"/>
        </w:rPr>
        <w:t> </w:t>
      </w:r>
      <w:r>
        <w:rPr/>
        <w:t>and</w:t>
      </w:r>
      <w:r>
        <w:rPr>
          <w:spacing w:val="-5"/>
        </w:rPr>
        <w:t> </w:t>
      </w:r>
      <w:r>
        <w:rPr/>
        <w:t>workers</w:t>
      </w:r>
      <w:r>
        <w:rPr>
          <w:spacing w:val="-4"/>
        </w:rPr>
        <w:t> </w:t>
      </w:r>
      <w:r>
        <w:rPr/>
        <w:t>in</w:t>
      </w:r>
      <w:r>
        <w:rPr>
          <w:spacing w:val="-5"/>
        </w:rPr>
        <w:t> </w:t>
      </w:r>
      <w:r>
        <w:rPr/>
        <w:t>high-risk </w:t>
      </w:r>
      <w:r>
        <w:rPr>
          <w:spacing w:val="-2"/>
        </w:rPr>
        <w:t>occupafions.</w:t>
      </w:r>
    </w:p>
    <w:p>
      <w:pPr>
        <w:pStyle w:val="Heading3"/>
        <w:spacing w:before="157"/>
        <w:jc w:val="both"/>
      </w:pPr>
      <w:r>
        <w:rPr/>
        <w:t>Priority:</w:t>
      </w:r>
      <w:r>
        <w:rPr>
          <w:spacing w:val="-7"/>
        </w:rPr>
        <w:t> </w:t>
      </w:r>
      <w:r>
        <w:rPr/>
        <w:t>Opportunifies</w:t>
      </w:r>
      <w:r>
        <w:rPr>
          <w:spacing w:val="-6"/>
        </w:rPr>
        <w:t> </w:t>
      </w:r>
      <w:r>
        <w:rPr/>
        <w:t>for</w:t>
      </w:r>
      <w:r>
        <w:rPr>
          <w:spacing w:val="-4"/>
        </w:rPr>
        <w:t> </w:t>
      </w:r>
      <w:r>
        <w:rPr/>
        <w:t>Acfive</w:t>
      </w:r>
      <w:r>
        <w:rPr>
          <w:spacing w:val="-7"/>
        </w:rPr>
        <w:t> </w:t>
      </w:r>
      <w:r>
        <w:rPr/>
        <w:t>Transportafion</w:t>
      </w:r>
      <w:r>
        <w:rPr>
          <w:spacing w:val="-7"/>
        </w:rPr>
        <w:t> </w:t>
      </w:r>
      <w:r>
        <w:rPr/>
        <w:t>and</w:t>
      </w:r>
      <w:r>
        <w:rPr>
          <w:spacing w:val="-5"/>
        </w:rPr>
        <w:t> </w:t>
      </w:r>
      <w:r>
        <w:rPr/>
        <w:t>Physical</w:t>
      </w:r>
      <w:r>
        <w:rPr>
          <w:spacing w:val="-5"/>
        </w:rPr>
        <w:t> </w:t>
      </w:r>
      <w:r>
        <w:rPr>
          <w:spacing w:val="-2"/>
        </w:rPr>
        <w:t>Acfivity</w:t>
      </w:r>
    </w:p>
    <w:p>
      <w:pPr>
        <w:pStyle w:val="BodyText"/>
        <w:spacing w:line="259" w:lineRule="auto" w:before="184"/>
        <w:ind w:right="1436"/>
      </w:pPr>
      <w:r>
        <w:rPr/>
        <w:t>Focus groups report mixed experiences related to community amenifies and social infrastructure supporfing</w:t>
      </w:r>
      <w:r>
        <w:rPr>
          <w:spacing w:val="-3"/>
        </w:rPr>
        <w:t> </w:t>
      </w:r>
      <w:r>
        <w:rPr/>
        <w:t>health.</w:t>
      </w:r>
      <w:r>
        <w:rPr>
          <w:spacing w:val="-4"/>
        </w:rPr>
        <w:t> </w:t>
      </w:r>
      <w:r>
        <w:rPr/>
        <w:t>As</w:t>
      </w:r>
      <w:r>
        <w:rPr>
          <w:spacing w:val="-5"/>
        </w:rPr>
        <w:t> </w:t>
      </w:r>
      <w:r>
        <w:rPr/>
        <w:t>of</w:t>
      </w:r>
      <w:r>
        <w:rPr>
          <w:spacing w:val="-5"/>
        </w:rPr>
        <w:t> </w:t>
      </w:r>
      <w:r>
        <w:rPr/>
        <w:t>2024,</w:t>
      </w:r>
      <w:r>
        <w:rPr>
          <w:spacing w:val="-5"/>
        </w:rPr>
        <w:t> </w:t>
      </w:r>
      <w:r>
        <w:rPr/>
        <w:t>the</w:t>
      </w:r>
      <w:r>
        <w:rPr>
          <w:spacing w:val="-2"/>
        </w:rPr>
        <w:t> </w:t>
      </w:r>
      <w:r>
        <w:rPr/>
        <w:t>percentage</w:t>
      </w:r>
      <w:r>
        <w:rPr>
          <w:spacing w:val="-4"/>
        </w:rPr>
        <w:t> </w:t>
      </w:r>
      <w:r>
        <w:rPr/>
        <w:t>of</w:t>
      </w:r>
      <w:r>
        <w:rPr>
          <w:spacing w:val="-3"/>
        </w:rPr>
        <w:t> </w:t>
      </w:r>
      <w:r>
        <w:rPr/>
        <w:t>the</w:t>
      </w:r>
      <w:r>
        <w:rPr>
          <w:spacing w:val="-4"/>
        </w:rPr>
        <w:t> </w:t>
      </w:r>
      <w:r>
        <w:rPr/>
        <w:t>populafion</w:t>
      </w:r>
      <w:r>
        <w:rPr>
          <w:spacing w:val="-3"/>
        </w:rPr>
        <w:t> </w:t>
      </w:r>
      <w:r>
        <w:rPr/>
        <w:t>with</w:t>
      </w:r>
      <w:r>
        <w:rPr>
          <w:spacing w:val="-3"/>
        </w:rPr>
        <w:t> </w:t>
      </w:r>
      <w:r>
        <w:rPr/>
        <w:t>adequate</w:t>
      </w:r>
      <w:r>
        <w:rPr>
          <w:spacing w:val="-5"/>
        </w:rPr>
        <w:t> </w:t>
      </w:r>
      <w:r>
        <w:rPr/>
        <w:t>access</w:t>
      </w:r>
      <w:r>
        <w:rPr>
          <w:spacing w:val="-3"/>
        </w:rPr>
        <w:t> </w:t>
      </w:r>
      <w:r>
        <w:rPr/>
        <w:t>to</w:t>
      </w:r>
      <w:r>
        <w:rPr>
          <w:spacing w:val="-2"/>
        </w:rPr>
        <w:t> </w:t>
      </w:r>
      <w:r>
        <w:rPr/>
        <w:t>physical</w:t>
      </w:r>
      <w:r>
        <w:rPr>
          <w:spacing w:val="-5"/>
        </w:rPr>
        <w:t> </w:t>
      </w:r>
      <w:r>
        <w:rPr/>
        <w:t>acfivity</w:t>
      </w:r>
    </w:p>
    <w:p>
      <w:pPr>
        <w:pStyle w:val="BodyText"/>
        <w:spacing w:before="46"/>
        <w:ind w:left="0"/>
        <w:rPr>
          <w:sz w:val="20"/>
        </w:rPr>
      </w:pPr>
      <w:r>
        <w:rPr>
          <w:sz w:val="20"/>
        </w:rPr>
        <mc:AlternateContent>
          <mc:Choice Requires="wps">
            <w:drawing>
              <wp:anchor distT="0" distB="0" distL="0" distR="0" allowOverlap="1" layoutInCell="1" locked="0" behindDoc="1" simplePos="0" relativeHeight="487603200">
                <wp:simplePos x="0" y="0"/>
                <wp:positionH relativeFrom="page">
                  <wp:posOffset>914400</wp:posOffset>
                </wp:positionH>
                <wp:positionV relativeFrom="paragraph">
                  <wp:posOffset>199482</wp:posOffset>
                </wp:positionV>
                <wp:extent cx="1828800" cy="9525"/>
                <wp:effectExtent l="0" t="0" r="0" b="0"/>
                <wp:wrapTopAndBottom/>
                <wp:docPr id="85" name="Graphic 85"/>
                <wp:cNvGraphicFramePr>
                  <a:graphicFrameLocks/>
                </wp:cNvGraphicFramePr>
                <a:graphic>
                  <a:graphicData uri="http://schemas.microsoft.com/office/word/2010/wordprocessingShape">
                    <wps:wsp>
                      <wps:cNvPr id="85" name="Graphic 85"/>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5.707255pt;width:144pt;height:.71pt;mso-position-horizontal-relative:page;mso-position-vertical-relative:paragraph;z-index:-15713280;mso-wrap-distance-left:0;mso-wrap-distance-right:0" id="docshape68" filled="true" fillcolor="#000000" stroked="false">
                <v:fill type="solid"/>
                <w10:wrap type="topAndBottom"/>
              </v:rect>
            </w:pict>
          </mc:Fallback>
        </mc:AlternateContent>
      </w:r>
    </w:p>
    <w:p>
      <w:pPr>
        <w:spacing w:line="243" w:lineRule="exact" w:before="102"/>
        <w:ind w:left="1440" w:right="0" w:firstLine="0"/>
        <w:jc w:val="left"/>
        <w:rPr>
          <w:sz w:val="20"/>
        </w:rPr>
      </w:pPr>
      <w:r>
        <w:rPr>
          <w:sz w:val="20"/>
          <w:vertAlign w:val="superscript"/>
        </w:rPr>
        <w:t>51</w:t>
      </w:r>
      <w:r>
        <w:rPr>
          <w:spacing w:val="-12"/>
          <w:sz w:val="20"/>
          <w:vertAlign w:val="baseline"/>
        </w:rPr>
        <w:t> </w:t>
      </w:r>
      <w:bookmarkStart w:name="_bookmark19" w:id="20"/>
      <w:bookmarkEnd w:id="20"/>
      <w:r>
        <w:rPr>
          <w:sz w:val="20"/>
          <w:vertAlign w:val="baseline"/>
        </w:rPr>
        <w:t>S</w:t>
      </w:r>
      <w:r>
        <w:rPr>
          <w:sz w:val="20"/>
          <w:vertAlign w:val="baseline"/>
        </w:rPr>
        <w:t>ource:</w:t>
      </w:r>
      <w:r>
        <w:rPr>
          <w:spacing w:val="-11"/>
          <w:sz w:val="20"/>
          <w:vertAlign w:val="baseline"/>
        </w:rPr>
        <w:t> </w:t>
      </w:r>
      <w:r>
        <w:rPr>
          <w:sz w:val="20"/>
          <w:vertAlign w:val="baseline"/>
        </w:rPr>
        <w:t>Behavior</w:t>
      </w:r>
      <w:r>
        <w:rPr>
          <w:spacing w:val="-9"/>
          <w:sz w:val="20"/>
          <w:vertAlign w:val="baseline"/>
        </w:rPr>
        <w:t> </w:t>
      </w:r>
      <w:r>
        <w:rPr>
          <w:sz w:val="20"/>
          <w:vertAlign w:val="baseline"/>
        </w:rPr>
        <w:t>Risk</w:t>
      </w:r>
      <w:r>
        <w:rPr>
          <w:spacing w:val="-11"/>
          <w:sz w:val="20"/>
          <w:vertAlign w:val="baseline"/>
        </w:rPr>
        <w:t> </w:t>
      </w:r>
      <w:r>
        <w:rPr>
          <w:sz w:val="20"/>
          <w:vertAlign w:val="baseline"/>
        </w:rPr>
        <w:t>Factor</w:t>
      </w:r>
      <w:r>
        <w:rPr>
          <w:spacing w:val="-9"/>
          <w:sz w:val="20"/>
          <w:vertAlign w:val="baseline"/>
        </w:rPr>
        <w:t> </w:t>
      </w:r>
      <w:r>
        <w:rPr>
          <w:sz w:val="20"/>
          <w:vertAlign w:val="baseline"/>
        </w:rPr>
        <w:t>Surveillance</w:t>
      </w:r>
      <w:r>
        <w:rPr>
          <w:spacing w:val="-11"/>
          <w:sz w:val="20"/>
          <w:vertAlign w:val="baseline"/>
        </w:rPr>
        <w:t> </w:t>
      </w:r>
      <w:r>
        <w:rPr>
          <w:sz w:val="20"/>
          <w:vertAlign w:val="baseline"/>
        </w:rPr>
        <w:t>System</w:t>
      </w:r>
      <w:r>
        <w:rPr>
          <w:spacing w:val="-12"/>
          <w:sz w:val="20"/>
          <w:vertAlign w:val="baseline"/>
        </w:rPr>
        <w:t> </w:t>
      </w:r>
      <w:r>
        <w:rPr>
          <w:sz w:val="20"/>
          <w:vertAlign w:val="baseline"/>
        </w:rPr>
        <w:t>(BRFSS),</w:t>
      </w:r>
      <w:r>
        <w:rPr>
          <w:spacing w:val="-10"/>
          <w:sz w:val="20"/>
          <w:vertAlign w:val="baseline"/>
        </w:rPr>
        <w:t> </w:t>
      </w:r>
      <w:r>
        <w:rPr>
          <w:spacing w:val="-4"/>
          <w:sz w:val="20"/>
          <w:vertAlign w:val="baseline"/>
        </w:rPr>
        <w:t>2021</w:t>
      </w:r>
    </w:p>
    <w:p>
      <w:pPr>
        <w:spacing w:line="243" w:lineRule="exact" w:before="0"/>
        <w:ind w:left="1440" w:right="0" w:firstLine="0"/>
        <w:jc w:val="left"/>
        <w:rPr>
          <w:sz w:val="20"/>
        </w:rPr>
      </w:pPr>
      <w:r>
        <w:rPr>
          <w:sz w:val="20"/>
          <w:vertAlign w:val="superscript"/>
        </w:rPr>
        <w:t>52</w:t>
      </w:r>
      <w:r>
        <w:rPr>
          <w:spacing w:val="-12"/>
          <w:sz w:val="20"/>
          <w:vertAlign w:val="baseline"/>
        </w:rPr>
        <w:t> </w:t>
      </w:r>
      <w:bookmarkStart w:name="_bookmark20" w:id="21"/>
      <w:bookmarkEnd w:id="21"/>
      <w:r>
        <w:rPr>
          <w:sz w:val="20"/>
          <w:vertAlign w:val="baseline"/>
        </w:rPr>
        <w:t>S</w:t>
      </w:r>
      <w:r>
        <w:rPr>
          <w:sz w:val="20"/>
          <w:vertAlign w:val="baseline"/>
        </w:rPr>
        <w:t>ource:</w:t>
      </w:r>
      <w:r>
        <w:rPr>
          <w:spacing w:val="-11"/>
          <w:sz w:val="20"/>
          <w:vertAlign w:val="baseline"/>
        </w:rPr>
        <w:t> </w:t>
      </w:r>
      <w:r>
        <w:rPr>
          <w:sz w:val="20"/>
          <w:vertAlign w:val="baseline"/>
        </w:rPr>
        <w:t>Behavior</w:t>
      </w:r>
      <w:r>
        <w:rPr>
          <w:spacing w:val="-9"/>
          <w:sz w:val="20"/>
          <w:vertAlign w:val="baseline"/>
        </w:rPr>
        <w:t> </w:t>
      </w:r>
      <w:r>
        <w:rPr>
          <w:sz w:val="20"/>
          <w:vertAlign w:val="baseline"/>
        </w:rPr>
        <w:t>Risk</w:t>
      </w:r>
      <w:r>
        <w:rPr>
          <w:spacing w:val="-11"/>
          <w:sz w:val="20"/>
          <w:vertAlign w:val="baseline"/>
        </w:rPr>
        <w:t> </w:t>
      </w:r>
      <w:r>
        <w:rPr>
          <w:sz w:val="20"/>
          <w:vertAlign w:val="baseline"/>
        </w:rPr>
        <w:t>Factor</w:t>
      </w:r>
      <w:r>
        <w:rPr>
          <w:spacing w:val="-9"/>
          <w:sz w:val="20"/>
          <w:vertAlign w:val="baseline"/>
        </w:rPr>
        <w:t> </w:t>
      </w:r>
      <w:r>
        <w:rPr>
          <w:sz w:val="20"/>
          <w:vertAlign w:val="baseline"/>
        </w:rPr>
        <w:t>Surveillance</w:t>
      </w:r>
      <w:r>
        <w:rPr>
          <w:spacing w:val="-11"/>
          <w:sz w:val="20"/>
          <w:vertAlign w:val="baseline"/>
        </w:rPr>
        <w:t> </w:t>
      </w:r>
      <w:r>
        <w:rPr>
          <w:sz w:val="20"/>
          <w:vertAlign w:val="baseline"/>
        </w:rPr>
        <w:t>System</w:t>
      </w:r>
      <w:r>
        <w:rPr>
          <w:spacing w:val="-12"/>
          <w:sz w:val="20"/>
          <w:vertAlign w:val="baseline"/>
        </w:rPr>
        <w:t> </w:t>
      </w:r>
      <w:r>
        <w:rPr>
          <w:sz w:val="20"/>
          <w:vertAlign w:val="baseline"/>
        </w:rPr>
        <w:t>(BRFSS),</w:t>
      </w:r>
      <w:r>
        <w:rPr>
          <w:spacing w:val="-10"/>
          <w:sz w:val="20"/>
          <w:vertAlign w:val="baseline"/>
        </w:rPr>
        <w:t> </w:t>
      </w:r>
      <w:r>
        <w:rPr>
          <w:spacing w:val="-4"/>
          <w:sz w:val="20"/>
          <w:vertAlign w:val="baseline"/>
        </w:rPr>
        <w:t>2021</w:t>
      </w:r>
    </w:p>
    <w:p>
      <w:pPr>
        <w:spacing w:before="1"/>
        <w:ind w:left="1440" w:right="0" w:firstLine="0"/>
        <w:jc w:val="left"/>
        <w:rPr>
          <w:sz w:val="20"/>
        </w:rPr>
      </w:pPr>
      <w:r>
        <w:rPr>
          <w:sz w:val="20"/>
          <w:vertAlign w:val="superscript"/>
        </w:rPr>
        <w:t>53</w:t>
      </w:r>
      <w:r>
        <w:rPr>
          <w:spacing w:val="-9"/>
          <w:sz w:val="20"/>
          <w:vertAlign w:val="baseline"/>
        </w:rPr>
        <w:t> </w:t>
      </w:r>
      <w:bookmarkStart w:name="_bookmark21" w:id="22"/>
      <w:bookmarkEnd w:id="22"/>
      <w:r>
        <w:rPr>
          <w:sz w:val="20"/>
          <w:vertAlign w:val="baseline"/>
        </w:rPr>
        <w:t>S</w:t>
      </w:r>
      <w:r>
        <w:rPr>
          <w:sz w:val="20"/>
          <w:vertAlign w:val="baseline"/>
        </w:rPr>
        <w:t>ource:</w:t>
      </w:r>
      <w:r>
        <w:rPr>
          <w:spacing w:val="-8"/>
          <w:sz w:val="20"/>
          <w:vertAlign w:val="baseline"/>
        </w:rPr>
        <w:t> </w:t>
      </w:r>
      <w:r>
        <w:rPr>
          <w:spacing w:val="-2"/>
          <w:sz w:val="20"/>
          <w:vertAlign w:val="baseline"/>
        </w:rPr>
        <w:t>hftps://</w:t>
      </w:r>
      <w:hyperlink r:id="rId31">
        <w:r>
          <w:rPr>
            <w:spacing w:val="-2"/>
            <w:sz w:val="20"/>
            <w:vertAlign w:val="baseline"/>
          </w:rPr>
          <w:t>www.cdc.gov/nutrifion/php/about/index.html</w:t>
        </w:r>
      </w:hyperlink>
    </w:p>
    <w:p>
      <w:pPr>
        <w:spacing w:after="0"/>
        <w:jc w:val="left"/>
        <w:rPr>
          <w:sz w:val="20"/>
        </w:rPr>
        <w:sectPr>
          <w:pgSz w:w="12240" w:h="15840"/>
          <w:pgMar w:header="161" w:footer="1223" w:top="1360" w:bottom="1420" w:left="0" w:right="0"/>
        </w:sectPr>
      </w:pPr>
    </w:p>
    <w:p>
      <w:pPr>
        <w:pStyle w:val="BodyText"/>
        <w:spacing w:line="259" w:lineRule="auto" w:before="64"/>
        <w:ind w:right="1467"/>
      </w:pPr>
      <w:r>
        <w:rPr/>
        <w:t>locafions is 44%. This has remained stable since 2022 but is well below the NYS average of 93%.</w:t>
      </w:r>
      <w:r>
        <w:rPr>
          <w:spacing w:val="40"/>
        </w:rPr>
        <w:t> </w:t>
      </w:r>
      <w:r>
        <w:rPr/>
        <w:t>Some residents</w:t>
      </w:r>
      <w:r>
        <w:rPr>
          <w:spacing w:val="-4"/>
        </w:rPr>
        <w:t> </w:t>
      </w:r>
      <w:r>
        <w:rPr/>
        <w:t>praise</w:t>
      </w:r>
      <w:r>
        <w:rPr>
          <w:spacing w:val="-3"/>
        </w:rPr>
        <w:t> </w:t>
      </w:r>
      <w:r>
        <w:rPr/>
        <w:t>the</w:t>
      </w:r>
      <w:r>
        <w:rPr>
          <w:spacing w:val="-6"/>
        </w:rPr>
        <w:t> </w:t>
      </w:r>
      <w:r>
        <w:rPr/>
        <w:t>available</w:t>
      </w:r>
      <w:r>
        <w:rPr>
          <w:spacing w:val="-3"/>
        </w:rPr>
        <w:t> </w:t>
      </w:r>
      <w:r>
        <w:rPr/>
        <w:t>nature</w:t>
      </w:r>
      <w:r>
        <w:rPr>
          <w:spacing w:val="-5"/>
        </w:rPr>
        <w:t> </w:t>
      </w:r>
      <w:r>
        <w:rPr/>
        <w:t>trails</w:t>
      </w:r>
      <w:r>
        <w:rPr>
          <w:spacing w:val="-4"/>
        </w:rPr>
        <w:t> </w:t>
      </w:r>
      <w:r>
        <w:rPr/>
        <w:t>and</w:t>
      </w:r>
      <w:r>
        <w:rPr>
          <w:spacing w:val="-4"/>
        </w:rPr>
        <w:t> </w:t>
      </w:r>
      <w:r>
        <w:rPr/>
        <w:t>recreafional</w:t>
      </w:r>
      <w:r>
        <w:rPr>
          <w:spacing w:val="-4"/>
        </w:rPr>
        <w:t> </w:t>
      </w:r>
      <w:r>
        <w:rPr/>
        <w:t>spaces</w:t>
      </w:r>
      <w:r>
        <w:rPr>
          <w:spacing w:val="-4"/>
        </w:rPr>
        <w:t> </w:t>
      </w:r>
      <w:r>
        <w:rPr/>
        <w:t>for</w:t>
      </w:r>
      <w:r>
        <w:rPr>
          <w:spacing w:val="-7"/>
        </w:rPr>
        <w:t> </w:t>
      </w:r>
      <w:r>
        <w:rPr/>
        <w:t>opportunifies</w:t>
      </w:r>
      <w:r>
        <w:rPr>
          <w:spacing w:val="-4"/>
        </w:rPr>
        <w:t> </w:t>
      </w:r>
      <w:r>
        <w:rPr/>
        <w:t>to</w:t>
      </w:r>
      <w:r>
        <w:rPr>
          <w:spacing w:val="-5"/>
        </w:rPr>
        <w:t> </w:t>
      </w:r>
      <w:r>
        <w:rPr/>
        <w:t>maintain</w:t>
      </w:r>
      <w:r>
        <w:rPr>
          <w:spacing w:val="-5"/>
        </w:rPr>
        <w:t> </w:t>
      </w:r>
      <w:r>
        <w:rPr/>
        <w:t>health, while others cite a lack of such opportunifies in more rural areas. Many focus group respondents note that the Village of Penn Yan has adequate access to amenifies that promote health, such as the Yates Community</w:t>
      </w:r>
      <w:r>
        <w:rPr>
          <w:spacing w:val="-5"/>
        </w:rPr>
        <w:t> </w:t>
      </w:r>
      <w:r>
        <w:rPr/>
        <w:t>Center.</w:t>
      </w:r>
      <w:r>
        <w:rPr>
          <w:spacing w:val="-9"/>
        </w:rPr>
        <w:t> </w:t>
      </w:r>
      <w:r>
        <w:rPr/>
        <w:t>Parficipants</w:t>
      </w:r>
      <w:r>
        <w:rPr>
          <w:spacing w:val="-6"/>
        </w:rPr>
        <w:t> </w:t>
      </w:r>
      <w:r>
        <w:rPr/>
        <w:t>also</w:t>
      </w:r>
      <w:r>
        <w:rPr>
          <w:spacing w:val="-7"/>
        </w:rPr>
        <w:t> </w:t>
      </w:r>
      <w:r>
        <w:rPr/>
        <w:t>observed</w:t>
      </w:r>
      <w:r>
        <w:rPr>
          <w:spacing w:val="-9"/>
        </w:rPr>
        <w:t> </w:t>
      </w:r>
      <w:r>
        <w:rPr/>
        <w:t>that</w:t>
      </w:r>
      <w:r>
        <w:rPr>
          <w:spacing w:val="-6"/>
        </w:rPr>
        <w:t> </w:t>
      </w:r>
      <w:r>
        <w:rPr/>
        <w:t>agencies</w:t>
      </w:r>
      <w:r>
        <w:rPr>
          <w:spacing w:val="-6"/>
        </w:rPr>
        <w:t> </w:t>
      </w:r>
      <w:r>
        <w:rPr/>
        <w:t>such</w:t>
      </w:r>
      <w:r>
        <w:rPr>
          <w:spacing w:val="-6"/>
        </w:rPr>
        <w:t> </w:t>
      </w:r>
      <w:r>
        <w:rPr/>
        <w:t>as</w:t>
      </w:r>
      <w:r>
        <w:rPr>
          <w:spacing w:val="-8"/>
        </w:rPr>
        <w:t> </w:t>
      </w:r>
      <w:r>
        <w:rPr/>
        <w:t>Yates</w:t>
      </w:r>
      <w:r>
        <w:rPr>
          <w:spacing w:val="-6"/>
        </w:rPr>
        <w:t> </w:t>
      </w:r>
      <w:r>
        <w:rPr/>
        <w:t>County</w:t>
      </w:r>
      <w:r>
        <w:rPr>
          <w:spacing w:val="-7"/>
        </w:rPr>
        <w:t> </w:t>
      </w:r>
      <w:r>
        <w:rPr/>
        <w:t>Public</w:t>
      </w:r>
      <w:r>
        <w:rPr>
          <w:spacing w:val="-6"/>
        </w:rPr>
        <w:t> </w:t>
      </w:r>
      <w:r>
        <w:rPr/>
        <w:t>Health</w:t>
      </w:r>
      <w:r>
        <w:rPr>
          <w:spacing w:val="-9"/>
        </w:rPr>
        <w:t> </w:t>
      </w:r>
      <w:r>
        <w:rPr/>
        <w:t>and</w:t>
      </w:r>
      <w:r>
        <w:rPr>
          <w:spacing w:val="-7"/>
        </w:rPr>
        <w:t> </w:t>
      </w:r>
      <w:r>
        <w:rPr/>
        <w:t>the Yates Oﬃce for the Aging (OFA), administered by Pro Acfion of Steuben and Yates, Inc., provide ample support to the community as a whole.</w:t>
      </w:r>
    </w:p>
    <w:p>
      <w:pPr>
        <w:pStyle w:val="BodyText"/>
        <w:spacing w:line="259" w:lineRule="auto" w:before="158"/>
        <w:ind w:right="1454"/>
      </w:pPr>
      <w:r>
        <w:rPr/>
        <w:t>However, these posifive experiences are not shared equally throughout the county. Many respondents comment</w:t>
      </w:r>
      <w:r>
        <w:rPr>
          <w:spacing w:val="-2"/>
        </w:rPr>
        <w:t> </w:t>
      </w:r>
      <w:r>
        <w:rPr/>
        <w:t>on</w:t>
      </w:r>
      <w:r>
        <w:rPr>
          <w:spacing w:val="-5"/>
        </w:rPr>
        <w:t> </w:t>
      </w:r>
      <w:r>
        <w:rPr/>
        <w:t>a</w:t>
      </w:r>
      <w:r>
        <w:rPr>
          <w:spacing w:val="-2"/>
        </w:rPr>
        <w:t> </w:t>
      </w:r>
      <w:r>
        <w:rPr/>
        <w:t>lack</w:t>
      </w:r>
      <w:r>
        <w:rPr>
          <w:spacing w:val="-3"/>
        </w:rPr>
        <w:t> </w:t>
      </w:r>
      <w:r>
        <w:rPr/>
        <w:t>of</w:t>
      </w:r>
      <w:r>
        <w:rPr>
          <w:spacing w:val="-2"/>
        </w:rPr>
        <w:t> </w:t>
      </w:r>
      <w:r>
        <w:rPr/>
        <w:t>health-supporfing</w:t>
      </w:r>
      <w:r>
        <w:rPr>
          <w:spacing w:val="-2"/>
        </w:rPr>
        <w:t> </w:t>
      </w:r>
      <w:r>
        <w:rPr/>
        <w:t>community</w:t>
      </w:r>
      <w:r>
        <w:rPr>
          <w:spacing w:val="-1"/>
        </w:rPr>
        <w:t> </w:t>
      </w:r>
      <w:r>
        <w:rPr/>
        <w:t>amenifies</w:t>
      </w:r>
      <w:r>
        <w:rPr>
          <w:spacing w:val="-4"/>
        </w:rPr>
        <w:t> </w:t>
      </w:r>
      <w:r>
        <w:rPr/>
        <w:t>and</w:t>
      </w:r>
      <w:r>
        <w:rPr>
          <w:spacing w:val="-3"/>
        </w:rPr>
        <w:t> </w:t>
      </w:r>
      <w:r>
        <w:rPr/>
        <w:t>social</w:t>
      </w:r>
      <w:r>
        <w:rPr>
          <w:spacing w:val="-5"/>
        </w:rPr>
        <w:t> </w:t>
      </w:r>
      <w:r>
        <w:rPr/>
        <w:t>opportunifies.</w:t>
      </w:r>
      <w:r>
        <w:rPr>
          <w:spacing w:val="-3"/>
        </w:rPr>
        <w:t> </w:t>
      </w:r>
      <w:r>
        <w:rPr/>
        <w:t>One</w:t>
      </w:r>
      <w:r>
        <w:rPr>
          <w:spacing w:val="-1"/>
        </w:rPr>
        <w:t> </w:t>
      </w:r>
      <w:r>
        <w:rPr/>
        <w:t>focus</w:t>
      </w:r>
      <w:r>
        <w:rPr>
          <w:spacing w:val="-2"/>
        </w:rPr>
        <w:t> </w:t>
      </w:r>
      <w:r>
        <w:rPr/>
        <w:t>group parficipant noted that “if you live in Dundee...there is nothing to access </w:t>
      </w:r>
      <w:r>
        <w:rPr>
          <w:i/>
        </w:rPr>
        <w:t>inside </w:t>
      </w:r>
      <w:r>
        <w:rPr/>
        <w:t>where people can have a social network”. Several other community members supported the nofion that maintaining health outside</w:t>
      </w:r>
      <w:r>
        <w:rPr>
          <w:spacing w:val="-3"/>
        </w:rPr>
        <w:t> </w:t>
      </w:r>
      <w:r>
        <w:rPr/>
        <w:t>of</w:t>
      </w:r>
      <w:r>
        <w:rPr>
          <w:spacing w:val="-1"/>
        </w:rPr>
        <w:t> </w:t>
      </w:r>
      <w:r>
        <w:rPr/>
        <w:t>larger</w:t>
      </w:r>
      <w:r>
        <w:rPr>
          <w:spacing w:val="-4"/>
        </w:rPr>
        <w:t> </w:t>
      </w:r>
      <w:r>
        <w:rPr/>
        <w:t>villages</w:t>
      </w:r>
      <w:r>
        <w:rPr>
          <w:spacing w:val="-1"/>
        </w:rPr>
        <w:t> </w:t>
      </w:r>
      <w:r>
        <w:rPr/>
        <w:t>and</w:t>
      </w:r>
      <w:r>
        <w:rPr>
          <w:spacing w:val="-1"/>
        </w:rPr>
        <w:t> </w:t>
      </w:r>
      <w:r>
        <w:rPr/>
        <w:t>towns</w:t>
      </w:r>
      <w:r>
        <w:rPr>
          <w:spacing w:val="-1"/>
        </w:rPr>
        <w:t> </w:t>
      </w:r>
      <w:r>
        <w:rPr/>
        <w:t>is</w:t>
      </w:r>
      <w:r>
        <w:rPr>
          <w:spacing w:val="-1"/>
        </w:rPr>
        <w:t> </w:t>
      </w:r>
      <w:r>
        <w:rPr/>
        <w:t>diﬃcult,</w:t>
      </w:r>
      <w:r>
        <w:rPr>
          <w:spacing w:val="-1"/>
        </w:rPr>
        <w:t> </w:t>
      </w:r>
      <w:r>
        <w:rPr/>
        <w:t>parficularly in</w:t>
      </w:r>
      <w:r>
        <w:rPr>
          <w:spacing w:val="-2"/>
        </w:rPr>
        <w:t> </w:t>
      </w:r>
      <w:r>
        <w:rPr/>
        <w:t>areas such</w:t>
      </w:r>
      <w:r>
        <w:rPr>
          <w:spacing w:val="-4"/>
        </w:rPr>
        <w:t> </w:t>
      </w:r>
      <w:r>
        <w:rPr/>
        <w:t>as</w:t>
      </w:r>
      <w:r>
        <w:rPr>
          <w:spacing w:val="-1"/>
        </w:rPr>
        <w:t> </w:t>
      </w:r>
      <w:r>
        <w:rPr/>
        <w:t>Branchport and</w:t>
      </w:r>
      <w:r>
        <w:rPr>
          <w:spacing w:val="-4"/>
        </w:rPr>
        <w:t> </w:t>
      </w:r>
      <w:r>
        <w:rPr/>
        <w:t>Pofter, which “need more resources for health”. This is reﬂected in data from 2022, when 27% of adults reported no leisure-fime physical acfivity. This is slightly higher than the NYS average of 25% and an increase of 23% from 2021</w:t>
      </w:r>
      <w:hyperlink w:history="true" w:anchor="_bookmark22">
        <w:r>
          <w:rPr/>
          <w:t>.</w:t>
        </w:r>
        <w:r>
          <w:rPr>
            <w:vertAlign w:val="superscript"/>
          </w:rPr>
          <w:t>54</w:t>
        </w:r>
      </w:hyperlink>
      <w:r>
        <w:rPr>
          <w:vertAlign w:val="baseline"/>
        </w:rPr>
        <w:t> A frequently expressed suggesfion across mulfiple focus groups was the need for a community pool to help address gaps in health-promofing amenifies.</w:t>
      </w:r>
      <w:r>
        <w:rPr>
          <w:spacing w:val="40"/>
          <w:vertAlign w:val="baseline"/>
        </w:rPr>
        <w:t> </w:t>
      </w:r>
      <w:r>
        <w:rPr>
          <w:vertAlign w:val="baseline"/>
        </w:rPr>
        <w:t>The disparity between more populated areas and their more rural counterparts emphasizes an opportunity to support recreafion, social connecfion, and safety measures in less populated communifies.</w:t>
      </w:r>
    </w:p>
    <w:p>
      <w:pPr>
        <w:pStyle w:val="BodyText"/>
        <w:spacing w:line="259" w:lineRule="auto" w:before="158"/>
        <w:ind w:right="1467"/>
        <w:rPr>
          <w:b/>
        </w:rPr>
      </w:pPr>
      <w:r>
        <w:rPr/>
        <w:t>In</w:t>
      </w:r>
      <w:r>
        <w:rPr>
          <w:spacing w:val="-5"/>
        </w:rPr>
        <w:t> </w:t>
      </w:r>
      <w:r>
        <w:rPr/>
        <w:t>addifion</w:t>
      </w:r>
      <w:r>
        <w:rPr>
          <w:spacing w:val="-4"/>
        </w:rPr>
        <w:t> </w:t>
      </w:r>
      <w:r>
        <w:rPr/>
        <w:t>to</w:t>
      </w:r>
      <w:r>
        <w:rPr>
          <w:spacing w:val="-5"/>
        </w:rPr>
        <w:t> </w:t>
      </w:r>
      <w:r>
        <w:rPr/>
        <w:t>concerns</w:t>
      </w:r>
      <w:r>
        <w:rPr>
          <w:spacing w:val="-4"/>
        </w:rPr>
        <w:t> </w:t>
      </w:r>
      <w:r>
        <w:rPr/>
        <w:t>about</w:t>
      </w:r>
      <w:r>
        <w:rPr>
          <w:spacing w:val="-3"/>
        </w:rPr>
        <w:t> </w:t>
      </w:r>
      <w:r>
        <w:rPr/>
        <w:t>health-supporfing</w:t>
      </w:r>
      <w:r>
        <w:rPr>
          <w:spacing w:val="-4"/>
        </w:rPr>
        <w:t> </w:t>
      </w:r>
      <w:r>
        <w:rPr/>
        <w:t>community</w:t>
      </w:r>
      <w:r>
        <w:rPr>
          <w:spacing w:val="-3"/>
        </w:rPr>
        <w:t> </w:t>
      </w:r>
      <w:r>
        <w:rPr/>
        <w:t>amenifies,</w:t>
      </w:r>
      <w:r>
        <w:rPr>
          <w:spacing w:val="-6"/>
        </w:rPr>
        <w:t> </w:t>
      </w:r>
      <w:r>
        <w:rPr/>
        <w:t>focus</w:t>
      </w:r>
      <w:r>
        <w:rPr>
          <w:spacing w:val="-6"/>
        </w:rPr>
        <w:t> </w:t>
      </w:r>
      <w:r>
        <w:rPr/>
        <w:t>group</w:t>
      </w:r>
      <w:r>
        <w:rPr>
          <w:spacing w:val="-5"/>
        </w:rPr>
        <w:t> </w:t>
      </w:r>
      <w:r>
        <w:rPr/>
        <w:t>members</w:t>
      </w:r>
      <w:r>
        <w:rPr>
          <w:spacing w:val="-6"/>
        </w:rPr>
        <w:t> </w:t>
      </w:r>
      <w:r>
        <w:rPr/>
        <w:t>repeatedly noted a need for improvements to county-wide built infrastructure. </w:t>
      </w:r>
      <w:hyperlink w:history="true" w:anchor="_bookmark23">
        <w:r>
          <w:rPr>
            <w:vertAlign w:val="superscript"/>
          </w:rPr>
          <w:t>55</w:t>
        </w:r>
      </w:hyperlink>
      <w:r>
        <w:rPr>
          <w:vertAlign w:val="baseline"/>
        </w:rPr>
        <w:t> Many neighborhoods lack accessible sidewalks, causing pedestrians to walk in the streets. This is reﬂected in a poor Walkability Index</w:t>
      </w:r>
      <w:r>
        <w:rPr>
          <w:spacing w:val="-3"/>
          <w:vertAlign w:val="baseline"/>
        </w:rPr>
        <w:t> </w:t>
      </w:r>
      <w:r>
        <w:rPr>
          <w:vertAlign w:val="baseline"/>
        </w:rPr>
        <w:t>(3.67</w:t>
      </w:r>
      <w:r>
        <w:rPr>
          <w:spacing w:val="-5"/>
          <w:vertAlign w:val="baseline"/>
        </w:rPr>
        <w:t> </w:t>
      </w:r>
      <w:r>
        <w:rPr>
          <w:vertAlign w:val="baseline"/>
        </w:rPr>
        <w:t>out</w:t>
      </w:r>
      <w:r>
        <w:rPr>
          <w:spacing w:val="-6"/>
          <w:vertAlign w:val="baseline"/>
        </w:rPr>
        <w:t> </w:t>
      </w:r>
      <w:r>
        <w:rPr>
          <w:vertAlign w:val="baseline"/>
        </w:rPr>
        <w:t>of</w:t>
      </w:r>
      <w:r>
        <w:rPr>
          <w:spacing w:val="-4"/>
          <w:vertAlign w:val="baseline"/>
        </w:rPr>
        <w:t> </w:t>
      </w:r>
      <w:r>
        <w:rPr>
          <w:vertAlign w:val="baseline"/>
        </w:rPr>
        <w:t>20)</w:t>
      </w:r>
      <w:hyperlink w:history="true" w:anchor="_bookmark24">
        <w:r>
          <w:rPr>
            <w:vertAlign w:val="baseline"/>
          </w:rPr>
          <w:t>.</w:t>
        </w:r>
        <w:r>
          <w:rPr>
            <w:vertAlign w:val="superscript"/>
          </w:rPr>
          <w:t>56</w:t>
        </w:r>
      </w:hyperlink>
      <w:r>
        <w:rPr>
          <w:vertAlign w:val="baseline"/>
        </w:rPr>
        <w:t>The</w:t>
      </w:r>
      <w:r>
        <w:rPr>
          <w:spacing w:val="-6"/>
          <w:vertAlign w:val="baseline"/>
        </w:rPr>
        <w:t> </w:t>
      </w:r>
      <w:r>
        <w:rPr>
          <w:vertAlign w:val="baseline"/>
        </w:rPr>
        <w:t>Nafional</w:t>
      </w:r>
      <w:r>
        <w:rPr>
          <w:spacing w:val="-4"/>
          <w:vertAlign w:val="baseline"/>
        </w:rPr>
        <w:t> </w:t>
      </w:r>
      <w:r>
        <w:rPr>
          <w:vertAlign w:val="baseline"/>
        </w:rPr>
        <w:t>Walkability</w:t>
      </w:r>
      <w:r>
        <w:rPr>
          <w:spacing w:val="-3"/>
          <w:vertAlign w:val="baseline"/>
        </w:rPr>
        <w:t> </w:t>
      </w:r>
      <w:r>
        <w:rPr>
          <w:vertAlign w:val="baseline"/>
        </w:rPr>
        <w:t>Index</w:t>
      </w:r>
      <w:r>
        <w:rPr>
          <w:spacing w:val="-6"/>
          <w:vertAlign w:val="baseline"/>
        </w:rPr>
        <w:t> </w:t>
      </w:r>
      <w:r>
        <w:rPr>
          <w:vertAlign w:val="baseline"/>
        </w:rPr>
        <w:t>accounts</w:t>
      </w:r>
      <w:r>
        <w:rPr>
          <w:spacing w:val="-4"/>
          <w:vertAlign w:val="baseline"/>
        </w:rPr>
        <w:t> </w:t>
      </w:r>
      <w:r>
        <w:rPr>
          <w:vertAlign w:val="baseline"/>
        </w:rPr>
        <w:t>for</w:t>
      </w:r>
      <w:r>
        <w:rPr>
          <w:spacing w:val="-4"/>
          <w:vertAlign w:val="baseline"/>
        </w:rPr>
        <w:t> </w:t>
      </w:r>
      <w:r>
        <w:rPr>
          <w:vertAlign w:val="baseline"/>
        </w:rPr>
        <w:t>the</w:t>
      </w:r>
      <w:r>
        <w:rPr>
          <w:spacing w:val="-3"/>
          <w:vertAlign w:val="baseline"/>
        </w:rPr>
        <w:t> </w:t>
      </w:r>
      <w:r>
        <w:rPr>
          <w:vertAlign w:val="baseline"/>
        </w:rPr>
        <w:t>built</w:t>
      </w:r>
      <w:r>
        <w:rPr>
          <w:spacing w:val="-3"/>
          <w:vertAlign w:val="baseline"/>
        </w:rPr>
        <w:t> </w:t>
      </w:r>
      <w:r>
        <w:rPr>
          <w:vertAlign w:val="baseline"/>
        </w:rPr>
        <w:t>environment’s</w:t>
      </w:r>
      <w:r>
        <w:rPr>
          <w:spacing w:val="-4"/>
          <w:vertAlign w:val="baseline"/>
        </w:rPr>
        <w:t> </w:t>
      </w:r>
      <w:r>
        <w:rPr>
          <w:vertAlign w:val="baseline"/>
        </w:rPr>
        <w:t>eﬀect</w:t>
      </w:r>
      <w:r>
        <w:rPr>
          <w:spacing w:val="-6"/>
          <w:vertAlign w:val="baseline"/>
        </w:rPr>
        <w:t> </w:t>
      </w:r>
      <w:r>
        <w:rPr>
          <w:vertAlign w:val="baseline"/>
        </w:rPr>
        <w:t>on</w:t>
      </w:r>
      <w:r>
        <w:rPr>
          <w:spacing w:val="-4"/>
          <w:vertAlign w:val="baseline"/>
        </w:rPr>
        <w:t> </w:t>
      </w:r>
      <w:r>
        <w:rPr>
          <w:vertAlign w:val="baseline"/>
        </w:rPr>
        <w:t>the probability that a person will walk as a mode of transportafion and reﬂects street intersecfion density, proximity to transit stops, and land-use diversity</w:t>
      </w:r>
      <w:hyperlink w:history="true" w:anchor="_bookmark25">
        <w:r>
          <w:rPr>
            <w:vertAlign w:val="baseline"/>
          </w:rPr>
          <w:t>.</w:t>
        </w:r>
        <w:r>
          <w:rPr>
            <w:vertAlign w:val="superscript"/>
          </w:rPr>
          <w:t>57</w:t>
        </w:r>
      </w:hyperlink>
      <w:r>
        <w:rPr>
          <w:vertAlign w:val="baseline"/>
        </w:rPr>
        <w:t> The low walkability index in Yates County raises concern for the 13% of residents without access to a vehicle, who may face transportafion challenges</w:t>
      </w:r>
      <w:r>
        <w:rPr>
          <w:b/>
          <w:vertAlign w:val="baseline"/>
        </w:rPr>
        <w:t>.</w:t>
      </w:r>
    </w:p>
    <w:p>
      <w:pPr>
        <w:pStyle w:val="BodyText"/>
        <w:spacing w:line="266" w:lineRule="exact"/>
      </w:pPr>
      <w:r>
        <w:rPr/>
        <w:t>Residents</w:t>
      </w:r>
      <w:r>
        <w:rPr>
          <w:spacing w:val="-9"/>
        </w:rPr>
        <w:t> </w:t>
      </w:r>
      <w:r>
        <w:rPr/>
        <w:t>recognized</w:t>
      </w:r>
      <w:r>
        <w:rPr>
          <w:spacing w:val="-7"/>
        </w:rPr>
        <w:t> </w:t>
      </w:r>
      <w:r>
        <w:rPr/>
        <w:t>improvements</w:t>
      </w:r>
      <w:r>
        <w:rPr>
          <w:spacing w:val="-8"/>
        </w:rPr>
        <w:t> </w:t>
      </w:r>
      <w:r>
        <w:rPr/>
        <w:t>made,</w:t>
      </w:r>
      <w:r>
        <w:rPr>
          <w:spacing w:val="-7"/>
        </w:rPr>
        <w:t> </w:t>
      </w:r>
      <w:r>
        <w:rPr/>
        <w:t>speciﬁcally</w:t>
      </w:r>
      <w:r>
        <w:rPr>
          <w:spacing w:val="-6"/>
        </w:rPr>
        <w:t> </w:t>
      </w:r>
      <w:r>
        <w:rPr/>
        <w:t>in</w:t>
      </w:r>
      <w:r>
        <w:rPr>
          <w:spacing w:val="-6"/>
        </w:rPr>
        <w:t> </w:t>
      </w:r>
      <w:r>
        <w:rPr/>
        <w:t>Dundee,</w:t>
      </w:r>
      <w:r>
        <w:rPr>
          <w:spacing w:val="-7"/>
        </w:rPr>
        <w:t> </w:t>
      </w:r>
      <w:r>
        <w:rPr/>
        <w:t>but</w:t>
      </w:r>
      <w:r>
        <w:rPr>
          <w:spacing w:val="-9"/>
        </w:rPr>
        <w:t> </w:t>
      </w:r>
      <w:r>
        <w:rPr/>
        <w:t>would</w:t>
      </w:r>
      <w:r>
        <w:rPr>
          <w:spacing w:val="-6"/>
        </w:rPr>
        <w:t> </w:t>
      </w:r>
      <w:r>
        <w:rPr/>
        <w:t>like</w:t>
      </w:r>
      <w:r>
        <w:rPr>
          <w:spacing w:val="-9"/>
        </w:rPr>
        <w:t> </w:t>
      </w:r>
      <w:r>
        <w:rPr/>
        <w:t>to</w:t>
      </w:r>
      <w:r>
        <w:rPr>
          <w:spacing w:val="-7"/>
        </w:rPr>
        <w:t> </w:t>
      </w:r>
      <w:r>
        <w:rPr/>
        <w:t>see</w:t>
      </w:r>
      <w:r>
        <w:rPr>
          <w:spacing w:val="-8"/>
        </w:rPr>
        <w:t> </w:t>
      </w:r>
      <w:r>
        <w:rPr/>
        <w:t>these</w:t>
      </w:r>
      <w:r>
        <w:rPr>
          <w:spacing w:val="-5"/>
        </w:rPr>
        <w:t> </w:t>
      </w:r>
      <w:r>
        <w:rPr>
          <w:spacing w:val="-2"/>
        </w:rPr>
        <w:t>projects</w:t>
      </w:r>
    </w:p>
    <w:p>
      <w:pPr>
        <w:pStyle w:val="BodyText"/>
        <w:spacing w:before="22"/>
      </w:pPr>
      <w:r>
        <w:rPr>
          <w:spacing w:val="-2"/>
        </w:rPr>
        <w:t>confinued.</w:t>
      </w:r>
    </w:p>
    <w:p>
      <w:pPr>
        <w:pStyle w:val="BodyText"/>
        <w:spacing w:line="256" w:lineRule="auto" w:before="180"/>
        <w:ind w:right="1467"/>
      </w:pPr>
      <w:r>
        <w:rPr/>
        <w:t>Other concerns, such as speeding, poor signage, and unsafe roads, especially near playgrounds and schools, are widely noted. Road and sidewalk safety are compounded by increased traﬃc during the tourist</w:t>
      </w:r>
      <w:r>
        <w:rPr>
          <w:spacing w:val="-9"/>
        </w:rPr>
        <w:t> </w:t>
      </w:r>
      <w:r>
        <w:rPr/>
        <w:t>season</w:t>
      </w:r>
      <w:r>
        <w:rPr>
          <w:spacing w:val="-8"/>
        </w:rPr>
        <w:t> </w:t>
      </w:r>
      <w:r>
        <w:rPr/>
        <w:t>and</w:t>
      </w:r>
      <w:r>
        <w:rPr>
          <w:spacing w:val="-8"/>
        </w:rPr>
        <w:t> </w:t>
      </w:r>
      <w:r>
        <w:rPr/>
        <w:t>horse-and-buggy</w:t>
      </w:r>
      <w:r>
        <w:rPr>
          <w:spacing w:val="-6"/>
        </w:rPr>
        <w:t> </w:t>
      </w:r>
      <w:r>
        <w:rPr/>
        <w:t>use</w:t>
      </w:r>
      <w:r>
        <w:rPr>
          <w:spacing w:val="-6"/>
        </w:rPr>
        <w:t> </w:t>
      </w:r>
      <w:r>
        <w:rPr/>
        <w:t>from</w:t>
      </w:r>
      <w:r>
        <w:rPr>
          <w:spacing w:val="-6"/>
        </w:rPr>
        <w:t> </w:t>
      </w:r>
      <w:r>
        <w:rPr/>
        <w:t>the</w:t>
      </w:r>
      <w:r>
        <w:rPr>
          <w:spacing w:val="-9"/>
        </w:rPr>
        <w:t> </w:t>
      </w:r>
      <w:r>
        <w:rPr/>
        <w:t>large</w:t>
      </w:r>
      <w:r>
        <w:rPr>
          <w:spacing w:val="-6"/>
        </w:rPr>
        <w:t> </w:t>
      </w:r>
      <w:r>
        <w:rPr/>
        <w:t>Mennonite</w:t>
      </w:r>
      <w:r>
        <w:rPr>
          <w:spacing w:val="-8"/>
        </w:rPr>
        <w:t> </w:t>
      </w:r>
      <w:r>
        <w:rPr/>
        <w:t>community.</w:t>
      </w:r>
      <w:r>
        <w:rPr>
          <w:spacing w:val="-11"/>
        </w:rPr>
        <w:t> </w:t>
      </w:r>
      <w:r>
        <w:rPr/>
        <w:t>Many</w:t>
      </w:r>
      <w:r>
        <w:rPr>
          <w:spacing w:val="-6"/>
        </w:rPr>
        <w:t> </w:t>
      </w:r>
      <w:r>
        <w:rPr/>
        <w:t>residents</w:t>
      </w:r>
      <w:r>
        <w:rPr>
          <w:spacing w:val="-9"/>
        </w:rPr>
        <w:t> </w:t>
      </w:r>
      <w:r>
        <w:rPr/>
        <w:t>express the need for an allofted bike and/or horse and buggy lane to improve safety for all when traveling.</w:t>
      </w:r>
    </w:p>
    <w:p>
      <w:pPr>
        <w:pStyle w:val="BodyText"/>
        <w:spacing w:before="3"/>
      </w:pPr>
      <w:r>
        <w:rPr/>
        <w:t>Overall,</w:t>
      </w:r>
      <w:r>
        <w:rPr>
          <w:spacing w:val="-10"/>
        </w:rPr>
        <w:t> </w:t>
      </w:r>
      <w:r>
        <w:rPr/>
        <w:t>residents</w:t>
      </w:r>
      <w:r>
        <w:rPr>
          <w:spacing w:val="-9"/>
        </w:rPr>
        <w:t> </w:t>
      </w:r>
      <w:r>
        <w:rPr/>
        <w:t>express</w:t>
      </w:r>
      <w:r>
        <w:rPr>
          <w:spacing w:val="-7"/>
        </w:rPr>
        <w:t> </w:t>
      </w:r>
      <w:r>
        <w:rPr/>
        <w:t>a</w:t>
      </w:r>
      <w:r>
        <w:rPr>
          <w:spacing w:val="-9"/>
        </w:rPr>
        <w:t> </w:t>
      </w:r>
      <w:r>
        <w:rPr/>
        <w:t>strong</w:t>
      </w:r>
      <w:r>
        <w:rPr>
          <w:spacing w:val="-8"/>
        </w:rPr>
        <w:t> </w:t>
      </w:r>
      <w:r>
        <w:rPr/>
        <w:t>desire</w:t>
      </w:r>
      <w:r>
        <w:rPr>
          <w:spacing w:val="-7"/>
        </w:rPr>
        <w:t> </w:t>
      </w:r>
      <w:r>
        <w:rPr/>
        <w:t>for</w:t>
      </w:r>
      <w:r>
        <w:rPr>
          <w:spacing w:val="-7"/>
        </w:rPr>
        <w:t> </w:t>
      </w:r>
      <w:r>
        <w:rPr/>
        <w:t>traﬃc</w:t>
      </w:r>
      <w:r>
        <w:rPr>
          <w:spacing w:val="-7"/>
        </w:rPr>
        <w:t> </w:t>
      </w:r>
      <w:r>
        <w:rPr/>
        <w:t>calming,</w:t>
      </w:r>
      <w:r>
        <w:rPr>
          <w:spacing w:val="-7"/>
        </w:rPr>
        <w:t> </w:t>
      </w:r>
      <w:r>
        <w:rPr/>
        <w:t>befter</w:t>
      </w:r>
      <w:r>
        <w:rPr>
          <w:spacing w:val="-8"/>
        </w:rPr>
        <w:t> </w:t>
      </w:r>
      <w:r>
        <w:rPr/>
        <w:t>signage,</w:t>
      </w:r>
      <w:r>
        <w:rPr>
          <w:spacing w:val="-7"/>
        </w:rPr>
        <w:t> </w:t>
      </w:r>
      <w:r>
        <w:rPr/>
        <w:t>and</w:t>
      </w:r>
      <w:r>
        <w:rPr>
          <w:spacing w:val="-8"/>
        </w:rPr>
        <w:t> </w:t>
      </w:r>
      <w:r>
        <w:rPr/>
        <w:t>safer</w:t>
      </w:r>
      <w:r>
        <w:rPr>
          <w:spacing w:val="-8"/>
        </w:rPr>
        <w:t> </w:t>
      </w:r>
      <w:r>
        <w:rPr>
          <w:spacing w:val="-2"/>
        </w:rPr>
        <w:t>pedestrian</w:t>
      </w:r>
    </w:p>
    <w:p>
      <w:pPr>
        <w:pStyle w:val="BodyText"/>
        <w:spacing w:before="19"/>
      </w:pPr>
      <w:r>
        <w:rPr>
          <w:spacing w:val="-2"/>
        </w:rPr>
        <w:t>environments.</w:t>
      </w:r>
    </w:p>
    <w:p>
      <w:pPr>
        <w:pStyle w:val="BodyText"/>
        <w:spacing w:line="256" w:lineRule="auto" w:before="178"/>
        <w:ind w:right="1467"/>
      </w:pPr>
      <w:r>
        <w:rPr/>
        <w:t>Accessibility for those with mobility diﬀerences and the need for assisfive devices was raised as a concern. Residents noted accessibility is limited by a lack of ramps and safe infrastructure. Several anecdotes were shared about experiences with limited accessibility, especially in downtown Penn Yan. Limited</w:t>
      </w:r>
      <w:r>
        <w:rPr>
          <w:spacing w:val="-5"/>
        </w:rPr>
        <w:t> </w:t>
      </w:r>
      <w:r>
        <w:rPr/>
        <w:t>accessibility</w:t>
      </w:r>
      <w:r>
        <w:rPr>
          <w:spacing w:val="-3"/>
        </w:rPr>
        <w:t> </w:t>
      </w:r>
      <w:r>
        <w:rPr/>
        <w:t>is</w:t>
      </w:r>
      <w:r>
        <w:rPr>
          <w:spacing w:val="-4"/>
        </w:rPr>
        <w:t> </w:t>
      </w:r>
      <w:r>
        <w:rPr/>
        <w:t>compounded</w:t>
      </w:r>
      <w:r>
        <w:rPr>
          <w:spacing w:val="-5"/>
        </w:rPr>
        <w:t> </w:t>
      </w:r>
      <w:r>
        <w:rPr/>
        <w:t>by</w:t>
      </w:r>
      <w:r>
        <w:rPr>
          <w:spacing w:val="-5"/>
        </w:rPr>
        <w:t> </w:t>
      </w:r>
      <w:r>
        <w:rPr/>
        <w:t>poor</w:t>
      </w:r>
      <w:r>
        <w:rPr>
          <w:spacing w:val="-4"/>
        </w:rPr>
        <w:t> </w:t>
      </w:r>
      <w:r>
        <w:rPr/>
        <w:t>lighfing,</w:t>
      </w:r>
      <w:r>
        <w:rPr>
          <w:spacing w:val="-4"/>
        </w:rPr>
        <w:t> </w:t>
      </w:r>
      <w:r>
        <w:rPr/>
        <w:t>poorly</w:t>
      </w:r>
      <w:r>
        <w:rPr>
          <w:spacing w:val="-5"/>
        </w:rPr>
        <w:t> </w:t>
      </w:r>
      <w:r>
        <w:rPr/>
        <w:t>maintained</w:t>
      </w:r>
      <w:r>
        <w:rPr>
          <w:spacing w:val="-4"/>
        </w:rPr>
        <w:t> </w:t>
      </w:r>
      <w:r>
        <w:rPr/>
        <w:t>sidewalks</w:t>
      </w:r>
      <w:r>
        <w:rPr>
          <w:spacing w:val="-4"/>
        </w:rPr>
        <w:t> </w:t>
      </w:r>
      <w:r>
        <w:rPr/>
        <w:t>and</w:t>
      </w:r>
      <w:r>
        <w:rPr>
          <w:spacing w:val="-5"/>
        </w:rPr>
        <w:t> </w:t>
      </w:r>
      <w:r>
        <w:rPr/>
        <w:t>roads,</w:t>
      </w:r>
      <w:r>
        <w:rPr>
          <w:spacing w:val="-4"/>
        </w:rPr>
        <w:t> </w:t>
      </w:r>
      <w:r>
        <w:rPr/>
        <w:t>and</w:t>
      </w:r>
      <w:r>
        <w:rPr>
          <w:spacing w:val="-5"/>
        </w:rPr>
        <w:t> </w:t>
      </w:r>
      <w:r>
        <w:rPr/>
        <w:t>a</w:t>
      </w:r>
      <w:r>
        <w:rPr>
          <w:spacing w:val="-4"/>
        </w:rPr>
        <w:t> </w:t>
      </w:r>
      <w:r>
        <w:rPr/>
        <w:t>lack</w:t>
      </w:r>
    </w:p>
    <w:p>
      <w:pPr>
        <w:pStyle w:val="BodyText"/>
        <w:spacing w:before="126"/>
        <w:ind w:left="0"/>
        <w:rPr>
          <w:sz w:val="20"/>
        </w:rPr>
      </w:pPr>
      <w:r>
        <w:rPr>
          <w:sz w:val="20"/>
        </w:rPr>
        <mc:AlternateContent>
          <mc:Choice Requires="wps">
            <w:drawing>
              <wp:anchor distT="0" distB="0" distL="0" distR="0" allowOverlap="1" layoutInCell="1" locked="0" behindDoc="1" simplePos="0" relativeHeight="487603712">
                <wp:simplePos x="0" y="0"/>
                <wp:positionH relativeFrom="page">
                  <wp:posOffset>914400</wp:posOffset>
                </wp:positionH>
                <wp:positionV relativeFrom="paragraph">
                  <wp:posOffset>250605</wp:posOffset>
                </wp:positionV>
                <wp:extent cx="1828800" cy="9525"/>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9.732698pt;width:144pt;height:.71pt;mso-position-horizontal-relative:page;mso-position-vertical-relative:paragraph;z-index:-15712768;mso-wrap-distance-left:0;mso-wrap-distance-right:0" id="docshape69" filled="true" fillcolor="#000000" stroked="false">
                <v:fill type="solid"/>
                <w10:wrap type="topAndBottom"/>
              </v:rect>
            </w:pict>
          </mc:Fallback>
        </mc:AlternateContent>
      </w:r>
    </w:p>
    <w:p>
      <w:pPr>
        <w:spacing w:line="243" w:lineRule="exact" w:before="102"/>
        <w:ind w:left="1440" w:right="0" w:firstLine="0"/>
        <w:jc w:val="left"/>
        <w:rPr>
          <w:sz w:val="20"/>
        </w:rPr>
      </w:pPr>
      <w:r>
        <w:rPr>
          <w:sz w:val="20"/>
          <w:vertAlign w:val="superscript"/>
        </w:rPr>
        <w:t>54</w:t>
      </w:r>
      <w:r>
        <w:rPr>
          <w:spacing w:val="-10"/>
          <w:sz w:val="20"/>
          <w:vertAlign w:val="baseline"/>
        </w:rPr>
        <w:t> </w:t>
      </w:r>
      <w:bookmarkStart w:name="_bookmark22" w:id="23"/>
      <w:bookmarkEnd w:id="23"/>
      <w:r>
        <w:rPr>
          <w:sz w:val="20"/>
          <w:vertAlign w:val="baseline"/>
        </w:rPr>
        <w:t>S</w:t>
      </w:r>
      <w:r>
        <w:rPr>
          <w:sz w:val="20"/>
          <w:vertAlign w:val="baseline"/>
        </w:rPr>
        <w:t>ources:</w:t>
      </w:r>
      <w:r>
        <w:rPr>
          <w:spacing w:val="-9"/>
          <w:sz w:val="20"/>
          <w:vertAlign w:val="baseline"/>
        </w:rPr>
        <w:t> </w:t>
      </w:r>
      <w:r>
        <w:rPr>
          <w:sz w:val="20"/>
          <w:vertAlign w:val="baseline"/>
        </w:rPr>
        <w:t>U.S.</w:t>
      </w:r>
      <w:r>
        <w:rPr>
          <w:spacing w:val="-8"/>
          <w:sz w:val="20"/>
          <w:vertAlign w:val="baseline"/>
        </w:rPr>
        <w:t> </w:t>
      </w:r>
      <w:r>
        <w:rPr>
          <w:sz w:val="20"/>
          <w:vertAlign w:val="baseline"/>
        </w:rPr>
        <w:t>Census,</w:t>
      </w:r>
      <w:r>
        <w:rPr>
          <w:spacing w:val="-9"/>
          <w:sz w:val="20"/>
          <w:vertAlign w:val="baseline"/>
        </w:rPr>
        <w:t> </w:t>
      </w:r>
      <w:r>
        <w:rPr>
          <w:sz w:val="20"/>
          <w:vertAlign w:val="baseline"/>
        </w:rPr>
        <w:t>County</w:t>
      </w:r>
      <w:r>
        <w:rPr>
          <w:spacing w:val="-8"/>
          <w:sz w:val="20"/>
          <w:vertAlign w:val="baseline"/>
        </w:rPr>
        <w:t> </w:t>
      </w:r>
      <w:r>
        <w:rPr>
          <w:sz w:val="20"/>
          <w:vertAlign w:val="baseline"/>
        </w:rPr>
        <w:t>Health</w:t>
      </w:r>
      <w:r>
        <w:rPr>
          <w:spacing w:val="-8"/>
          <w:sz w:val="20"/>
          <w:vertAlign w:val="baseline"/>
        </w:rPr>
        <w:t> </w:t>
      </w:r>
      <w:r>
        <w:rPr>
          <w:sz w:val="20"/>
          <w:vertAlign w:val="baseline"/>
        </w:rPr>
        <w:t>Rankings,</w:t>
      </w:r>
      <w:r>
        <w:rPr>
          <w:spacing w:val="-8"/>
          <w:sz w:val="20"/>
          <w:vertAlign w:val="baseline"/>
        </w:rPr>
        <w:t> </w:t>
      </w:r>
      <w:r>
        <w:rPr>
          <w:sz w:val="20"/>
          <w:vertAlign w:val="baseline"/>
        </w:rPr>
        <w:t>EPA</w:t>
      </w:r>
      <w:r>
        <w:rPr>
          <w:spacing w:val="-9"/>
          <w:sz w:val="20"/>
          <w:vertAlign w:val="baseline"/>
        </w:rPr>
        <w:t> </w:t>
      </w:r>
      <w:r>
        <w:rPr>
          <w:sz w:val="20"/>
          <w:vertAlign w:val="baseline"/>
        </w:rPr>
        <w:t>Oﬃce</w:t>
      </w:r>
      <w:r>
        <w:rPr>
          <w:spacing w:val="-9"/>
          <w:sz w:val="20"/>
          <w:vertAlign w:val="baseline"/>
        </w:rPr>
        <w:t> </w:t>
      </w:r>
      <w:r>
        <w:rPr>
          <w:sz w:val="20"/>
          <w:vertAlign w:val="baseline"/>
        </w:rPr>
        <w:t>of</w:t>
      </w:r>
      <w:r>
        <w:rPr>
          <w:spacing w:val="-7"/>
          <w:sz w:val="20"/>
          <w:vertAlign w:val="baseline"/>
        </w:rPr>
        <w:t> </w:t>
      </w:r>
      <w:r>
        <w:rPr>
          <w:sz w:val="20"/>
          <w:vertAlign w:val="baseline"/>
        </w:rPr>
        <w:t>Community</w:t>
      </w:r>
      <w:r>
        <w:rPr>
          <w:spacing w:val="-8"/>
          <w:sz w:val="20"/>
          <w:vertAlign w:val="baseline"/>
        </w:rPr>
        <w:t> </w:t>
      </w:r>
      <w:r>
        <w:rPr>
          <w:spacing w:val="-2"/>
          <w:sz w:val="20"/>
          <w:vertAlign w:val="baseline"/>
        </w:rPr>
        <w:t>Revitalizafion</w:t>
      </w:r>
    </w:p>
    <w:p>
      <w:pPr>
        <w:spacing w:line="268" w:lineRule="exact" w:before="0"/>
        <w:ind w:left="1440" w:right="0" w:firstLine="0"/>
        <w:jc w:val="left"/>
        <w:rPr>
          <w:sz w:val="22"/>
        </w:rPr>
      </w:pPr>
      <w:r>
        <w:rPr>
          <w:sz w:val="20"/>
          <w:vertAlign w:val="superscript"/>
        </w:rPr>
        <w:t>55</w:t>
      </w:r>
      <w:r>
        <w:rPr>
          <w:spacing w:val="-9"/>
          <w:sz w:val="20"/>
          <w:vertAlign w:val="baseline"/>
        </w:rPr>
        <w:t> </w:t>
      </w:r>
      <w:bookmarkStart w:name="_bookmark23" w:id="24"/>
      <w:bookmarkEnd w:id="24"/>
      <w:r>
        <w:rPr>
          <w:sz w:val="20"/>
          <w:vertAlign w:val="baseline"/>
        </w:rPr>
        <w:t>S</w:t>
      </w:r>
      <w:r>
        <w:rPr>
          <w:sz w:val="20"/>
          <w:vertAlign w:val="baseline"/>
        </w:rPr>
        <w:t>ource:</w:t>
      </w:r>
      <w:r>
        <w:rPr>
          <w:spacing w:val="-8"/>
          <w:sz w:val="20"/>
          <w:vertAlign w:val="baseline"/>
        </w:rPr>
        <w:t> </w:t>
      </w:r>
      <w:r>
        <w:rPr>
          <w:sz w:val="22"/>
          <w:vertAlign w:val="baseline"/>
        </w:rPr>
        <w:t>EPA</w:t>
      </w:r>
      <w:r>
        <w:rPr>
          <w:spacing w:val="-8"/>
          <w:sz w:val="22"/>
          <w:vertAlign w:val="baseline"/>
        </w:rPr>
        <w:t> </w:t>
      </w:r>
      <w:r>
        <w:rPr>
          <w:sz w:val="22"/>
          <w:vertAlign w:val="baseline"/>
        </w:rPr>
        <w:t>Oﬃce</w:t>
      </w:r>
      <w:r>
        <w:rPr>
          <w:spacing w:val="-9"/>
          <w:sz w:val="22"/>
          <w:vertAlign w:val="baseline"/>
        </w:rPr>
        <w:t> </w:t>
      </w:r>
      <w:r>
        <w:rPr>
          <w:sz w:val="22"/>
          <w:vertAlign w:val="baseline"/>
        </w:rPr>
        <w:t>of</w:t>
      </w:r>
      <w:r>
        <w:rPr>
          <w:spacing w:val="-10"/>
          <w:sz w:val="22"/>
          <w:vertAlign w:val="baseline"/>
        </w:rPr>
        <w:t> </w:t>
      </w:r>
      <w:r>
        <w:rPr>
          <w:sz w:val="22"/>
          <w:vertAlign w:val="baseline"/>
        </w:rPr>
        <w:t>Community</w:t>
      </w:r>
      <w:r>
        <w:rPr>
          <w:spacing w:val="-8"/>
          <w:sz w:val="22"/>
          <w:vertAlign w:val="baseline"/>
        </w:rPr>
        <w:t> </w:t>
      </w:r>
      <w:r>
        <w:rPr>
          <w:sz w:val="22"/>
          <w:vertAlign w:val="baseline"/>
        </w:rPr>
        <w:t>Revitalizafion,</w:t>
      </w:r>
      <w:r>
        <w:rPr>
          <w:spacing w:val="-10"/>
          <w:sz w:val="22"/>
          <w:vertAlign w:val="baseline"/>
        </w:rPr>
        <w:t> </w:t>
      </w:r>
      <w:r>
        <w:rPr>
          <w:spacing w:val="-4"/>
          <w:sz w:val="22"/>
          <w:vertAlign w:val="baseline"/>
        </w:rPr>
        <w:t>2021</w:t>
      </w:r>
    </w:p>
    <w:p>
      <w:pPr>
        <w:spacing w:before="0"/>
        <w:ind w:left="1440" w:right="0" w:firstLine="0"/>
        <w:jc w:val="left"/>
        <w:rPr>
          <w:sz w:val="20"/>
        </w:rPr>
      </w:pPr>
      <w:r>
        <w:rPr>
          <w:sz w:val="20"/>
          <w:vertAlign w:val="superscript"/>
        </w:rPr>
        <w:t>56</w:t>
      </w:r>
      <w:r>
        <w:rPr>
          <w:spacing w:val="-10"/>
          <w:sz w:val="20"/>
          <w:vertAlign w:val="baseline"/>
        </w:rPr>
        <w:t> </w:t>
      </w:r>
      <w:bookmarkStart w:name="_bookmark24" w:id="25"/>
      <w:bookmarkEnd w:id="25"/>
      <w:r>
        <w:rPr>
          <w:sz w:val="20"/>
          <w:vertAlign w:val="baseline"/>
        </w:rPr>
        <w:t>S</w:t>
      </w:r>
      <w:r>
        <w:rPr>
          <w:sz w:val="20"/>
          <w:vertAlign w:val="baseline"/>
        </w:rPr>
        <w:t>ource:</w:t>
      </w:r>
      <w:r>
        <w:rPr>
          <w:spacing w:val="-9"/>
          <w:sz w:val="20"/>
          <w:vertAlign w:val="baseline"/>
        </w:rPr>
        <w:t> </w:t>
      </w:r>
      <w:r>
        <w:rPr>
          <w:sz w:val="20"/>
          <w:vertAlign w:val="baseline"/>
        </w:rPr>
        <w:t>Nafional</w:t>
      </w:r>
      <w:r>
        <w:rPr>
          <w:spacing w:val="-9"/>
          <w:sz w:val="20"/>
          <w:vertAlign w:val="baseline"/>
        </w:rPr>
        <w:t> </w:t>
      </w:r>
      <w:r>
        <w:rPr>
          <w:sz w:val="20"/>
          <w:vertAlign w:val="baseline"/>
        </w:rPr>
        <w:t>Walkability</w:t>
      </w:r>
      <w:r>
        <w:rPr>
          <w:spacing w:val="-8"/>
          <w:sz w:val="20"/>
          <w:vertAlign w:val="baseline"/>
        </w:rPr>
        <w:t> </w:t>
      </w:r>
      <w:r>
        <w:rPr>
          <w:sz w:val="20"/>
          <w:vertAlign w:val="baseline"/>
        </w:rPr>
        <w:t>Index</w:t>
      </w:r>
      <w:r>
        <w:rPr>
          <w:spacing w:val="-9"/>
          <w:sz w:val="20"/>
          <w:vertAlign w:val="baseline"/>
        </w:rPr>
        <w:t> </w:t>
      </w:r>
      <w:r>
        <w:rPr>
          <w:sz w:val="20"/>
          <w:vertAlign w:val="baseline"/>
        </w:rPr>
        <w:t>Methodology</w:t>
      </w:r>
      <w:r>
        <w:rPr>
          <w:spacing w:val="-8"/>
          <w:sz w:val="20"/>
          <w:vertAlign w:val="baseline"/>
        </w:rPr>
        <w:t> </w:t>
      </w:r>
      <w:r>
        <w:rPr>
          <w:sz w:val="20"/>
          <w:vertAlign w:val="baseline"/>
        </w:rPr>
        <w:t>and</w:t>
      </w:r>
      <w:r>
        <w:rPr>
          <w:spacing w:val="-8"/>
          <w:sz w:val="20"/>
          <w:vertAlign w:val="baseline"/>
        </w:rPr>
        <w:t> </w:t>
      </w:r>
      <w:r>
        <w:rPr>
          <w:sz w:val="20"/>
          <w:vertAlign w:val="baseline"/>
        </w:rPr>
        <w:t>User</w:t>
      </w:r>
      <w:r>
        <w:rPr>
          <w:spacing w:val="-9"/>
          <w:sz w:val="20"/>
          <w:vertAlign w:val="baseline"/>
        </w:rPr>
        <w:t> </w:t>
      </w:r>
      <w:r>
        <w:rPr>
          <w:spacing w:val="-2"/>
          <w:sz w:val="20"/>
          <w:vertAlign w:val="baseline"/>
        </w:rPr>
        <w:t>Guide</w:t>
      </w:r>
    </w:p>
    <w:p>
      <w:pPr>
        <w:spacing w:before="1"/>
        <w:ind w:left="1440" w:right="0" w:firstLine="0"/>
        <w:jc w:val="left"/>
        <w:rPr>
          <w:sz w:val="20"/>
        </w:rPr>
      </w:pPr>
      <w:r>
        <w:rPr>
          <w:sz w:val="20"/>
          <w:vertAlign w:val="superscript"/>
        </w:rPr>
        <w:t>57</w:t>
      </w:r>
      <w:r>
        <w:rPr>
          <w:spacing w:val="-11"/>
          <w:sz w:val="20"/>
          <w:vertAlign w:val="baseline"/>
        </w:rPr>
        <w:t> </w:t>
      </w:r>
      <w:bookmarkStart w:name="_bookmark25" w:id="26"/>
      <w:bookmarkEnd w:id="26"/>
      <w:r>
        <w:rPr>
          <w:sz w:val="20"/>
          <w:vertAlign w:val="baseline"/>
        </w:rPr>
        <w:t>S</w:t>
      </w:r>
      <w:r>
        <w:rPr>
          <w:sz w:val="20"/>
          <w:vertAlign w:val="baseline"/>
        </w:rPr>
        <w:t>ource:</w:t>
      </w:r>
      <w:r>
        <w:rPr>
          <w:spacing w:val="-10"/>
          <w:sz w:val="20"/>
          <w:vertAlign w:val="baseline"/>
        </w:rPr>
        <w:t> </w:t>
      </w:r>
      <w:r>
        <w:rPr>
          <w:sz w:val="20"/>
          <w:vertAlign w:val="baseline"/>
        </w:rPr>
        <w:t>EPA</w:t>
      </w:r>
      <w:r>
        <w:rPr>
          <w:spacing w:val="-10"/>
          <w:sz w:val="20"/>
          <w:vertAlign w:val="baseline"/>
        </w:rPr>
        <w:t> </w:t>
      </w:r>
      <w:r>
        <w:rPr>
          <w:sz w:val="20"/>
          <w:vertAlign w:val="baseline"/>
        </w:rPr>
        <w:t>Oﬃce</w:t>
      </w:r>
      <w:r>
        <w:rPr>
          <w:spacing w:val="-10"/>
          <w:sz w:val="20"/>
          <w:vertAlign w:val="baseline"/>
        </w:rPr>
        <w:t> </w:t>
      </w:r>
      <w:r>
        <w:rPr>
          <w:sz w:val="20"/>
          <w:vertAlign w:val="baseline"/>
        </w:rPr>
        <w:t>of</w:t>
      </w:r>
      <w:r>
        <w:rPr>
          <w:spacing w:val="-11"/>
          <w:sz w:val="20"/>
          <w:vertAlign w:val="baseline"/>
        </w:rPr>
        <w:t> </w:t>
      </w:r>
      <w:r>
        <w:rPr>
          <w:sz w:val="20"/>
          <w:vertAlign w:val="baseline"/>
        </w:rPr>
        <w:t>Community</w:t>
      </w:r>
      <w:r>
        <w:rPr>
          <w:spacing w:val="-9"/>
          <w:sz w:val="20"/>
          <w:vertAlign w:val="baseline"/>
        </w:rPr>
        <w:t> </w:t>
      </w:r>
      <w:r>
        <w:rPr>
          <w:sz w:val="20"/>
          <w:vertAlign w:val="baseline"/>
        </w:rPr>
        <w:t>Revitalizafion,</w:t>
      </w:r>
      <w:r>
        <w:rPr>
          <w:spacing w:val="-9"/>
          <w:sz w:val="20"/>
          <w:vertAlign w:val="baseline"/>
        </w:rPr>
        <w:t> </w:t>
      </w:r>
      <w:r>
        <w:rPr>
          <w:spacing w:val="-4"/>
          <w:sz w:val="20"/>
          <w:vertAlign w:val="baseline"/>
        </w:rPr>
        <w:t>2021</w:t>
      </w:r>
    </w:p>
    <w:p>
      <w:pPr>
        <w:spacing w:after="0"/>
        <w:jc w:val="left"/>
        <w:rPr>
          <w:sz w:val="20"/>
        </w:rPr>
        <w:sectPr>
          <w:pgSz w:w="12240" w:h="15840"/>
          <w:pgMar w:header="161" w:footer="1223" w:top="1360" w:bottom="1420" w:left="0" w:right="0"/>
        </w:sectPr>
      </w:pPr>
    </w:p>
    <w:p>
      <w:pPr>
        <w:pStyle w:val="BodyText"/>
        <w:spacing w:line="256" w:lineRule="auto" w:before="64"/>
        <w:ind w:right="1467"/>
      </w:pPr>
      <w:r>
        <w:rPr/>
        <w:t>of accessibility buftons for doors. Residents collecfively express a desire for safer, more inclusive, and befter lit areas for acfivity. Access to safe spaces for physical acfivity, transportafion opfions, and walkable environments directly aﬀects residents’ ability to maintain regular exercise. Low physical acfivity is linked to higher risks of obesity, heart disease, diabetes, mental health issues, and overall premature mortality. Limited walkability and inadequate access to acfivity locafions or transportafion can</w:t>
      </w:r>
      <w:r>
        <w:rPr>
          <w:spacing w:val="-7"/>
        </w:rPr>
        <w:t> </w:t>
      </w:r>
      <w:r>
        <w:rPr/>
        <w:t>create</w:t>
      </w:r>
      <w:r>
        <w:rPr>
          <w:spacing w:val="-6"/>
        </w:rPr>
        <w:t> </w:t>
      </w:r>
      <w:r>
        <w:rPr/>
        <w:t>barriers</w:t>
      </w:r>
      <w:r>
        <w:rPr>
          <w:spacing w:val="-8"/>
        </w:rPr>
        <w:t> </w:t>
      </w:r>
      <w:r>
        <w:rPr/>
        <w:t>to</w:t>
      </w:r>
      <w:r>
        <w:rPr>
          <w:spacing w:val="-5"/>
        </w:rPr>
        <w:t> </w:t>
      </w:r>
      <w:r>
        <w:rPr/>
        <w:t>healthy</w:t>
      </w:r>
      <w:r>
        <w:rPr>
          <w:spacing w:val="-6"/>
        </w:rPr>
        <w:t> </w:t>
      </w:r>
      <w:r>
        <w:rPr/>
        <w:t>lifestyles,</w:t>
      </w:r>
      <w:r>
        <w:rPr>
          <w:spacing w:val="-6"/>
        </w:rPr>
        <w:t> </w:t>
      </w:r>
      <w:r>
        <w:rPr/>
        <w:t>contribufing</w:t>
      </w:r>
      <w:r>
        <w:rPr>
          <w:spacing w:val="-7"/>
        </w:rPr>
        <w:t> </w:t>
      </w:r>
      <w:r>
        <w:rPr/>
        <w:t>to</w:t>
      </w:r>
      <w:r>
        <w:rPr>
          <w:spacing w:val="-5"/>
        </w:rPr>
        <w:t> </w:t>
      </w:r>
      <w:r>
        <w:rPr/>
        <w:t>long-term</w:t>
      </w:r>
      <w:r>
        <w:rPr>
          <w:spacing w:val="-6"/>
        </w:rPr>
        <w:t> </w:t>
      </w:r>
      <w:r>
        <w:rPr/>
        <w:t>health</w:t>
      </w:r>
      <w:r>
        <w:rPr>
          <w:spacing w:val="-9"/>
        </w:rPr>
        <w:t> </w:t>
      </w:r>
      <w:r>
        <w:rPr/>
        <w:t>disparifies</w:t>
      </w:r>
      <w:r>
        <w:rPr>
          <w:spacing w:val="-7"/>
        </w:rPr>
        <w:t> </w:t>
      </w:r>
      <w:r>
        <w:rPr/>
        <w:t>in</w:t>
      </w:r>
      <w:r>
        <w:rPr>
          <w:spacing w:val="-7"/>
        </w:rPr>
        <w:t> </w:t>
      </w:r>
      <w:r>
        <w:rPr/>
        <w:t>the</w:t>
      </w:r>
      <w:r>
        <w:rPr>
          <w:spacing w:val="-8"/>
        </w:rPr>
        <w:t> </w:t>
      </w:r>
      <w:r>
        <w:rPr/>
        <w:t>community</w:t>
      </w:r>
      <w:hyperlink w:history="true" w:anchor="_bookmark26">
        <w:r>
          <w:rPr/>
          <w:t>.</w:t>
        </w:r>
        <w:r>
          <w:rPr>
            <w:vertAlign w:val="superscript"/>
          </w:rPr>
          <w:t>58</w:t>
        </w:r>
      </w:hyperlink>
    </w:p>
    <w:p>
      <w:pPr>
        <w:pStyle w:val="Heading3"/>
        <w:spacing w:before="162"/>
      </w:pPr>
      <w:r>
        <w:rPr/>
        <w:t>Priority:</w:t>
      </w:r>
      <w:r>
        <w:rPr>
          <w:spacing w:val="-3"/>
        </w:rPr>
        <w:t> </w:t>
      </w:r>
      <w:r>
        <w:rPr/>
        <w:t>Access</w:t>
      </w:r>
      <w:r>
        <w:rPr>
          <w:spacing w:val="-3"/>
        </w:rPr>
        <w:t> </w:t>
      </w:r>
      <w:r>
        <w:rPr/>
        <w:t>to</w:t>
      </w:r>
      <w:r>
        <w:rPr>
          <w:spacing w:val="-3"/>
        </w:rPr>
        <w:t> </w:t>
      </w:r>
      <w:r>
        <w:rPr/>
        <w:t>Community</w:t>
      </w:r>
      <w:r>
        <w:rPr>
          <w:spacing w:val="-2"/>
        </w:rPr>
        <w:t> </w:t>
      </w:r>
      <w:r>
        <w:rPr/>
        <w:t>Services and </w:t>
      </w:r>
      <w:r>
        <w:rPr>
          <w:spacing w:val="-2"/>
        </w:rPr>
        <w:t>Support</w:t>
      </w:r>
    </w:p>
    <w:p>
      <w:pPr>
        <w:pStyle w:val="BodyText"/>
        <w:spacing w:line="259" w:lineRule="auto" w:before="182"/>
        <w:ind w:right="1436"/>
      </w:pPr>
      <w:r>
        <w:rPr/>
        <w:t>The Social Vulnerability Index (SVI) is a composite measure reﬂecfing factors such as poverty, unemployment, housing, disability, minority status, and access to transportafion. It is used to idenfify communifies that may need addifional support during emergencies or public health intervenfions. SVI is measured from 0 to 1, with values closer to zero indicafing less vulnerability.</w:t>
      </w:r>
      <w:r>
        <w:rPr>
          <w:spacing w:val="40"/>
        </w:rPr>
        <w:t> </w:t>
      </w:r>
      <w:r>
        <w:rPr/>
        <w:t>Yates County’s SVI was 0.6066</w:t>
      </w:r>
      <w:r>
        <w:rPr>
          <w:spacing w:val="-4"/>
        </w:rPr>
        <w:t> </w:t>
      </w:r>
      <w:r>
        <w:rPr/>
        <w:t>as</w:t>
      </w:r>
      <w:r>
        <w:rPr>
          <w:spacing w:val="-7"/>
        </w:rPr>
        <w:t> </w:t>
      </w:r>
      <w:r>
        <w:rPr/>
        <w:t>measured</w:t>
      </w:r>
      <w:r>
        <w:rPr>
          <w:spacing w:val="-6"/>
        </w:rPr>
        <w:t> </w:t>
      </w:r>
      <w:r>
        <w:rPr/>
        <w:t>in</w:t>
      </w:r>
      <w:r>
        <w:rPr>
          <w:spacing w:val="-8"/>
        </w:rPr>
        <w:t> </w:t>
      </w:r>
      <w:r>
        <w:rPr/>
        <w:t>2022,</w:t>
      </w:r>
      <w:r>
        <w:rPr>
          <w:spacing w:val="-5"/>
        </w:rPr>
        <w:t> </w:t>
      </w:r>
      <w:r>
        <w:rPr/>
        <w:t>indicafing</w:t>
      </w:r>
      <w:r>
        <w:rPr>
          <w:spacing w:val="-5"/>
        </w:rPr>
        <w:t> </w:t>
      </w:r>
      <w:r>
        <w:rPr/>
        <w:t>moderate</w:t>
      </w:r>
      <w:r>
        <w:rPr>
          <w:spacing w:val="-4"/>
        </w:rPr>
        <w:t> </w:t>
      </w:r>
      <w:r>
        <w:rPr/>
        <w:t>social</w:t>
      </w:r>
      <w:r>
        <w:rPr>
          <w:spacing w:val="-5"/>
        </w:rPr>
        <w:t> </w:t>
      </w:r>
      <w:r>
        <w:rPr/>
        <w:t>vulnerability.</w:t>
      </w:r>
      <w:r>
        <w:rPr>
          <w:spacing w:val="-6"/>
        </w:rPr>
        <w:t> </w:t>
      </w:r>
      <w:r>
        <w:rPr/>
        <w:t>This</w:t>
      </w:r>
      <w:r>
        <w:rPr>
          <w:spacing w:val="-5"/>
        </w:rPr>
        <w:t> </w:t>
      </w:r>
      <w:r>
        <w:rPr/>
        <w:t>is</w:t>
      </w:r>
      <w:r>
        <w:rPr>
          <w:spacing w:val="-7"/>
        </w:rPr>
        <w:t> </w:t>
      </w:r>
      <w:r>
        <w:rPr/>
        <w:t>an</w:t>
      </w:r>
      <w:r>
        <w:rPr>
          <w:spacing w:val="-6"/>
        </w:rPr>
        <w:t> </w:t>
      </w:r>
      <w:r>
        <w:rPr/>
        <w:t>improvement</w:t>
      </w:r>
      <w:r>
        <w:rPr>
          <w:spacing w:val="-5"/>
        </w:rPr>
        <w:t> </w:t>
      </w:r>
      <w:r>
        <w:rPr/>
        <w:t>from</w:t>
      </w:r>
      <w:r>
        <w:rPr>
          <w:spacing w:val="-6"/>
        </w:rPr>
        <w:t> </w:t>
      </w:r>
      <w:r>
        <w:rPr/>
        <w:t>an</w:t>
      </w:r>
      <w:r>
        <w:rPr>
          <w:spacing w:val="-6"/>
        </w:rPr>
        <w:t> </w:t>
      </w:r>
      <w:r>
        <w:rPr/>
        <w:t>SVI of 0.7377 in 2014, but</w:t>
      </w:r>
      <w:r>
        <w:rPr>
          <w:spacing w:val="-1"/>
        </w:rPr>
        <w:t> </w:t>
      </w:r>
      <w:r>
        <w:rPr/>
        <w:t>a poorer</w:t>
      </w:r>
      <w:r>
        <w:rPr>
          <w:spacing w:val="-1"/>
        </w:rPr>
        <w:t> </w:t>
      </w:r>
      <w:r>
        <w:rPr/>
        <w:t>score</w:t>
      </w:r>
      <w:r>
        <w:rPr>
          <w:spacing w:val="-1"/>
        </w:rPr>
        <w:t> </w:t>
      </w:r>
      <w:r>
        <w:rPr/>
        <w:t>than the 2018 score of</w:t>
      </w:r>
      <w:r>
        <w:rPr>
          <w:spacing w:val="-2"/>
        </w:rPr>
        <w:t> </w:t>
      </w:r>
      <w:r>
        <w:rPr/>
        <w:t>0.4918.</w:t>
      </w:r>
      <w:r>
        <w:rPr>
          <w:spacing w:val="-2"/>
        </w:rPr>
        <w:t> </w:t>
      </w:r>
      <w:r>
        <w:rPr/>
        <w:t>This ﬂuctuafion represents changes in the community, with recent progress in addressing underlying risk factors.</w:t>
      </w:r>
    </w:p>
    <w:p>
      <w:pPr>
        <w:pStyle w:val="BodyText"/>
        <w:spacing w:line="259" w:lineRule="auto" w:before="159"/>
        <w:ind w:right="1467"/>
      </w:pPr>
      <w:r>
        <w:rPr/>
        <w:t>Civic</w:t>
      </w:r>
      <w:r>
        <w:rPr>
          <w:spacing w:val="-6"/>
        </w:rPr>
        <w:t> </w:t>
      </w:r>
      <w:r>
        <w:rPr/>
        <w:t>engagement</w:t>
      </w:r>
      <w:r>
        <w:rPr>
          <w:spacing w:val="-6"/>
        </w:rPr>
        <w:t> </w:t>
      </w:r>
      <w:r>
        <w:rPr/>
        <w:t>and</w:t>
      </w:r>
      <w:r>
        <w:rPr>
          <w:spacing w:val="-5"/>
        </w:rPr>
        <w:t> </w:t>
      </w:r>
      <w:r>
        <w:rPr/>
        <w:t>strong</w:t>
      </w:r>
      <w:r>
        <w:rPr>
          <w:spacing w:val="-4"/>
        </w:rPr>
        <w:t> </w:t>
      </w:r>
      <w:r>
        <w:rPr/>
        <w:t>community</w:t>
      </w:r>
      <w:r>
        <w:rPr>
          <w:spacing w:val="-3"/>
        </w:rPr>
        <w:t> </w:t>
      </w:r>
      <w:r>
        <w:rPr/>
        <w:t>networks,</w:t>
      </w:r>
      <w:r>
        <w:rPr>
          <w:spacing w:val="-6"/>
        </w:rPr>
        <w:t> </w:t>
      </w:r>
      <w:r>
        <w:rPr/>
        <w:t>such</w:t>
      </w:r>
      <w:r>
        <w:rPr>
          <w:spacing w:val="-4"/>
        </w:rPr>
        <w:t> </w:t>
      </w:r>
      <w:r>
        <w:rPr/>
        <w:t>as</w:t>
      </w:r>
      <w:r>
        <w:rPr>
          <w:spacing w:val="-4"/>
        </w:rPr>
        <w:t> </w:t>
      </w:r>
      <w:r>
        <w:rPr/>
        <w:t>high</w:t>
      </w:r>
      <w:r>
        <w:rPr>
          <w:spacing w:val="-4"/>
        </w:rPr>
        <w:t> </w:t>
      </w:r>
      <w:r>
        <w:rPr/>
        <w:t>voter</w:t>
      </w:r>
      <w:r>
        <w:rPr>
          <w:spacing w:val="-7"/>
        </w:rPr>
        <w:t> </w:t>
      </w:r>
      <w:r>
        <w:rPr/>
        <w:t>parficipafion</w:t>
      </w:r>
      <w:r>
        <w:rPr>
          <w:spacing w:val="-5"/>
        </w:rPr>
        <w:t> </w:t>
      </w:r>
      <w:r>
        <w:rPr/>
        <w:t>and</w:t>
      </w:r>
      <w:r>
        <w:rPr>
          <w:spacing w:val="-5"/>
        </w:rPr>
        <w:t> </w:t>
      </w:r>
      <w:r>
        <w:rPr/>
        <w:t>membership</w:t>
      </w:r>
      <w:r>
        <w:rPr>
          <w:spacing w:val="-5"/>
        </w:rPr>
        <w:t> </w:t>
      </w:r>
      <w:r>
        <w:rPr/>
        <w:t>in organizafions, help build social cohesion, improve disaster preparedness, and support collecfive acfion during crises. Civic engagement may be measured as vofing, volunteering, and parficipafing in community events. The percentage of the vofing-age populafion who voted in the 2020 presidenfial elecfion was 56.2%. Per the Nafional County Health Rankings, Yates County has 11.9 membership organizafions per 10,000 people, represenfing civic, polifical, religious, sports, and professional </w:t>
      </w:r>
      <w:r>
        <w:rPr>
          <w:spacing w:val="-2"/>
        </w:rPr>
        <w:t>organizafions.</w:t>
      </w:r>
      <w:r>
        <w:rPr>
          <w:spacing w:val="-2"/>
          <w:vertAlign w:val="superscript"/>
        </w:rPr>
        <w:t>13</w:t>
      </w:r>
    </w:p>
    <w:p>
      <w:pPr>
        <w:pStyle w:val="BodyText"/>
        <w:spacing w:line="259" w:lineRule="auto" w:before="158"/>
        <w:ind w:right="1467"/>
      </w:pPr>
      <w:r>
        <w:rPr/>
        <w:t>Examining</w:t>
      </w:r>
      <w:r>
        <w:rPr>
          <w:spacing w:val="-5"/>
        </w:rPr>
        <w:t> </w:t>
      </w:r>
      <w:r>
        <w:rPr/>
        <w:t>the</w:t>
      </w:r>
      <w:r>
        <w:rPr>
          <w:spacing w:val="-5"/>
        </w:rPr>
        <w:t> </w:t>
      </w:r>
      <w:r>
        <w:rPr/>
        <w:t>SVI</w:t>
      </w:r>
      <w:r>
        <w:rPr>
          <w:spacing w:val="-5"/>
        </w:rPr>
        <w:t> </w:t>
      </w:r>
      <w:r>
        <w:rPr/>
        <w:t>and</w:t>
      </w:r>
      <w:r>
        <w:rPr>
          <w:spacing w:val="-5"/>
        </w:rPr>
        <w:t> </w:t>
      </w:r>
      <w:r>
        <w:rPr/>
        <w:t>civic</w:t>
      </w:r>
      <w:r>
        <w:rPr>
          <w:spacing w:val="-6"/>
        </w:rPr>
        <w:t> </w:t>
      </w:r>
      <w:r>
        <w:rPr/>
        <w:t>engagement</w:t>
      </w:r>
      <w:r>
        <w:rPr>
          <w:spacing w:val="-6"/>
        </w:rPr>
        <w:t> </w:t>
      </w:r>
      <w:r>
        <w:rPr/>
        <w:t>together</w:t>
      </w:r>
      <w:r>
        <w:rPr>
          <w:spacing w:val="-6"/>
        </w:rPr>
        <w:t> </w:t>
      </w:r>
      <w:r>
        <w:rPr/>
        <w:t>can</w:t>
      </w:r>
      <w:r>
        <w:rPr>
          <w:spacing w:val="-6"/>
        </w:rPr>
        <w:t> </w:t>
      </w:r>
      <w:r>
        <w:rPr/>
        <w:t>help</w:t>
      </w:r>
      <w:r>
        <w:rPr>
          <w:spacing w:val="-4"/>
        </w:rPr>
        <w:t> </w:t>
      </w:r>
      <w:r>
        <w:rPr/>
        <w:t>us</w:t>
      </w:r>
      <w:r>
        <w:rPr>
          <w:spacing w:val="-4"/>
        </w:rPr>
        <w:t> </w:t>
      </w:r>
      <w:r>
        <w:rPr/>
        <w:t>predict</w:t>
      </w:r>
      <w:r>
        <w:rPr>
          <w:spacing w:val="-6"/>
        </w:rPr>
        <w:t> </w:t>
      </w:r>
      <w:r>
        <w:rPr/>
        <w:t>how</w:t>
      </w:r>
      <w:r>
        <w:rPr>
          <w:spacing w:val="-6"/>
        </w:rPr>
        <w:t> </w:t>
      </w:r>
      <w:r>
        <w:rPr/>
        <w:t>the</w:t>
      </w:r>
      <w:r>
        <w:rPr>
          <w:spacing w:val="-3"/>
        </w:rPr>
        <w:t> </w:t>
      </w:r>
      <w:r>
        <w:rPr/>
        <w:t>community</w:t>
      </w:r>
      <w:r>
        <w:rPr>
          <w:spacing w:val="-5"/>
        </w:rPr>
        <w:t> </w:t>
      </w:r>
      <w:r>
        <w:rPr/>
        <w:t>might</w:t>
      </w:r>
      <w:r>
        <w:rPr>
          <w:spacing w:val="-3"/>
        </w:rPr>
        <w:t> </w:t>
      </w:r>
      <w:r>
        <w:rPr/>
        <w:t>respond to challenges, such as a disaster</w:t>
      </w:r>
      <w:r>
        <w:rPr>
          <w:spacing w:val="-2"/>
        </w:rPr>
        <w:t> </w:t>
      </w:r>
      <w:r>
        <w:rPr/>
        <w:t>or</w:t>
      </w:r>
      <w:r>
        <w:rPr>
          <w:spacing w:val="-2"/>
        </w:rPr>
        <w:t> </w:t>
      </w:r>
      <w:r>
        <w:rPr/>
        <w:t>emergency. A community with a</w:t>
      </w:r>
      <w:r>
        <w:rPr>
          <w:spacing w:val="-1"/>
        </w:rPr>
        <w:t> </w:t>
      </w:r>
      <w:r>
        <w:rPr/>
        <w:t>higher SVI may face a</w:t>
      </w:r>
      <w:r>
        <w:rPr>
          <w:spacing w:val="-1"/>
        </w:rPr>
        <w:t> </w:t>
      </w:r>
      <w:r>
        <w:rPr/>
        <w:t>greater risk</w:t>
      </w:r>
      <w:r>
        <w:rPr>
          <w:spacing w:val="-1"/>
        </w:rPr>
        <w:t> </w:t>
      </w:r>
      <w:r>
        <w:rPr/>
        <w:t>of harm</w:t>
      </w:r>
      <w:r>
        <w:rPr>
          <w:spacing w:val="-1"/>
        </w:rPr>
        <w:t> </w:t>
      </w:r>
      <w:r>
        <w:rPr/>
        <w:t>and</w:t>
      </w:r>
      <w:r>
        <w:rPr>
          <w:spacing w:val="-3"/>
        </w:rPr>
        <w:t> </w:t>
      </w:r>
      <w:r>
        <w:rPr/>
        <w:t>slower</w:t>
      </w:r>
      <w:r>
        <w:rPr>
          <w:spacing w:val="-2"/>
        </w:rPr>
        <w:t> </w:t>
      </w:r>
      <w:r>
        <w:rPr/>
        <w:t>recovery,</w:t>
      </w:r>
      <w:r>
        <w:rPr>
          <w:spacing w:val="-4"/>
        </w:rPr>
        <w:t> </w:t>
      </w:r>
      <w:r>
        <w:rPr/>
        <w:t>while</w:t>
      </w:r>
      <w:r>
        <w:rPr>
          <w:spacing w:val="-1"/>
        </w:rPr>
        <w:t> </w:t>
      </w:r>
      <w:r>
        <w:rPr/>
        <w:t>a</w:t>
      </w:r>
      <w:r>
        <w:rPr>
          <w:spacing w:val="-2"/>
        </w:rPr>
        <w:t> </w:t>
      </w:r>
      <w:r>
        <w:rPr/>
        <w:t>community</w:t>
      </w:r>
      <w:r>
        <w:rPr>
          <w:spacing w:val="-3"/>
        </w:rPr>
        <w:t> </w:t>
      </w:r>
      <w:r>
        <w:rPr/>
        <w:t>with</w:t>
      </w:r>
      <w:r>
        <w:rPr>
          <w:spacing w:val="-3"/>
        </w:rPr>
        <w:t> </w:t>
      </w:r>
      <w:r>
        <w:rPr/>
        <w:t>strong</w:t>
      </w:r>
      <w:r>
        <w:rPr>
          <w:spacing w:val="-2"/>
        </w:rPr>
        <w:t> </w:t>
      </w:r>
      <w:r>
        <w:rPr/>
        <w:t>civic</w:t>
      </w:r>
      <w:r>
        <w:rPr>
          <w:spacing w:val="-2"/>
        </w:rPr>
        <w:t> </w:t>
      </w:r>
      <w:r>
        <w:rPr/>
        <w:t>engagement</w:t>
      </w:r>
      <w:r>
        <w:rPr>
          <w:spacing w:val="-4"/>
        </w:rPr>
        <w:t> </w:t>
      </w:r>
      <w:r>
        <w:rPr/>
        <w:t>may</w:t>
      </w:r>
      <w:r>
        <w:rPr>
          <w:spacing w:val="-3"/>
        </w:rPr>
        <w:t> </w:t>
      </w:r>
      <w:r>
        <w:rPr/>
        <w:t>have</w:t>
      </w:r>
      <w:r>
        <w:rPr>
          <w:spacing w:val="-1"/>
        </w:rPr>
        <w:t> </w:t>
      </w:r>
      <w:r>
        <w:rPr/>
        <w:t>more</w:t>
      </w:r>
      <w:r>
        <w:rPr>
          <w:spacing w:val="-1"/>
        </w:rPr>
        <w:t> </w:t>
      </w:r>
      <w:r>
        <w:rPr/>
        <w:t>community support to respond to the challenges. Yates County’s relafively low SVI and strong civic involvement suggest</w:t>
      </w:r>
      <w:r>
        <w:rPr>
          <w:spacing w:val="-4"/>
        </w:rPr>
        <w:t> </w:t>
      </w:r>
      <w:r>
        <w:rPr/>
        <w:t>it</w:t>
      </w:r>
      <w:r>
        <w:rPr>
          <w:spacing w:val="-3"/>
        </w:rPr>
        <w:t> </w:t>
      </w:r>
      <w:r>
        <w:rPr/>
        <w:t>has</w:t>
      </w:r>
      <w:r>
        <w:rPr>
          <w:spacing w:val="-6"/>
        </w:rPr>
        <w:t> </w:t>
      </w:r>
      <w:r>
        <w:rPr/>
        <w:t>a</w:t>
      </w:r>
      <w:r>
        <w:rPr>
          <w:spacing w:val="-4"/>
        </w:rPr>
        <w:t> </w:t>
      </w:r>
      <w:r>
        <w:rPr/>
        <w:t>solid</w:t>
      </w:r>
      <w:r>
        <w:rPr>
          <w:spacing w:val="-5"/>
        </w:rPr>
        <w:t> </w:t>
      </w:r>
      <w:r>
        <w:rPr/>
        <w:t>foundafion</w:t>
      </w:r>
      <w:r>
        <w:rPr>
          <w:spacing w:val="-5"/>
        </w:rPr>
        <w:t> </w:t>
      </w:r>
      <w:r>
        <w:rPr/>
        <w:t>to</w:t>
      </w:r>
      <w:r>
        <w:rPr>
          <w:spacing w:val="-5"/>
        </w:rPr>
        <w:t> </w:t>
      </w:r>
      <w:r>
        <w:rPr/>
        <w:t>respond</w:t>
      </w:r>
      <w:r>
        <w:rPr>
          <w:spacing w:val="-5"/>
        </w:rPr>
        <w:t> </w:t>
      </w:r>
      <w:r>
        <w:rPr/>
        <w:t>to</w:t>
      </w:r>
      <w:r>
        <w:rPr>
          <w:spacing w:val="-3"/>
        </w:rPr>
        <w:t> </w:t>
      </w:r>
      <w:r>
        <w:rPr/>
        <w:t>community</w:t>
      </w:r>
      <w:r>
        <w:rPr>
          <w:spacing w:val="-3"/>
        </w:rPr>
        <w:t> </w:t>
      </w:r>
      <w:r>
        <w:rPr/>
        <w:t>challenges,</w:t>
      </w:r>
      <w:r>
        <w:rPr>
          <w:spacing w:val="-6"/>
        </w:rPr>
        <w:t> </w:t>
      </w:r>
      <w:r>
        <w:rPr/>
        <w:t>though</w:t>
      </w:r>
      <w:r>
        <w:rPr>
          <w:spacing w:val="-5"/>
        </w:rPr>
        <w:t> </w:t>
      </w:r>
      <w:r>
        <w:rPr/>
        <w:t>vulnerabilifies</w:t>
      </w:r>
      <w:r>
        <w:rPr>
          <w:spacing w:val="-4"/>
        </w:rPr>
        <w:t> </w:t>
      </w:r>
      <w:r>
        <w:rPr/>
        <w:t>sfill</w:t>
      </w:r>
      <w:r>
        <w:rPr>
          <w:spacing w:val="-6"/>
        </w:rPr>
        <w:t> </w:t>
      </w:r>
      <w:r>
        <w:rPr/>
        <w:t>exist</w:t>
      </w:r>
      <w:r>
        <w:rPr>
          <w:spacing w:val="-6"/>
        </w:rPr>
        <w:t> </w:t>
      </w:r>
      <w:r>
        <w:rPr/>
        <w:t>for certain populafions</w:t>
      </w:r>
      <w:hyperlink w:history="true" w:anchor="_bookmark27">
        <w:r>
          <w:rPr/>
          <w:t>.</w:t>
        </w:r>
        <w:r>
          <w:rPr>
            <w:vertAlign w:val="superscript"/>
          </w:rPr>
          <w:t>59</w:t>
        </w:r>
      </w:hyperlink>
    </w:p>
    <w:p>
      <w:pPr>
        <w:pStyle w:val="Heading3"/>
        <w:spacing w:before="159"/>
      </w:pPr>
      <w:r>
        <w:rPr/>
        <w:t>Priority:</w:t>
      </w:r>
      <w:r>
        <w:rPr>
          <w:spacing w:val="-3"/>
        </w:rPr>
        <w:t> </w:t>
      </w:r>
      <w:r>
        <w:rPr/>
        <w:t>Injuries</w:t>
      </w:r>
      <w:r>
        <w:rPr>
          <w:spacing w:val="-1"/>
        </w:rPr>
        <w:t> </w:t>
      </w:r>
      <w:r>
        <w:rPr/>
        <w:t>and</w:t>
      </w:r>
      <w:r>
        <w:rPr>
          <w:spacing w:val="-2"/>
        </w:rPr>
        <w:t> Violence</w:t>
      </w:r>
    </w:p>
    <w:p>
      <w:pPr>
        <w:pStyle w:val="BodyText"/>
        <w:spacing w:line="259" w:lineRule="auto" w:before="184"/>
        <w:ind w:right="1467"/>
      </w:pPr>
      <w:r>
        <w:rPr/>
        <w:t>Unintenfional injury death is the third leading cause of death in Yates County. </w:t>
      </w:r>
      <w:r>
        <w:rPr>
          <w:rFonts w:ascii="Arial"/>
        </w:rPr>
        <w:t>Death resulting from f</w:t>
      </w:r>
      <w:r>
        <w:rPr/>
        <w:t>irearms and motor vehicle crashes are above state rates and increasing. Overall, injury and violence-related</w:t>
      </w:r>
      <w:r>
        <w:rPr>
          <w:spacing w:val="-7"/>
        </w:rPr>
        <w:t> </w:t>
      </w:r>
      <w:r>
        <w:rPr/>
        <w:t>deaths</w:t>
      </w:r>
      <w:r>
        <w:rPr>
          <w:spacing w:val="-7"/>
        </w:rPr>
        <w:t> </w:t>
      </w:r>
      <w:r>
        <w:rPr/>
        <w:t>are</w:t>
      </w:r>
      <w:r>
        <w:rPr>
          <w:spacing w:val="-7"/>
        </w:rPr>
        <w:t> </w:t>
      </w:r>
      <w:r>
        <w:rPr/>
        <w:t>a</w:t>
      </w:r>
      <w:r>
        <w:rPr>
          <w:spacing w:val="-7"/>
        </w:rPr>
        <w:t> </w:t>
      </w:r>
      <w:r>
        <w:rPr/>
        <w:t>growing</w:t>
      </w:r>
      <w:r>
        <w:rPr>
          <w:spacing w:val="-7"/>
        </w:rPr>
        <w:t> </w:t>
      </w:r>
      <w:r>
        <w:rPr/>
        <w:t>threat</w:t>
      </w:r>
      <w:r>
        <w:rPr>
          <w:spacing w:val="-9"/>
        </w:rPr>
        <w:t> </w:t>
      </w:r>
      <w:r>
        <w:rPr/>
        <w:t>to</w:t>
      </w:r>
      <w:r>
        <w:rPr>
          <w:spacing w:val="-8"/>
        </w:rPr>
        <w:t> </w:t>
      </w:r>
      <w:r>
        <w:rPr/>
        <w:t>community</w:t>
      </w:r>
      <w:r>
        <w:rPr>
          <w:spacing w:val="-7"/>
        </w:rPr>
        <w:t> </w:t>
      </w:r>
      <w:r>
        <w:rPr/>
        <w:t>health</w:t>
      </w:r>
      <w:r>
        <w:rPr>
          <w:spacing w:val="-7"/>
        </w:rPr>
        <w:t> </w:t>
      </w:r>
      <w:r>
        <w:rPr/>
        <w:t>and</w:t>
      </w:r>
      <w:r>
        <w:rPr>
          <w:spacing w:val="-8"/>
        </w:rPr>
        <w:t> </w:t>
      </w:r>
      <w:r>
        <w:rPr/>
        <w:t>safety.</w:t>
      </w:r>
      <w:r>
        <w:rPr>
          <w:spacing w:val="-10"/>
        </w:rPr>
        <w:t> </w:t>
      </w:r>
      <w:r>
        <w:rPr/>
        <w:t>Table</w:t>
      </w:r>
      <w:r>
        <w:rPr>
          <w:spacing w:val="-9"/>
        </w:rPr>
        <w:t> </w:t>
      </w:r>
      <w:r>
        <w:rPr/>
        <w:t>Y3</w:t>
      </w:r>
      <w:r>
        <w:rPr>
          <w:spacing w:val="-8"/>
        </w:rPr>
        <w:t> </w:t>
      </w:r>
      <w:r>
        <w:rPr/>
        <w:t>details</w:t>
      </w:r>
      <w:r>
        <w:rPr>
          <w:spacing w:val="-7"/>
        </w:rPr>
        <w:t> </w:t>
      </w:r>
      <w:r>
        <w:rPr/>
        <w:t>age-adjusted</w:t>
      </w:r>
      <w:r>
        <w:rPr>
          <w:spacing w:val="-7"/>
        </w:rPr>
        <w:t> </w:t>
      </w:r>
      <w:r>
        <w:rPr/>
        <w:t>injury and violence death rates per 100,000 populafion.</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239"/>
        <w:ind w:left="0"/>
        <w:rPr>
          <w:sz w:val="20"/>
        </w:rPr>
      </w:pPr>
      <w:r>
        <w:rPr>
          <w:sz w:val="20"/>
        </w:rPr>
        <mc:AlternateContent>
          <mc:Choice Requires="wps">
            <w:drawing>
              <wp:anchor distT="0" distB="0" distL="0" distR="0" allowOverlap="1" layoutInCell="1" locked="0" behindDoc="1" simplePos="0" relativeHeight="487604224">
                <wp:simplePos x="0" y="0"/>
                <wp:positionH relativeFrom="page">
                  <wp:posOffset>914400</wp:posOffset>
                </wp:positionH>
                <wp:positionV relativeFrom="paragraph">
                  <wp:posOffset>322554</wp:posOffset>
                </wp:positionV>
                <wp:extent cx="1828800" cy="9525"/>
                <wp:effectExtent l="0" t="0" r="0" b="0"/>
                <wp:wrapTopAndBottom/>
                <wp:docPr id="87" name="Graphic 87"/>
                <wp:cNvGraphicFramePr>
                  <a:graphicFrameLocks/>
                </wp:cNvGraphicFramePr>
                <a:graphic>
                  <a:graphicData uri="http://schemas.microsoft.com/office/word/2010/wordprocessingShape">
                    <wps:wsp>
                      <wps:cNvPr id="87" name="Graphic 87"/>
                      <wps:cNvSpPr/>
                      <wps:spPr>
                        <a:xfrm>
                          <a:off x="0" y="0"/>
                          <a:ext cx="1828800" cy="9525"/>
                        </a:xfrm>
                        <a:custGeom>
                          <a:avLst/>
                          <a:gdLst/>
                          <a:ahLst/>
                          <a:cxnLst/>
                          <a:rect l="l" t="t" r="r" b="b"/>
                          <a:pathLst>
                            <a:path w="1828800" h="9525">
                              <a:moveTo>
                                <a:pt x="1828800" y="0"/>
                              </a:moveTo>
                              <a:lnTo>
                                <a:pt x="0" y="0"/>
                              </a:lnTo>
                              <a:lnTo>
                                <a:pt x="0" y="9017"/>
                              </a:lnTo>
                              <a:lnTo>
                                <a:pt x="1828800" y="901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5.398018pt;width:144pt;height:.71pt;mso-position-horizontal-relative:page;mso-position-vertical-relative:paragraph;z-index:-15712256;mso-wrap-distance-left:0;mso-wrap-distance-right:0" id="docshape70" filled="true" fillcolor="#000000" stroked="false">
                <v:fill type="solid"/>
                <w10:wrap type="topAndBottom"/>
              </v:rect>
            </w:pict>
          </mc:Fallback>
        </mc:AlternateContent>
      </w:r>
    </w:p>
    <w:p>
      <w:pPr>
        <w:spacing w:before="100"/>
        <w:ind w:left="1440" w:right="0" w:firstLine="0"/>
        <w:jc w:val="left"/>
        <w:rPr>
          <w:sz w:val="20"/>
        </w:rPr>
      </w:pPr>
      <w:r>
        <w:rPr>
          <w:spacing w:val="-2"/>
          <w:sz w:val="20"/>
          <w:vertAlign w:val="superscript"/>
        </w:rPr>
        <w:t>58</w:t>
      </w:r>
      <w:r>
        <w:rPr>
          <w:spacing w:val="1"/>
          <w:sz w:val="20"/>
          <w:vertAlign w:val="baseline"/>
        </w:rPr>
        <w:t> </w:t>
      </w:r>
      <w:bookmarkStart w:name="_bookmark26" w:id="27"/>
      <w:bookmarkEnd w:id="27"/>
      <w:r>
        <w:rPr>
          <w:spacing w:val="-2"/>
          <w:sz w:val="20"/>
          <w:vertAlign w:val="baseline"/>
        </w:rPr>
        <w:t>S</w:t>
      </w:r>
      <w:r>
        <w:rPr>
          <w:spacing w:val="-2"/>
          <w:sz w:val="20"/>
          <w:vertAlign w:val="baseline"/>
        </w:rPr>
        <w:t>ource:</w:t>
      </w:r>
      <w:r>
        <w:rPr>
          <w:spacing w:val="5"/>
          <w:sz w:val="20"/>
          <w:vertAlign w:val="baseline"/>
        </w:rPr>
        <w:t> </w:t>
      </w:r>
      <w:r>
        <w:rPr>
          <w:spacing w:val="-2"/>
          <w:sz w:val="20"/>
          <w:vertAlign w:val="baseline"/>
        </w:rPr>
        <w:t>hftps://</w:t>
      </w:r>
      <w:hyperlink r:id="rId32">
        <w:r>
          <w:rPr>
            <w:spacing w:val="-2"/>
            <w:sz w:val="20"/>
            <w:vertAlign w:val="baseline"/>
          </w:rPr>
          <w:t>www.who.int/news-room/fact-sheets/detail/physical-acfivity</w:t>
        </w:r>
      </w:hyperlink>
    </w:p>
    <w:p>
      <w:pPr>
        <w:spacing w:before="1"/>
        <w:ind w:left="1440" w:right="0" w:firstLine="0"/>
        <w:jc w:val="left"/>
        <w:rPr>
          <w:sz w:val="20"/>
        </w:rPr>
      </w:pPr>
      <w:r>
        <w:rPr>
          <w:sz w:val="20"/>
          <w:vertAlign w:val="superscript"/>
        </w:rPr>
        <w:t>59</w:t>
      </w:r>
      <w:r>
        <w:rPr>
          <w:spacing w:val="-9"/>
          <w:sz w:val="20"/>
          <w:vertAlign w:val="baseline"/>
        </w:rPr>
        <w:t> </w:t>
      </w:r>
      <w:bookmarkStart w:name="_bookmark27" w:id="28"/>
      <w:bookmarkEnd w:id="28"/>
      <w:r>
        <w:rPr>
          <w:sz w:val="20"/>
          <w:vertAlign w:val="baseline"/>
        </w:rPr>
        <w:t>S</w:t>
      </w:r>
      <w:r>
        <w:rPr>
          <w:sz w:val="20"/>
          <w:vertAlign w:val="baseline"/>
        </w:rPr>
        <w:t>ource:</w:t>
      </w:r>
      <w:r>
        <w:rPr>
          <w:spacing w:val="-8"/>
          <w:sz w:val="20"/>
          <w:vertAlign w:val="baseline"/>
        </w:rPr>
        <w:t> </w:t>
      </w:r>
      <w:r>
        <w:rPr>
          <w:sz w:val="20"/>
          <w:vertAlign w:val="baseline"/>
        </w:rPr>
        <w:t>County</w:t>
      </w:r>
      <w:r>
        <w:rPr>
          <w:spacing w:val="-7"/>
          <w:sz w:val="20"/>
          <w:vertAlign w:val="baseline"/>
        </w:rPr>
        <w:t> </w:t>
      </w:r>
      <w:r>
        <w:rPr>
          <w:sz w:val="20"/>
          <w:vertAlign w:val="baseline"/>
        </w:rPr>
        <w:t>Health</w:t>
      </w:r>
      <w:r>
        <w:rPr>
          <w:spacing w:val="-7"/>
          <w:sz w:val="20"/>
          <w:vertAlign w:val="baseline"/>
        </w:rPr>
        <w:t> </w:t>
      </w:r>
      <w:r>
        <w:rPr>
          <w:spacing w:val="-2"/>
          <w:sz w:val="20"/>
          <w:vertAlign w:val="baseline"/>
        </w:rPr>
        <w:t>Rankings.</w:t>
      </w:r>
    </w:p>
    <w:p>
      <w:pPr>
        <w:spacing w:after="0"/>
        <w:jc w:val="left"/>
        <w:rPr>
          <w:sz w:val="20"/>
        </w:rPr>
        <w:sectPr>
          <w:pgSz w:w="12240" w:h="15840"/>
          <w:pgMar w:header="161" w:footer="1223" w:top="1360" w:bottom="1420" w:left="0" w:right="0"/>
        </w:sectPr>
      </w:pPr>
    </w:p>
    <w:p>
      <w:pPr>
        <w:spacing w:before="63"/>
        <w:ind w:left="1440" w:right="0" w:firstLine="0"/>
        <w:jc w:val="left"/>
        <w:rPr>
          <w:i/>
          <w:sz w:val="18"/>
        </w:rPr>
      </w:pPr>
      <w:r>
        <w:rPr>
          <w:i/>
          <w:sz w:val="18"/>
        </w:rPr>
        <w:t>Table</w:t>
      </w:r>
      <w:r>
        <w:rPr>
          <w:i/>
          <w:spacing w:val="-6"/>
          <w:sz w:val="18"/>
        </w:rPr>
        <w:t> </w:t>
      </w:r>
      <w:r>
        <w:rPr>
          <w:i/>
          <w:sz w:val="18"/>
        </w:rPr>
        <w:t>Y3.</w:t>
      </w:r>
      <w:r>
        <w:rPr>
          <w:i/>
          <w:spacing w:val="-6"/>
          <w:sz w:val="18"/>
        </w:rPr>
        <w:t> </w:t>
      </w:r>
      <w:r>
        <w:rPr>
          <w:i/>
          <w:sz w:val="18"/>
        </w:rPr>
        <w:t>Rates</w:t>
      </w:r>
      <w:r>
        <w:rPr>
          <w:i/>
          <w:spacing w:val="-5"/>
          <w:sz w:val="18"/>
        </w:rPr>
        <w:t> </w:t>
      </w:r>
      <w:r>
        <w:rPr>
          <w:i/>
          <w:sz w:val="18"/>
        </w:rPr>
        <w:t>of</w:t>
      </w:r>
      <w:r>
        <w:rPr>
          <w:i/>
          <w:spacing w:val="-3"/>
          <w:sz w:val="18"/>
        </w:rPr>
        <w:t> </w:t>
      </w:r>
      <w:r>
        <w:rPr>
          <w:i/>
          <w:sz w:val="18"/>
        </w:rPr>
        <w:t>Age-Adjusted</w:t>
      </w:r>
      <w:r>
        <w:rPr>
          <w:i/>
          <w:spacing w:val="-3"/>
          <w:sz w:val="18"/>
        </w:rPr>
        <w:t> </w:t>
      </w:r>
      <w:r>
        <w:rPr>
          <w:i/>
          <w:sz w:val="18"/>
        </w:rPr>
        <w:t>Cause</w:t>
      </w:r>
      <w:r>
        <w:rPr>
          <w:i/>
          <w:spacing w:val="-3"/>
          <w:sz w:val="18"/>
        </w:rPr>
        <w:t> </w:t>
      </w:r>
      <w:r>
        <w:rPr>
          <w:i/>
          <w:sz w:val="18"/>
        </w:rPr>
        <w:t>of</w:t>
      </w:r>
      <w:r>
        <w:rPr>
          <w:i/>
          <w:spacing w:val="-4"/>
          <w:sz w:val="18"/>
        </w:rPr>
        <w:t> </w:t>
      </w:r>
      <w:r>
        <w:rPr>
          <w:i/>
          <w:sz w:val="18"/>
        </w:rPr>
        <w:t>Death</w:t>
      </w:r>
      <w:r>
        <w:rPr>
          <w:i/>
          <w:spacing w:val="-5"/>
          <w:sz w:val="18"/>
        </w:rPr>
        <w:t> </w:t>
      </w:r>
      <w:r>
        <w:rPr>
          <w:i/>
          <w:sz w:val="18"/>
        </w:rPr>
        <w:t>(measured</w:t>
      </w:r>
      <w:r>
        <w:rPr>
          <w:i/>
          <w:spacing w:val="-5"/>
          <w:sz w:val="18"/>
        </w:rPr>
        <w:t> </w:t>
      </w:r>
      <w:r>
        <w:rPr>
          <w:i/>
          <w:sz w:val="18"/>
        </w:rPr>
        <w:t>per</w:t>
      </w:r>
      <w:r>
        <w:rPr>
          <w:i/>
          <w:spacing w:val="-4"/>
          <w:sz w:val="18"/>
        </w:rPr>
        <w:t> </w:t>
      </w:r>
      <w:r>
        <w:rPr>
          <w:i/>
          <w:sz w:val="18"/>
        </w:rPr>
        <w:t>100,000</w:t>
      </w:r>
      <w:r>
        <w:rPr>
          <w:i/>
          <w:spacing w:val="-3"/>
          <w:sz w:val="18"/>
        </w:rPr>
        <w:t> </w:t>
      </w:r>
      <w:r>
        <w:rPr>
          <w:i/>
          <w:spacing w:val="-2"/>
          <w:sz w:val="18"/>
        </w:rPr>
        <w:t>populafion)</w:t>
      </w:r>
    </w:p>
    <w:p>
      <w:pPr>
        <w:pStyle w:val="BodyText"/>
        <w:spacing w:before="6"/>
        <w:ind w:left="0"/>
        <w:rPr>
          <w:i/>
          <w:sz w:val="15"/>
        </w:rPr>
      </w:pPr>
    </w:p>
    <w:tbl>
      <w:tblPr>
        <w:tblW w:w="0" w:type="auto"/>
        <w:jc w:val="left"/>
        <w:tblInd w:w="1457"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0" w:type="dxa"/>
          <w:left w:w="0" w:type="dxa"/>
          <w:bottom w:w="0" w:type="dxa"/>
          <w:right w:w="0" w:type="dxa"/>
        </w:tblCellMar>
        <w:tblLook w:val="01E0"/>
      </w:tblPr>
      <w:tblGrid>
        <w:gridCol w:w="1584"/>
        <w:gridCol w:w="1474"/>
        <w:gridCol w:w="1883"/>
        <w:gridCol w:w="4494"/>
      </w:tblGrid>
      <w:tr>
        <w:trPr>
          <w:trHeight w:val="533" w:hRule="atLeast"/>
        </w:trPr>
        <w:tc>
          <w:tcPr>
            <w:tcW w:w="1584" w:type="dxa"/>
            <w:tcBorders>
              <w:top w:val="nil"/>
              <w:left w:val="nil"/>
              <w:right w:val="nil"/>
            </w:tcBorders>
            <w:shd w:val="clear" w:color="auto" w:fill="145F82"/>
          </w:tcPr>
          <w:p>
            <w:pPr>
              <w:pStyle w:val="TableParagraph"/>
              <w:spacing w:line="240" w:lineRule="auto"/>
              <w:ind w:left="0"/>
              <w:rPr>
                <w:rFonts w:ascii="Times New Roman"/>
                <w:sz w:val="22"/>
              </w:rPr>
            </w:pPr>
          </w:p>
        </w:tc>
        <w:tc>
          <w:tcPr>
            <w:tcW w:w="1474" w:type="dxa"/>
            <w:tcBorders>
              <w:top w:val="nil"/>
              <w:left w:val="nil"/>
              <w:right w:val="nil"/>
            </w:tcBorders>
            <w:shd w:val="clear" w:color="auto" w:fill="145F82"/>
          </w:tcPr>
          <w:p>
            <w:pPr>
              <w:pStyle w:val="TableParagraph"/>
              <w:spacing w:line="267" w:lineRule="exact"/>
              <w:ind w:left="299"/>
              <w:rPr>
                <w:b/>
                <w:sz w:val="22"/>
              </w:rPr>
            </w:pPr>
            <w:r>
              <w:rPr>
                <w:b/>
                <w:color w:val="FFFFFF"/>
                <w:spacing w:val="-2"/>
                <w:sz w:val="22"/>
              </w:rPr>
              <w:t>Incidence</w:t>
            </w:r>
          </w:p>
          <w:p>
            <w:pPr>
              <w:pStyle w:val="TableParagraph"/>
              <w:spacing w:line="247" w:lineRule="exact"/>
              <w:ind w:left="213"/>
              <w:rPr>
                <w:b/>
                <w:sz w:val="22"/>
              </w:rPr>
            </w:pPr>
            <w:r>
              <w:rPr>
                <w:b/>
                <w:color w:val="FFFFFF"/>
                <w:sz w:val="22"/>
              </w:rPr>
              <w:t>Rate</w:t>
            </w:r>
            <w:r>
              <w:rPr>
                <w:b/>
                <w:color w:val="FFFFFF"/>
                <w:spacing w:val="-8"/>
                <w:sz w:val="22"/>
              </w:rPr>
              <w:t> </w:t>
            </w:r>
            <w:r>
              <w:rPr>
                <w:b/>
                <w:color w:val="FFFFFF"/>
                <w:spacing w:val="-2"/>
                <w:sz w:val="22"/>
              </w:rPr>
              <w:t>(2022)</w:t>
            </w:r>
          </w:p>
        </w:tc>
        <w:tc>
          <w:tcPr>
            <w:tcW w:w="1883" w:type="dxa"/>
            <w:tcBorders>
              <w:top w:val="nil"/>
              <w:left w:val="nil"/>
              <w:right w:val="nil"/>
            </w:tcBorders>
            <w:shd w:val="clear" w:color="auto" w:fill="145F82"/>
          </w:tcPr>
          <w:p>
            <w:pPr>
              <w:pStyle w:val="TableParagraph"/>
              <w:spacing w:line="267" w:lineRule="exact"/>
              <w:ind w:left="2" w:right="3"/>
              <w:jc w:val="center"/>
              <w:rPr>
                <w:b/>
                <w:sz w:val="22"/>
              </w:rPr>
            </w:pPr>
            <w:r>
              <w:rPr>
                <w:b/>
                <w:color w:val="FFFFFF"/>
                <w:sz w:val="22"/>
              </w:rPr>
              <w:t>%</w:t>
            </w:r>
            <w:r>
              <w:rPr>
                <w:b/>
                <w:color w:val="FFFFFF"/>
                <w:spacing w:val="-2"/>
                <w:sz w:val="22"/>
              </w:rPr>
              <w:t> </w:t>
            </w:r>
            <w:r>
              <w:rPr>
                <w:b/>
                <w:color w:val="FFFFFF"/>
                <w:sz w:val="22"/>
              </w:rPr>
              <w:t>change</w:t>
            </w:r>
            <w:r>
              <w:rPr>
                <w:b/>
                <w:color w:val="FFFFFF"/>
                <w:spacing w:val="-2"/>
                <w:sz w:val="22"/>
              </w:rPr>
              <w:t> </w:t>
            </w:r>
            <w:r>
              <w:rPr>
                <w:b/>
                <w:color w:val="FFFFFF"/>
                <w:spacing w:val="-4"/>
                <w:sz w:val="22"/>
              </w:rPr>
              <w:t>from</w:t>
            </w:r>
          </w:p>
          <w:p>
            <w:pPr>
              <w:pStyle w:val="TableParagraph"/>
              <w:spacing w:line="247" w:lineRule="exact"/>
              <w:ind w:left="0" w:right="3"/>
              <w:jc w:val="center"/>
              <w:rPr>
                <w:b/>
                <w:sz w:val="22"/>
              </w:rPr>
            </w:pPr>
            <w:r>
              <w:rPr>
                <w:b/>
                <w:color w:val="FFFFFF"/>
                <w:spacing w:val="-4"/>
                <w:sz w:val="22"/>
              </w:rPr>
              <w:t>2018</w:t>
            </w:r>
          </w:p>
        </w:tc>
        <w:tc>
          <w:tcPr>
            <w:tcW w:w="4494" w:type="dxa"/>
            <w:tcBorders>
              <w:top w:val="nil"/>
              <w:left w:val="nil"/>
              <w:right w:val="nil"/>
            </w:tcBorders>
            <w:shd w:val="clear" w:color="auto" w:fill="145F82"/>
          </w:tcPr>
          <w:p>
            <w:pPr>
              <w:pStyle w:val="TableParagraph"/>
              <w:ind w:left="0"/>
              <w:jc w:val="center"/>
              <w:rPr>
                <w:b/>
                <w:sz w:val="22"/>
              </w:rPr>
            </w:pPr>
            <w:r>
              <w:rPr>
                <w:b/>
                <w:color w:val="FFFFFF"/>
                <w:spacing w:val="-2"/>
                <w:sz w:val="22"/>
              </w:rPr>
              <w:t>Deﬁnifion</w:t>
            </w:r>
          </w:p>
        </w:tc>
      </w:tr>
      <w:tr>
        <w:trPr>
          <w:trHeight w:val="1070" w:hRule="atLeast"/>
        </w:trPr>
        <w:tc>
          <w:tcPr>
            <w:tcW w:w="1584" w:type="dxa"/>
            <w:tcBorders>
              <w:left w:val="nil"/>
              <w:bottom w:val="single" w:sz="4" w:space="0" w:color="FFFFFF"/>
              <w:right w:val="single" w:sz="4" w:space="0" w:color="FFFFFF"/>
            </w:tcBorders>
            <w:shd w:val="clear" w:color="auto" w:fill="145F82"/>
          </w:tcPr>
          <w:p>
            <w:pPr>
              <w:pStyle w:val="TableParagraph"/>
              <w:spacing w:line="240" w:lineRule="auto" w:before="264"/>
              <w:ind w:left="158"/>
              <w:rPr>
                <w:b/>
                <w:sz w:val="22"/>
              </w:rPr>
            </w:pPr>
            <w:r>
              <w:rPr>
                <w:b/>
                <w:color w:val="FFFFFF"/>
                <w:spacing w:val="-2"/>
                <w:sz w:val="22"/>
              </w:rPr>
              <w:t>Unintenfional</w:t>
            </w:r>
          </w:p>
          <w:p>
            <w:pPr>
              <w:pStyle w:val="TableParagraph"/>
              <w:spacing w:line="240" w:lineRule="auto"/>
              <w:ind w:left="220"/>
              <w:rPr>
                <w:b/>
                <w:sz w:val="22"/>
              </w:rPr>
            </w:pPr>
            <w:r>
              <w:rPr>
                <w:b/>
                <w:color w:val="FFFFFF"/>
                <w:sz w:val="22"/>
              </w:rPr>
              <w:t>Injury</w:t>
            </w:r>
            <w:r>
              <w:rPr>
                <w:b/>
                <w:color w:val="FFFFFF"/>
                <w:spacing w:val="-1"/>
                <w:sz w:val="22"/>
              </w:rPr>
              <w:t> </w:t>
            </w:r>
            <w:r>
              <w:rPr>
                <w:b/>
                <w:color w:val="FFFFFF"/>
                <w:spacing w:val="-2"/>
                <w:sz w:val="22"/>
              </w:rPr>
              <w:t>Death</w:t>
            </w:r>
          </w:p>
        </w:tc>
        <w:tc>
          <w:tcPr>
            <w:tcW w:w="1474" w:type="dxa"/>
            <w:tcBorders>
              <w:left w:val="single" w:sz="4" w:space="0" w:color="FFFFFF"/>
              <w:bottom w:val="single" w:sz="4" w:space="0" w:color="FFFFFF"/>
              <w:right w:val="single" w:sz="4" w:space="0" w:color="FFFFFF"/>
            </w:tcBorders>
            <w:shd w:val="clear" w:color="auto" w:fill="83C9EB"/>
          </w:tcPr>
          <w:p>
            <w:pPr>
              <w:pStyle w:val="TableParagraph"/>
              <w:spacing w:line="240" w:lineRule="auto" w:before="129"/>
              <w:ind w:left="0"/>
              <w:rPr>
                <w:i/>
                <w:sz w:val="22"/>
              </w:rPr>
            </w:pPr>
          </w:p>
          <w:p>
            <w:pPr>
              <w:pStyle w:val="TableParagraph"/>
              <w:spacing w:line="240" w:lineRule="auto" w:before="1"/>
              <w:ind w:left="3"/>
              <w:jc w:val="center"/>
              <w:rPr>
                <w:sz w:val="22"/>
              </w:rPr>
            </w:pPr>
            <w:r>
              <w:rPr>
                <w:spacing w:val="-4"/>
                <w:sz w:val="22"/>
              </w:rPr>
              <w:t>80.3</w:t>
            </w:r>
          </w:p>
        </w:tc>
        <w:tc>
          <w:tcPr>
            <w:tcW w:w="1883" w:type="dxa"/>
            <w:tcBorders>
              <w:left w:val="single" w:sz="4" w:space="0" w:color="FFFFFF"/>
              <w:bottom w:val="single" w:sz="4" w:space="0" w:color="FFFFFF"/>
            </w:tcBorders>
            <w:shd w:val="clear" w:color="auto" w:fill="83C9EB"/>
          </w:tcPr>
          <w:p>
            <w:pPr>
              <w:pStyle w:val="TableParagraph"/>
              <w:spacing w:line="240" w:lineRule="auto" w:before="129"/>
              <w:ind w:left="0"/>
              <w:rPr>
                <w:i/>
                <w:sz w:val="22"/>
              </w:rPr>
            </w:pPr>
          </w:p>
          <w:p>
            <w:pPr>
              <w:pStyle w:val="TableParagraph"/>
              <w:spacing w:line="240" w:lineRule="auto" w:before="1"/>
              <w:ind w:left="1" w:right="1"/>
              <w:jc w:val="center"/>
              <w:rPr>
                <w:sz w:val="22"/>
              </w:rPr>
            </w:pPr>
            <w:r>
              <w:rPr>
                <w:spacing w:val="-4"/>
                <w:sz w:val="22"/>
              </w:rPr>
              <w:t>+267%</w:t>
            </w:r>
          </w:p>
        </w:tc>
        <w:tc>
          <w:tcPr>
            <w:tcW w:w="4494" w:type="dxa"/>
            <w:tcBorders>
              <w:bottom w:val="single" w:sz="4" w:space="0" w:color="FFFFFF"/>
              <w:right w:val="nil"/>
            </w:tcBorders>
            <w:shd w:val="clear" w:color="auto" w:fill="83C9EB"/>
          </w:tcPr>
          <w:p>
            <w:pPr>
              <w:pStyle w:val="TableParagraph"/>
              <w:spacing w:line="240" w:lineRule="auto"/>
              <w:ind w:left="45" w:right="50"/>
              <w:jc w:val="center"/>
              <w:rPr>
                <w:sz w:val="22"/>
              </w:rPr>
            </w:pPr>
            <w:r>
              <w:rPr>
                <w:sz w:val="22"/>
              </w:rPr>
              <w:t>Injury</w:t>
            </w:r>
            <w:r>
              <w:rPr>
                <w:spacing w:val="-5"/>
                <w:sz w:val="22"/>
              </w:rPr>
              <w:t> </w:t>
            </w:r>
            <w:r>
              <w:rPr>
                <w:sz w:val="22"/>
              </w:rPr>
              <w:t>resulfing</w:t>
            </w:r>
            <w:r>
              <w:rPr>
                <w:spacing w:val="-7"/>
                <w:sz w:val="22"/>
              </w:rPr>
              <w:t> </w:t>
            </w:r>
            <w:r>
              <w:rPr>
                <w:sz w:val="22"/>
              </w:rPr>
              <w:t>in</w:t>
            </w:r>
            <w:r>
              <w:rPr>
                <w:spacing w:val="-6"/>
                <w:sz w:val="22"/>
              </w:rPr>
              <w:t> </w:t>
            </w:r>
            <w:r>
              <w:rPr>
                <w:sz w:val="22"/>
              </w:rPr>
              <w:t>death</w:t>
            </w:r>
            <w:r>
              <w:rPr>
                <w:spacing w:val="-7"/>
                <w:sz w:val="22"/>
              </w:rPr>
              <w:t> </w:t>
            </w:r>
            <w:r>
              <w:rPr>
                <w:sz w:val="22"/>
              </w:rPr>
              <w:t>that</w:t>
            </w:r>
            <w:r>
              <w:rPr>
                <w:spacing w:val="-6"/>
                <w:sz w:val="22"/>
              </w:rPr>
              <w:t> </w:t>
            </w:r>
            <w:r>
              <w:rPr>
                <w:sz w:val="22"/>
              </w:rPr>
              <w:t>are</w:t>
            </w:r>
            <w:r>
              <w:rPr>
                <w:spacing w:val="-7"/>
                <w:sz w:val="22"/>
              </w:rPr>
              <w:t> </w:t>
            </w:r>
            <w:r>
              <w:rPr>
                <w:sz w:val="22"/>
              </w:rPr>
              <w:t>unplanned</w:t>
            </w:r>
            <w:r>
              <w:rPr>
                <w:spacing w:val="-6"/>
                <w:sz w:val="22"/>
              </w:rPr>
              <w:t> </w:t>
            </w:r>
            <w:r>
              <w:rPr>
                <w:sz w:val="22"/>
              </w:rPr>
              <w:t>and </w:t>
            </w:r>
            <w:r>
              <w:rPr>
                <w:spacing w:val="-2"/>
                <w:sz w:val="22"/>
              </w:rPr>
              <w:t>often</w:t>
            </w:r>
          </w:p>
          <w:p>
            <w:pPr>
              <w:pStyle w:val="TableParagraph"/>
              <w:spacing w:line="240" w:lineRule="auto"/>
              <w:ind w:left="50" w:right="5"/>
              <w:jc w:val="center"/>
              <w:rPr>
                <w:sz w:val="22"/>
              </w:rPr>
            </w:pPr>
            <w:r>
              <w:rPr>
                <w:sz w:val="22"/>
              </w:rPr>
              <w:t>preventable</w:t>
            </w:r>
            <w:r>
              <w:rPr>
                <w:spacing w:val="-12"/>
                <w:sz w:val="22"/>
              </w:rPr>
              <w:t> </w:t>
            </w:r>
            <w:r>
              <w:rPr>
                <w:sz w:val="22"/>
              </w:rPr>
              <w:t>(i.e.,</w:t>
            </w:r>
            <w:r>
              <w:rPr>
                <w:spacing w:val="-9"/>
                <w:sz w:val="22"/>
              </w:rPr>
              <w:t> </w:t>
            </w:r>
            <w:r>
              <w:rPr>
                <w:sz w:val="22"/>
              </w:rPr>
              <w:t>poisonings,</w:t>
            </w:r>
            <w:r>
              <w:rPr>
                <w:spacing w:val="-9"/>
                <w:sz w:val="22"/>
              </w:rPr>
              <w:t> </w:t>
            </w:r>
            <w:r>
              <w:rPr>
                <w:sz w:val="22"/>
              </w:rPr>
              <w:t>vehicle</w:t>
            </w:r>
            <w:r>
              <w:rPr>
                <w:spacing w:val="-8"/>
                <w:sz w:val="22"/>
              </w:rPr>
              <w:t> </w:t>
            </w:r>
            <w:r>
              <w:rPr>
                <w:spacing w:val="-2"/>
                <w:sz w:val="22"/>
              </w:rPr>
              <w:t>accidents,</w:t>
            </w:r>
          </w:p>
          <w:p>
            <w:pPr>
              <w:pStyle w:val="TableParagraph"/>
              <w:spacing w:line="249" w:lineRule="exact"/>
              <w:ind w:left="45" w:right="48"/>
              <w:jc w:val="center"/>
              <w:rPr>
                <w:sz w:val="22"/>
              </w:rPr>
            </w:pPr>
            <w:r>
              <w:rPr>
                <w:sz w:val="22"/>
              </w:rPr>
              <w:t>drowning,</w:t>
            </w:r>
            <w:r>
              <w:rPr>
                <w:spacing w:val="-8"/>
                <w:sz w:val="22"/>
              </w:rPr>
              <w:t> </w:t>
            </w:r>
            <w:r>
              <w:rPr>
                <w:sz w:val="22"/>
              </w:rPr>
              <w:t>ﬁres,</w:t>
            </w:r>
            <w:r>
              <w:rPr>
                <w:spacing w:val="-8"/>
                <w:sz w:val="22"/>
              </w:rPr>
              <w:t> </w:t>
            </w:r>
            <w:r>
              <w:rPr>
                <w:sz w:val="22"/>
              </w:rPr>
              <w:t>farm</w:t>
            </w:r>
            <w:r>
              <w:rPr>
                <w:spacing w:val="-8"/>
                <w:sz w:val="22"/>
              </w:rPr>
              <w:t> </w:t>
            </w:r>
            <w:r>
              <w:rPr>
                <w:sz w:val="22"/>
              </w:rPr>
              <w:t>equipment,</w:t>
            </w:r>
            <w:r>
              <w:rPr>
                <w:spacing w:val="-9"/>
                <w:sz w:val="22"/>
              </w:rPr>
              <w:t> </w:t>
            </w:r>
            <w:r>
              <w:rPr>
                <w:sz w:val="22"/>
              </w:rPr>
              <w:t>falls,</w:t>
            </w:r>
            <w:r>
              <w:rPr>
                <w:spacing w:val="-9"/>
                <w:sz w:val="22"/>
              </w:rPr>
              <w:t> </w:t>
            </w:r>
            <w:r>
              <w:rPr>
                <w:spacing w:val="-4"/>
                <w:sz w:val="22"/>
              </w:rPr>
              <w:t>etc.)</w:t>
            </w:r>
          </w:p>
        </w:tc>
      </w:tr>
      <w:tr>
        <w:trPr>
          <w:trHeight w:val="537" w:hRule="atLeast"/>
        </w:trPr>
        <w:tc>
          <w:tcPr>
            <w:tcW w:w="1584" w:type="dxa"/>
            <w:tcBorders>
              <w:top w:val="single" w:sz="4" w:space="0" w:color="FFFFFF"/>
              <w:left w:val="nil"/>
              <w:bottom w:val="single" w:sz="4" w:space="0" w:color="FFFFFF"/>
              <w:right w:val="single" w:sz="4" w:space="0" w:color="FFFFFF"/>
            </w:tcBorders>
            <w:shd w:val="clear" w:color="auto" w:fill="145F82"/>
          </w:tcPr>
          <w:p>
            <w:pPr>
              <w:pStyle w:val="TableParagraph"/>
              <w:ind w:left="5" w:right="6"/>
              <w:jc w:val="center"/>
              <w:rPr>
                <w:b/>
                <w:sz w:val="22"/>
              </w:rPr>
            </w:pPr>
            <w:r>
              <w:rPr>
                <w:b/>
                <w:color w:val="FFFFFF"/>
                <w:sz w:val="22"/>
              </w:rPr>
              <w:t>Death</w:t>
            </w:r>
            <w:r>
              <w:rPr>
                <w:b/>
                <w:color w:val="FFFFFF"/>
                <w:spacing w:val="-5"/>
                <w:sz w:val="22"/>
              </w:rPr>
              <w:t> </w:t>
            </w:r>
            <w:r>
              <w:rPr>
                <w:b/>
                <w:color w:val="FFFFFF"/>
                <w:sz w:val="22"/>
              </w:rPr>
              <w:t>due</w:t>
            </w:r>
            <w:r>
              <w:rPr>
                <w:b/>
                <w:color w:val="FFFFFF"/>
                <w:spacing w:val="-4"/>
                <w:sz w:val="22"/>
              </w:rPr>
              <w:t> </w:t>
            </w:r>
            <w:r>
              <w:rPr>
                <w:b/>
                <w:color w:val="FFFFFF"/>
                <w:spacing w:val="-5"/>
                <w:sz w:val="22"/>
              </w:rPr>
              <w:t>to</w:t>
            </w:r>
          </w:p>
          <w:p>
            <w:pPr>
              <w:pStyle w:val="TableParagraph"/>
              <w:spacing w:line="249" w:lineRule="exact"/>
              <w:ind w:left="5" w:right="5"/>
              <w:jc w:val="center"/>
              <w:rPr>
                <w:b/>
                <w:sz w:val="22"/>
              </w:rPr>
            </w:pPr>
            <w:r>
              <w:rPr>
                <w:b/>
                <w:color w:val="FFFFFF"/>
                <w:spacing w:val="-2"/>
                <w:sz w:val="22"/>
              </w:rPr>
              <w:t>Firearms</w:t>
            </w:r>
          </w:p>
        </w:tc>
        <w:tc>
          <w:tcPr>
            <w:tcW w:w="1474" w:type="dxa"/>
            <w:tcBorders>
              <w:top w:val="single" w:sz="4" w:space="0" w:color="FFFFFF"/>
              <w:left w:val="single" w:sz="4" w:space="0" w:color="FFFFFF"/>
              <w:bottom w:val="single" w:sz="4" w:space="0" w:color="FFFFFF"/>
              <w:right w:val="single" w:sz="4" w:space="0" w:color="FFFFFF"/>
            </w:tcBorders>
            <w:shd w:val="clear" w:color="auto" w:fill="C1E3F5"/>
          </w:tcPr>
          <w:p>
            <w:pPr>
              <w:pStyle w:val="TableParagraph"/>
              <w:spacing w:line="240" w:lineRule="auto" w:before="133"/>
              <w:ind w:left="3" w:right="3"/>
              <w:jc w:val="center"/>
              <w:rPr>
                <w:sz w:val="22"/>
              </w:rPr>
            </w:pPr>
            <w:r>
              <w:rPr>
                <w:spacing w:val="-10"/>
                <w:sz w:val="22"/>
              </w:rPr>
              <w:t>9</w:t>
            </w:r>
          </w:p>
        </w:tc>
        <w:tc>
          <w:tcPr>
            <w:tcW w:w="1883" w:type="dxa"/>
            <w:tcBorders>
              <w:top w:val="single" w:sz="4" w:space="0" w:color="FFFFFF"/>
              <w:left w:val="single" w:sz="4" w:space="0" w:color="FFFFFF"/>
              <w:bottom w:val="single" w:sz="4" w:space="0" w:color="FFFFFF"/>
            </w:tcBorders>
            <w:shd w:val="clear" w:color="auto" w:fill="C1E3F5"/>
          </w:tcPr>
          <w:p>
            <w:pPr>
              <w:pStyle w:val="TableParagraph"/>
              <w:ind w:left="1" w:right="1"/>
              <w:jc w:val="center"/>
              <w:rPr>
                <w:sz w:val="22"/>
              </w:rPr>
            </w:pPr>
            <w:r>
              <w:rPr>
                <w:sz w:val="22"/>
              </w:rPr>
              <w:t>No</w:t>
            </w:r>
            <w:r>
              <w:rPr>
                <w:spacing w:val="-2"/>
                <w:sz w:val="22"/>
              </w:rPr>
              <w:t> </w:t>
            </w:r>
            <w:r>
              <w:rPr>
                <w:sz w:val="22"/>
              </w:rPr>
              <w:t>baseline</w:t>
            </w:r>
            <w:r>
              <w:rPr>
                <w:spacing w:val="-4"/>
                <w:sz w:val="22"/>
              </w:rPr>
              <w:t> data</w:t>
            </w:r>
          </w:p>
          <w:p>
            <w:pPr>
              <w:pStyle w:val="TableParagraph"/>
              <w:spacing w:line="249" w:lineRule="exact"/>
              <w:ind w:left="1" w:right="1"/>
              <w:jc w:val="center"/>
              <w:rPr>
                <w:sz w:val="22"/>
              </w:rPr>
            </w:pPr>
            <w:r>
              <w:rPr>
                <w:spacing w:val="-2"/>
                <w:sz w:val="22"/>
              </w:rPr>
              <w:t>available</w:t>
            </w:r>
          </w:p>
        </w:tc>
        <w:tc>
          <w:tcPr>
            <w:tcW w:w="4494" w:type="dxa"/>
            <w:tcBorders>
              <w:top w:val="single" w:sz="4" w:space="0" w:color="FFFFFF"/>
              <w:bottom w:val="single" w:sz="4" w:space="0" w:color="FFFFFF"/>
              <w:right w:val="nil"/>
            </w:tcBorders>
            <w:shd w:val="clear" w:color="auto" w:fill="C1E3F5"/>
          </w:tcPr>
          <w:p>
            <w:pPr>
              <w:pStyle w:val="TableParagraph"/>
              <w:ind w:left="45" w:right="47"/>
              <w:jc w:val="center"/>
              <w:rPr>
                <w:sz w:val="22"/>
              </w:rPr>
            </w:pPr>
            <w:r>
              <w:rPr>
                <w:sz w:val="22"/>
              </w:rPr>
              <w:t>Death</w:t>
            </w:r>
            <w:r>
              <w:rPr>
                <w:spacing w:val="-5"/>
                <w:sz w:val="22"/>
              </w:rPr>
              <w:t> </w:t>
            </w:r>
            <w:r>
              <w:rPr>
                <w:sz w:val="22"/>
              </w:rPr>
              <w:t>caused</w:t>
            </w:r>
            <w:r>
              <w:rPr>
                <w:spacing w:val="-3"/>
                <w:sz w:val="22"/>
              </w:rPr>
              <w:t> </w:t>
            </w:r>
            <w:r>
              <w:rPr>
                <w:sz w:val="22"/>
              </w:rPr>
              <w:t>by</w:t>
            </w:r>
            <w:r>
              <w:rPr>
                <w:spacing w:val="-3"/>
                <w:sz w:val="22"/>
              </w:rPr>
              <w:t> </w:t>
            </w:r>
            <w:r>
              <w:rPr>
                <w:sz w:val="22"/>
              </w:rPr>
              <w:t>gunshot</w:t>
            </w:r>
            <w:r>
              <w:rPr>
                <w:spacing w:val="-5"/>
                <w:sz w:val="22"/>
              </w:rPr>
              <w:t> </w:t>
            </w:r>
            <w:r>
              <w:rPr>
                <w:sz w:val="22"/>
              </w:rPr>
              <w:t>wound</w:t>
            </w:r>
            <w:r>
              <w:rPr>
                <w:spacing w:val="-4"/>
                <w:sz w:val="22"/>
              </w:rPr>
              <w:t> </w:t>
            </w:r>
            <w:r>
              <w:rPr>
                <w:sz w:val="22"/>
              </w:rPr>
              <w:t>or</w:t>
            </w:r>
            <w:r>
              <w:rPr>
                <w:spacing w:val="-3"/>
                <w:sz w:val="22"/>
              </w:rPr>
              <w:t> </w:t>
            </w:r>
            <w:r>
              <w:rPr>
                <w:spacing w:val="-2"/>
                <w:sz w:val="22"/>
              </w:rPr>
              <w:t>penetrafing</w:t>
            </w:r>
          </w:p>
          <w:p>
            <w:pPr>
              <w:pStyle w:val="TableParagraph"/>
              <w:spacing w:line="249" w:lineRule="exact"/>
              <w:ind w:left="45" w:right="46"/>
              <w:jc w:val="center"/>
              <w:rPr>
                <w:sz w:val="22"/>
              </w:rPr>
            </w:pPr>
            <w:r>
              <w:rPr>
                <w:sz w:val="22"/>
              </w:rPr>
              <w:t>injury</w:t>
            </w:r>
            <w:r>
              <w:rPr>
                <w:spacing w:val="-5"/>
                <w:sz w:val="22"/>
              </w:rPr>
              <w:t> </w:t>
            </w:r>
            <w:r>
              <w:rPr>
                <w:sz w:val="22"/>
              </w:rPr>
              <w:t>from</w:t>
            </w:r>
            <w:r>
              <w:rPr>
                <w:spacing w:val="-5"/>
                <w:sz w:val="22"/>
              </w:rPr>
              <w:t> </w:t>
            </w:r>
            <w:r>
              <w:rPr>
                <w:sz w:val="22"/>
              </w:rPr>
              <w:t>weapon</w:t>
            </w:r>
            <w:r>
              <w:rPr>
                <w:spacing w:val="-5"/>
                <w:sz w:val="22"/>
              </w:rPr>
              <w:t> </w:t>
            </w:r>
            <w:r>
              <w:rPr>
                <w:sz w:val="22"/>
              </w:rPr>
              <w:t>that</w:t>
            </w:r>
            <w:r>
              <w:rPr>
                <w:spacing w:val="-4"/>
                <w:sz w:val="22"/>
              </w:rPr>
              <w:t> </w:t>
            </w:r>
            <w:r>
              <w:rPr>
                <w:sz w:val="22"/>
              </w:rPr>
              <w:t>uses</w:t>
            </w:r>
            <w:r>
              <w:rPr>
                <w:spacing w:val="-4"/>
                <w:sz w:val="22"/>
              </w:rPr>
              <w:t> </w:t>
            </w:r>
            <w:r>
              <w:rPr>
                <w:sz w:val="22"/>
              </w:rPr>
              <w:t>gun</w:t>
            </w:r>
            <w:r>
              <w:rPr>
                <w:spacing w:val="-5"/>
                <w:sz w:val="22"/>
              </w:rPr>
              <w:t> </w:t>
            </w:r>
            <w:r>
              <w:rPr>
                <w:spacing w:val="-2"/>
                <w:sz w:val="22"/>
              </w:rPr>
              <w:t>powder</w:t>
            </w:r>
          </w:p>
        </w:tc>
      </w:tr>
      <w:tr>
        <w:trPr>
          <w:trHeight w:val="537" w:hRule="atLeast"/>
        </w:trPr>
        <w:tc>
          <w:tcPr>
            <w:tcW w:w="1584" w:type="dxa"/>
            <w:tcBorders>
              <w:top w:val="single" w:sz="4" w:space="0" w:color="FFFFFF"/>
              <w:left w:val="nil"/>
              <w:bottom w:val="single" w:sz="4" w:space="0" w:color="FFFFFF"/>
              <w:right w:val="single" w:sz="4" w:space="0" w:color="FFFFFF"/>
            </w:tcBorders>
            <w:shd w:val="clear" w:color="auto" w:fill="145F82"/>
          </w:tcPr>
          <w:p>
            <w:pPr>
              <w:pStyle w:val="TableParagraph"/>
              <w:ind w:left="5" w:right="6"/>
              <w:jc w:val="center"/>
              <w:rPr>
                <w:b/>
                <w:sz w:val="22"/>
              </w:rPr>
            </w:pPr>
            <w:r>
              <w:rPr>
                <w:b/>
                <w:color w:val="FFFFFF"/>
                <w:spacing w:val="-2"/>
                <w:sz w:val="22"/>
              </w:rPr>
              <w:t>Intenfional</w:t>
            </w:r>
          </w:p>
          <w:p>
            <w:pPr>
              <w:pStyle w:val="TableParagraph"/>
              <w:spacing w:line="249" w:lineRule="exact"/>
              <w:ind w:left="5" w:right="6"/>
              <w:jc w:val="center"/>
              <w:rPr>
                <w:b/>
                <w:sz w:val="22"/>
              </w:rPr>
            </w:pPr>
            <w:r>
              <w:rPr>
                <w:b/>
                <w:color w:val="FFFFFF"/>
                <w:spacing w:val="-2"/>
                <w:sz w:val="22"/>
              </w:rPr>
              <w:t>Injury</w:t>
            </w:r>
          </w:p>
        </w:tc>
        <w:tc>
          <w:tcPr>
            <w:tcW w:w="1474" w:type="dxa"/>
            <w:tcBorders>
              <w:top w:val="single" w:sz="4" w:space="0" w:color="FFFFFF"/>
              <w:left w:val="single" w:sz="4" w:space="0" w:color="FFFFFF"/>
              <w:bottom w:val="single" w:sz="4" w:space="0" w:color="FFFFFF"/>
              <w:right w:val="single" w:sz="4" w:space="0" w:color="FFFFFF"/>
            </w:tcBorders>
            <w:shd w:val="clear" w:color="auto" w:fill="83C9EB"/>
          </w:tcPr>
          <w:p>
            <w:pPr>
              <w:pStyle w:val="TableParagraph"/>
              <w:spacing w:line="240" w:lineRule="auto" w:before="133"/>
              <w:ind w:left="3"/>
              <w:jc w:val="center"/>
              <w:rPr>
                <w:sz w:val="22"/>
              </w:rPr>
            </w:pPr>
            <w:r>
              <w:rPr>
                <w:spacing w:val="-5"/>
                <w:sz w:val="22"/>
              </w:rPr>
              <w:t>79</w:t>
            </w:r>
          </w:p>
        </w:tc>
        <w:tc>
          <w:tcPr>
            <w:tcW w:w="1883" w:type="dxa"/>
            <w:tcBorders>
              <w:top w:val="single" w:sz="4" w:space="0" w:color="FFFFFF"/>
              <w:left w:val="single" w:sz="4" w:space="0" w:color="FFFFFF"/>
              <w:bottom w:val="single" w:sz="4" w:space="0" w:color="FFFFFF"/>
            </w:tcBorders>
            <w:shd w:val="clear" w:color="auto" w:fill="83C9EB"/>
          </w:tcPr>
          <w:p>
            <w:pPr>
              <w:pStyle w:val="TableParagraph"/>
              <w:spacing w:line="240" w:lineRule="auto" w:before="133"/>
              <w:ind w:left="1"/>
              <w:jc w:val="center"/>
              <w:rPr>
                <w:sz w:val="22"/>
              </w:rPr>
            </w:pPr>
            <w:r>
              <w:rPr>
                <w:spacing w:val="-4"/>
                <w:sz w:val="22"/>
              </w:rPr>
              <w:t>+18%</w:t>
            </w:r>
          </w:p>
        </w:tc>
        <w:tc>
          <w:tcPr>
            <w:tcW w:w="4494" w:type="dxa"/>
            <w:tcBorders>
              <w:top w:val="single" w:sz="4" w:space="0" w:color="FFFFFF"/>
              <w:bottom w:val="single" w:sz="4" w:space="0" w:color="FFFFFF"/>
              <w:right w:val="nil"/>
            </w:tcBorders>
            <w:shd w:val="clear" w:color="auto" w:fill="83C9EB"/>
          </w:tcPr>
          <w:p>
            <w:pPr>
              <w:pStyle w:val="TableParagraph"/>
              <w:ind w:left="45" w:right="49"/>
              <w:jc w:val="center"/>
              <w:rPr>
                <w:sz w:val="22"/>
              </w:rPr>
            </w:pPr>
            <w:r>
              <w:rPr>
                <w:sz w:val="22"/>
              </w:rPr>
              <w:t>Death</w:t>
            </w:r>
            <w:r>
              <w:rPr>
                <w:spacing w:val="-7"/>
                <w:sz w:val="22"/>
              </w:rPr>
              <w:t> </w:t>
            </w:r>
            <w:r>
              <w:rPr>
                <w:sz w:val="22"/>
              </w:rPr>
              <w:t>caused</w:t>
            </w:r>
            <w:r>
              <w:rPr>
                <w:spacing w:val="-7"/>
                <w:sz w:val="22"/>
              </w:rPr>
              <w:t> </w:t>
            </w:r>
            <w:r>
              <w:rPr>
                <w:sz w:val="22"/>
              </w:rPr>
              <w:t>by</w:t>
            </w:r>
            <w:r>
              <w:rPr>
                <w:spacing w:val="-5"/>
                <w:sz w:val="22"/>
              </w:rPr>
              <w:t> </w:t>
            </w:r>
            <w:r>
              <w:rPr>
                <w:sz w:val="22"/>
              </w:rPr>
              <w:t>physical</w:t>
            </w:r>
            <w:r>
              <w:rPr>
                <w:spacing w:val="-6"/>
                <w:sz w:val="22"/>
              </w:rPr>
              <w:t> </w:t>
            </w:r>
            <w:r>
              <w:rPr>
                <w:sz w:val="22"/>
              </w:rPr>
              <w:t>harm</w:t>
            </w:r>
            <w:r>
              <w:rPr>
                <w:spacing w:val="-5"/>
                <w:sz w:val="22"/>
              </w:rPr>
              <w:t> </w:t>
            </w:r>
            <w:r>
              <w:rPr>
                <w:sz w:val="22"/>
              </w:rPr>
              <w:t>that</w:t>
            </w:r>
            <w:r>
              <w:rPr>
                <w:spacing w:val="-5"/>
                <w:sz w:val="22"/>
              </w:rPr>
              <w:t> was</w:t>
            </w:r>
          </w:p>
          <w:p>
            <w:pPr>
              <w:pStyle w:val="TableParagraph"/>
              <w:spacing w:line="249" w:lineRule="exact"/>
              <w:ind w:left="45" w:right="49"/>
              <w:jc w:val="center"/>
              <w:rPr>
                <w:sz w:val="22"/>
              </w:rPr>
            </w:pPr>
            <w:r>
              <w:rPr>
                <w:sz w:val="22"/>
              </w:rPr>
              <w:t>inﬂicted</w:t>
            </w:r>
            <w:r>
              <w:rPr>
                <w:spacing w:val="-9"/>
                <w:sz w:val="22"/>
              </w:rPr>
              <w:t> </w:t>
            </w:r>
            <w:r>
              <w:rPr>
                <w:spacing w:val="-2"/>
                <w:sz w:val="22"/>
              </w:rPr>
              <w:t>purposefully</w:t>
            </w:r>
          </w:p>
        </w:tc>
      </w:tr>
      <w:tr>
        <w:trPr>
          <w:trHeight w:val="806" w:hRule="atLeast"/>
        </w:trPr>
        <w:tc>
          <w:tcPr>
            <w:tcW w:w="1584" w:type="dxa"/>
            <w:tcBorders>
              <w:top w:val="single" w:sz="4" w:space="0" w:color="FFFFFF"/>
              <w:left w:val="nil"/>
              <w:bottom w:val="single" w:sz="4" w:space="0" w:color="FFFFFF"/>
              <w:right w:val="single" w:sz="4" w:space="0" w:color="FFFFFF"/>
            </w:tcBorders>
            <w:shd w:val="clear" w:color="auto" w:fill="145F82"/>
          </w:tcPr>
          <w:p>
            <w:pPr>
              <w:pStyle w:val="TableParagraph"/>
              <w:ind w:left="5" w:right="5"/>
              <w:jc w:val="center"/>
              <w:rPr>
                <w:b/>
                <w:sz w:val="22"/>
              </w:rPr>
            </w:pPr>
            <w:r>
              <w:rPr>
                <w:b/>
                <w:color w:val="FFFFFF"/>
                <w:sz w:val="22"/>
              </w:rPr>
              <w:t>Deaths</w:t>
            </w:r>
            <w:r>
              <w:rPr>
                <w:b/>
                <w:color w:val="FFFFFF"/>
                <w:spacing w:val="-4"/>
                <w:sz w:val="22"/>
              </w:rPr>
              <w:t> </w:t>
            </w:r>
            <w:r>
              <w:rPr>
                <w:b/>
                <w:color w:val="FFFFFF"/>
                <w:spacing w:val="-5"/>
                <w:sz w:val="22"/>
              </w:rPr>
              <w:t>by</w:t>
            </w:r>
          </w:p>
          <w:p>
            <w:pPr>
              <w:pStyle w:val="TableParagraph"/>
              <w:spacing w:line="270" w:lineRule="atLeast"/>
              <w:ind w:left="6" w:right="1"/>
              <w:jc w:val="center"/>
              <w:rPr>
                <w:b/>
                <w:sz w:val="22"/>
              </w:rPr>
            </w:pPr>
            <w:r>
              <w:rPr>
                <w:b/>
                <w:color w:val="FFFFFF"/>
                <w:sz w:val="22"/>
              </w:rPr>
              <w:t>suicide</w:t>
            </w:r>
            <w:r>
              <w:rPr>
                <w:b/>
                <w:color w:val="FFFFFF"/>
                <w:spacing w:val="-13"/>
                <w:sz w:val="22"/>
              </w:rPr>
              <w:t> </w:t>
            </w:r>
            <w:r>
              <w:rPr>
                <w:b/>
                <w:color w:val="FFFFFF"/>
                <w:sz w:val="22"/>
              </w:rPr>
              <w:t>(Age-</w:t>
            </w:r>
            <w:r>
              <w:rPr>
                <w:b/>
                <w:color w:val="FFFFFF"/>
                <w:spacing w:val="-2"/>
                <w:sz w:val="22"/>
              </w:rPr>
              <w:t>adjusted)</w:t>
            </w:r>
          </w:p>
        </w:tc>
        <w:tc>
          <w:tcPr>
            <w:tcW w:w="1474" w:type="dxa"/>
            <w:tcBorders>
              <w:top w:val="single" w:sz="4" w:space="0" w:color="FFFFFF"/>
              <w:left w:val="single" w:sz="4" w:space="0" w:color="FFFFFF"/>
              <w:bottom w:val="single" w:sz="4" w:space="0" w:color="FFFFFF"/>
              <w:right w:val="single" w:sz="4" w:space="0" w:color="FFFFFF"/>
            </w:tcBorders>
            <w:shd w:val="clear" w:color="auto" w:fill="C1E3F5"/>
          </w:tcPr>
          <w:p>
            <w:pPr>
              <w:pStyle w:val="TableParagraph"/>
              <w:spacing w:line="240" w:lineRule="auto" w:before="268"/>
              <w:ind w:left="3"/>
              <w:jc w:val="center"/>
              <w:rPr>
                <w:sz w:val="22"/>
              </w:rPr>
            </w:pPr>
            <w:r>
              <w:rPr>
                <w:spacing w:val="-5"/>
                <w:sz w:val="22"/>
              </w:rPr>
              <w:t>15</w:t>
            </w:r>
          </w:p>
        </w:tc>
        <w:tc>
          <w:tcPr>
            <w:tcW w:w="1883" w:type="dxa"/>
            <w:tcBorders>
              <w:top w:val="single" w:sz="4" w:space="0" w:color="FFFFFF"/>
              <w:left w:val="single" w:sz="4" w:space="0" w:color="FFFFFF"/>
              <w:bottom w:val="single" w:sz="4" w:space="0" w:color="FFFFFF"/>
            </w:tcBorders>
            <w:shd w:val="clear" w:color="auto" w:fill="C1E3F5"/>
          </w:tcPr>
          <w:p>
            <w:pPr>
              <w:pStyle w:val="TableParagraph"/>
              <w:spacing w:line="240" w:lineRule="auto" w:before="133"/>
              <w:ind w:left="0"/>
              <w:rPr>
                <w:i/>
                <w:sz w:val="22"/>
              </w:rPr>
            </w:pPr>
          </w:p>
          <w:p>
            <w:pPr>
              <w:pStyle w:val="TableParagraph"/>
              <w:spacing w:line="240" w:lineRule="auto"/>
              <w:ind w:left="1" w:right="1"/>
              <w:jc w:val="center"/>
              <w:rPr>
                <w:sz w:val="22"/>
              </w:rPr>
            </w:pPr>
            <w:r>
              <w:rPr>
                <w:sz w:val="22"/>
              </w:rPr>
              <w:t>+</w:t>
            </w:r>
            <w:r>
              <w:rPr>
                <w:spacing w:val="1"/>
                <w:sz w:val="22"/>
              </w:rPr>
              <w:t> </w:t>
            </w:r>
            <w:r>
              <w:rPr>
                <w:spacing w:val="-5"/>
                <w:sz w:val="22"/>
              </w:rPr>
              <w:t>36%</w:t>
            </w:r>
          </w:p>
        </w:tc>
        <w:tc>
          <w:tcPr>
            <w:tcW w:w="4494" w:type="dxa"/>
            <w:tcBorders>
              <w:top w:val="single" w:sz="4" w:space="0" w:color="FFFFFF"/>
              <w:bottom w:val="single" w:sz="4" w:space="0" w:color="FFFFFF"/>
              <w:right w:val="nil"/>
            </w:tcBorders>
            <w:shd w:val="clear" w:color="auto" w:fill="C1E3F5"/>
          </w:tcPr>
          <w:p>
            <w:pPr>
              <w:pStyle w:val="TableParagraph"/>
              <w:spacing w:line="240" w:lineRule="auto" w:before="133"/>
              <w:ind w:left="1692" w:right="391" w:hanging="1306"/>
              <w:rPr>
                <w:sz w:val="22"/>
              </w:rPr>
            </w:pPr>
            <w:r>
              <w:rPr>
                <w:sz w:val="22"/>
              </w:rPr>
              <w:t>Death</w:t>
            </w:r>
            <w:r>
              <w:rPr>
                <w:spacing w:val="-8"/>
                <w:sz w:val="22"/>
              </w:rPr>
              <w:t> </w:t>
            </w:r>
            <w:r>
              <w:rPr>
                <w:sz w:val="22"/>
              </w:rPr>
              <w:t>caused</w:t>
            </w:r>
            <w:r>
              <w:rPr>
                <w:spacing w:val="-8"/>
                <w:sz w:val="22"/>
              </w:rPr>
              <w:t> </w:t>
            </w:r>
            <w:r>
              <w:rPr>
                <w:sz w:val="22"/>
              </w:rPr>
              <w:t>by</w:t>
            </w:r>
            <w:r>
              <w:rPr>
                <w:spacing w:val="-6"/>
                <w:sz w:val="22"/>
              </w:rPr>
              <w:t> </w:t>
            </w:r>
            <w:r>
              <w:rPr>
                <w:sz w:val="22"/>
              </w:rPr>
              <w:t>injuring</w:t>
            </w:r>
            <w:r>
              <w:rPr>
                <w:spacing w:val="-7"/>
                <w:sz w:val="22"/>
              </w:rPr>
              <w:t> </w:t>
            </w:r>
            <w:r>
              <w:rPr>
                <w:sz w:val="22"/>
              </w:rPr>
              <w:t>oneself</w:t>
            </w:r>
            <w:r>
              <w:rPr>
                <w:spacing w:val="-7"/>
                <w:sz w:val="22"/>
              </w:rPr>
              <w:t> </w:t>
            </w:r>
            <w:r>
              <w:rPr>
                <w:sz w:val="22"/>
              </w:rPr>
              <w:t>with</w:t>
            </w:r>
            <w:r>
              <w:rPr>
                <w:spacing w:val="-7"/>
                <w:sz w:val="22"/>
              </w:rPr>
              <w:t> </w:t>
            </w:r>
            <w:r>
              <w:rPr>
                <w:sz w:val="22"/>
              </w:rPr>
              <w:t>the intent to die</w:t>
            </w:r>
          </w:p>
        </w:tc>
      </w:tr>
      <w:tr>
        <w:trPr>
          <w:trHeight w:val="804" w:hRule="atLeast"/>
        </w:trPr>
        <w:tc>
          <w:tcPr>
            <w:tcW w:w="1584" w:type="dxa"/>
            <w:tcBorders>
              <w:top w:val="single" w:sz="4" w:space="0" w:color="FFFFFF"/>
              <w:left w:val="nil"/>
              <w:bottom w:val="nil"/>
              <w:right w:val="single" w:sz="4" w:space="0" w:color="FFFFFF"/>
            </w:tcBorders>
            <w:shd w:val="clear" w:color="auto" w:fill="145F82"/>
          </w:tcPr>
          <w:p>
            <w:pPr>
              <w:pStyle w:val="TableParagraph"/>
              <w:spacing w:line="266" w:lineRule="exact"/>
              <w:ind w:left="150" w:firstLine="43"/>
              <w:rPr>
                <w:b/>
                <w:sz w:val="22"/>
              </w:rPr>
            </w:pPr>
            <w:r>
              <w:rPr>
                <w:b/>
                <w:color w:val="FFFFFF"/>
                <w:sz w:val="22"/>
              </w:rPr>
              <w:t>Death</w:t>
            </w:r>
            <w:r>
              <w:rPr>
                <w:b/>
                <w:color w:val="FFFFFF"/>
                <w:spacing w:val="-5"/>
                <w:sz w:val="22"/>
              </w:rPr>
              <w:t> </w:t>
            </w:r>
            <w:r>
              <w:rPr>
                <w:b/>
                <w:color w:val="FFFFFF"/>
                <w:sz w:val="22"/>
              </w:rPr>
              <w:t>due</w:t>
            </w:r>
            <w:r>
              <w:rPr>
                <w:b/>
                <w:color w:val="FFFFFF"/>
                <w:spacing w:val="-4"/>
                <w:sz w:val="22"/>
              </w:rPr>
              <w:t> </w:t>
            </w:r>
            <w:r>
              <w:rPr>
                <w:b/>
                <w:color w:val="FFFFFF"/>
                <w:spacing w:val="-7"/>
                <w:sz w:val="22"/>
              </w:rPr>
              <w:t>to</w:t>
            </w:r>
          </w:p>
          <w:p>
            <w:pPr>
              <w:pStyle w:val="TableParagraph"/>
              <w:spacing w:line="270" w:lineRule="atLeast"/>
              <w:ind w:left="549" w:right="145" w:hanging="399"/>
              <w:rPr>
                <w:b/>
                <w:sz w:val="22"/>
              </w:rPr>
            </w:pPr>
            <w:r>
              <w:rPr>
                <w:b/>
                <w:color w:val="FFFFFF"/>
                <w:sz w:val="22"/>
              </w:rPr>
              <w:t>Motor</w:t>
            </w:r>
            <w:r>
              <w:rPr>
                <w:b/>
                <w:color w:val="FFFFFF"/>
                <w:spacing w:val="-13"/>
                <w:sz w:val="22"/>
              </w:rPr>
              <w:t> </w:t>
            </w:r>
            <w:r>
              <w:rPr>
                <w:b/>
                <w:color w:val="FFFFFF"/>
                <w:sz w:val="22"/>
              </w:rPr>
              <w:t>vehicle </w:t>
            </w:r>
            <w:r>
              <w:rPr>
                <w:b/>
                <w:color w:val="FFFFFF"/>
                <w:spacing w:val="-2"/>
                <w:sz w:val="22"/>
              </w:rPr>
              <w:t>crash</w:t>
            </w:r>
          </w:p>
        </w:tc>
        <w:tc>
          <w:tcPr>
            <w:tcW w:w="1474" w:type="dxa"/>
            <w:tcBorders>
              <w:top w:val="single" w:sz="4" w:space="0" w:color="FFFFFF"/>
              <w:left w:val="single" w:sz="4" w:space="0" w:color="FFFFFF"/>
              <w:bottom w:val="nil"/>
              <w:right w:val="single" w:sz="4" w:space="0" w:color="FFFFFF"/>
            </w:tcBorders>
            <w:shd w:val="clear" w:color="auto" w:fill="83C9EB"/>
          </w:tcPr>
          <w:p>
            <w:pPr>
              <w:pStyle w:val="TableParagraph"/>
              <w:spacing w:line="240" w:lineRule="auto" w:before="266"/>
              <w:ind w:left="3"/>
              <w:jc w:val="center"/>
              <w:rPr>
                <w:sz w:val="22"/>
              </w:rPr>
            </w:pPr>
            <w:r>
              <w:rPr>
                <w:spacing w:val="-5"/>
                <w:sz w:val="22"/>
              </w:rPr>
              <w:t>13</w:t>
            </w:r>
          </w:p>
        </w:tc>
        <w:tc>
          <w:tcPr>
            <w:tcW w:w="1883" w:type="dxa"/>
            <w:tcBorders>
              <w:top w:val="single" w:sz="4" w:space="0" w:color="FFFFFF"/>
              <w:left w:val="single" w:sz="4" w:space="0" w:color="FFFFFF"/>
              <w:bottom w:val="nil"/>
            </w:tcBorders>
            <w:shd w:val="clear" w:color="auto" w:fill="83C9EB"/>
          </w:tcPr>
          <w:p>
            <w:pPr>
              <w:pStyle w:val="TableParagraph"/>
              <w:spacing w:line="240" w:lineRule="auto" w:before="266"/>
              <w:ind w:left="1"/>
              <w:jc w:val="center"/>
              <w:rPr>
                <w:sz w:val="22"/>
              </w:rPr>
            </w:pPr>
            <w:r>
              <w:rPr>
                <w:spacing w:val="-4"/>
                <w:sz w:val="22"/>
              </w:rPr>
              <w:t>+44%</w:t>
            </w:r>
          </w:p>
        </w:tc>
        <w:tc>
          <w:tcPr>
            <w:tcW w:w="4494" w:type="dxa"/>
            <w:tcBorders>
              <w:top w:val="single" w:sz="4" w:space="0" w:color="FFFFFF"/>
              <w:bottom w:val="nil"/>
              <w:right w:val="nil"/>
            </w:tcBorders>
            <w:shd w:val="clear" w:color="auto" w:fill="83C9EB"/>
          </w:tcPr>
          <w:p>
            <w:pPr>
              <w:pStyle w:val="TableParagraph"/>
              <w:spacing w:line="240" w:lineRule="auto" w:before="132"/>
              <w:ind w:left="45" w:right="46"/>
              <w:jc w:val="center"/>
              <w:rPr>
                <w:sz w:val="22"/>
              </w:rPr>
            </w:pPr>
            <w:r>
              <w:rPr>
                <w:sz w:val="22"/>
              </w:rPr>
              <w:t>Death</w:t>
            </w:r>
            <w:r>
              <w:rPr>
                <w:spacing w:val="-7"/>
                <w:sz w:val="22"/>
              </w:rPr>
              <w:t> </w:t>
            </w:r>
            <w:r>
              <w:rPr>
                <w:sz w:val="22"/>
              </w:rPr>
              <w:t>resulfing</w:t>
            </w:r>
            <w:r>
              <w:rPr>
                <w:spacing w:val="-4"/>
                <w:sz w:val="22"/>
              </w:rPr>
              <w:t> </w:t>
            </w:r>
            <w:r>
              <w:rPr>
                <w:sz w:val="22"/>
              </w:rPr>
              <w:t>from</w:t>
            </w:r>
            <w:r>
              <w:rPr>
                <w:spacing w:val="-3"/>
                <w:sz w:val="22"/>
              </w:rPr>
              <w:t> </w:t>
            </w:r>
            <w:r>
              <w:rPr>
                <w:sz w:val="22"/>
              </w:rPr>
              <w:t>car</w:t>
            </w:r>
            <w:r>
              <w:rPr>
                <w:spacing w:val="-7"/>
                <w:sz w:val="22"/>
              </w:rPr>
              <w:t> </w:t>
            </w:r>
            <w:r>
              <w:rPr>
                <w:sz w:val="22"/>
              </w:rPr>
              <w:t>accident</w:t>
            </w:r>
            <w:r>
              <w:rPr>
                <w:spacing w:val="-4"/>
                <w:sz w:val="22"/>
              </w:rPr>
              <w:t> </w:t>
            </w:r>
            <w:r>
              <w:rPr>
                <w:sz w:val="22"/>
              </w:rPr>
              <w:t>upon</w:t>
            </w:r>
            <w:r>
              <w:rPr>
                <w:spacing w:val="-5"/>
                <w:sz w:val="22"/>
              </w:rPr>
              <w:t> </w:t>
            </w:r>
            <w:r>
              <w:rPr>
                <w:spacing w:val="-2"/>
                <w:sz w:val="22"/>
              </w:rPr>
              <w:t>impact</w:t>
            </w:r>
          </w:p>
          <w:p>
            <w:pPr>
              <w:pStyle w:val="TableParagraph"/>
              <w:spacing w:line="240" w:lineRule="auto"/>
              <w:ind w:left="45" w:right="46"/>
              <w:jc w:val="center"/>
              <w:rPr>
                <w:sz w:val="22"/>
              </w:rPr>
            </w:pPr>
            <w:r>
              <w:rPr>
                <w:sz w:val="22"/>
              </w:rPr>
              <w:t>or</w:t>
            </w:r>
            <w:r>
              <w:rPr>
                <w:spacing w:val="-3"/>
                <w:sz w:val="22"/>
              </w:rPr>
              <w:t> </w:t>
            </w:r>
            <w:r>
              <w:rPr>
                <w:sz w:val="22"/>
              </w:rPr>
              <w:t>death</w:t>
            </w:r>
            <w:r>
              <w:rPr>
                <w:spacing w:val="-6"/>
                <w:sz w:val="22"/>
              </w:rPr>
              <w:t> </w:t>
            </w:r>
            <w:r>
              <w:rPr>
                <w:sz w:val="22"/>
              </w:rPr>
              <w:t>occurs</w:t>
            </w:r>
            <w:r>
              <w:rPr>
                <w:spacing w:val="-3"/>
                <w:sz w:val="22"/>
              </w:rPr>
              <w:t> </w:t>
            </w:r>
            <w:r>
              <w:rPr>
                <w:sz w:val="22"/>
              </w:rPr>
              <w:t>within</w:t>
            </w:r>
            <w:r>
              <w:rPr>
                <w:spacing w:val="-5"/>
                <w:sz w:val="22"/>
              </w:rPr>
              <w:t> </w:t>
            </w:r>
            <w:r>
              <w:rPr>
                <w:sz w:val="22"/>
              </w:rPr>
              <w:t>30</w:t>
            </w:r>
            <w:r>
              <w:rPr>
                <w:spacing w:val="-4"/>
                <w:sz w:val="22"/>
              </w:rPr>
              <w:t> </w:t>
            </w:r>
            <w:r>
              <w:rPr>
                <w:sz w:val="22"/>
              </w:rPr>
              <w:t>days</w:t>
            </w:r>
            <w:r>
              <w:rPr>
                <w:spacing w:val="-3"/>
                <w:sz w:val="22"/>
              </w:rPr>
              <w:t> </w:t>
            </w:r>
            <w:r>
              <w:rPr>
                <w:sz w:val="22"/>
              </w:rPr>
              <w:t>of</w:t>
            </w:r>
            <w:r>
              <w:rPr>
                <w:spacing w:val="-4"/>
                <w:sz w:val="22"/>
              </w:rPr>
              <w:t> </w:t>
            </w:r>
            <w:r>
              <w:rPr>
                <w:spacing w:val="-2"/>
                <w:sz w:val="22"/>
              </w:rPr>
              <w:t>accident</w:t>
            </w:r>
          </w:p>
        </w:tc>
      </w:tr>
    </w:tbl>
    <w:p>
      <w:pPr>
        <w:pStyle w:val="BodyText"/>
        <w:ind w:left="0"/>
        <w:rPr>
          <w:i/>
          <w:sz w:val="18"/>
        </w:rPr>
      </w:pPr>
    </w:p>
    <w:p>
      <w:pPr>
        <w:pStyle w:val="BodyText"/>
        <w:spacing w:before="20"/>
        <w:ind w:left="0"/>
        <w:rPr>
          <w:i/>
          <w:sz w:val="18"/>
        </w:rPr>
      </w:pPr>
    </w:p>
    <w:p>
      <w:pPr>
        <w:pStyle w:val="BodyText"/>
        <w:spacing w:line="259" w:lineRule="auto"/>
        <w:ind w:right="1516"/>
      </w:pPr>
      <w:r>
        <w:rPr/>
        <w:t>Rates above state averages and increasing trends indicate rising risk factors, such as unsafe environments,</w:t>
      </w:r>
      <w:r>
        <w:rPr>
          <w:spacing w:val="-7"/>
        </w:rPr>
        <w:t> </w:t>
      </w:r>
      <w:r>
        <w:rPr/>
        <w:t>mental</w:t>
      </w:r>
      <w:r>
        <w:rPr>
          <w:spacing w:val="-7"/>
        </w:rPr>
        <w:t> </w:t>
      </w:r>
      <w:r>
        <w:rPr/>
        <w:t>health</w:t>
      </w:r>
      <w:r>
        <w:rPr>
          <w:spacing w:val="-6"/>
        </w:rPr>
        <w:t> </w:t>
      </w:r>
      <w:r>
        <w:rPr/>
        <w:t>challenges,</w:t>
      </w:r>
      <w:r>
        <w:rPr>
          <w:spacing w:val="-4"/>
        </w:rPr>
        <w:t> </w:t>
      </w:r>
      <w:r>
        <w:rPr/>
        <w:t>substance</w:t>
      </w:r>
      <w:r>
        <w:rPr>
          <w:spacing w:val="-4"/>
        </w:rPr>
        <w:t> </w:t>
      </w:r>
      <w:r>
        <w:rPr/>
        <w:t>use,</w:t>
      </w:r>
      <w:r>
        <w:rPr>
          <w:spacing w:val="-5"/>
        </w:rPr>
        <w:t> </w:t>
      </w:r>
      <w:r>
        <w:rPr/>
        <w:t>and</w:t>
      </w:r>
      <w:r>
        <w:rPr>
          <w:spacing w:val="-6"/>
        </w:rPr>
        <w:t> </w:t>
      </w:r>
      <w:r>
        <w:rPr/>
        <w:t>lack</w:t>
      </w:r>
      <w:r>
        <w:rPr>
          <w:spacing w:val="-7"/>
        </w:rPr>
        <w:t> </w:t>
      </w:r>
      <w:r>
        <w:rPr/>
        <w:t>of</w:t>
      </w:r>
      <w:r>
        <w:rPr>
          <w:spacing w:val="-7"/>
        </w:rPr>
        <w:t> </w:t>
      </w:r>
      <w:r>
        <w:rPr/>
        <w:t>safety</w:t>
      </w:r>
      <w:r>
        <w:rPr>
          <w:spacing w:val="-6"/>
        </w:rPr>
        <w:t> </w:t>
      </w:r>
      <w:r>
        <w:rPr/>
        <w:t>intervenfions.</w:t>
      </w:r>
      <w:r>
        <w:rPr>
          <w:spacing w:val="-5"/>
        </w:rPr>
        <w:t> </w:t>
      </w:r>
      <w:r>
        <w:rPr/>
        <w:t>High</w:t>
      </w:r>
      <w:r>
        <w:rPr>
          <w:spacing w:val="-5"/>
        </w:rPr>
        <w:t> </w:t>
      </w:r>
      <w:r>
        <w:rPr/>
        <w:t>injury</w:t>
      </w:r>
      <w:r>
        <w:rPr>
          <w:spacing w:val="-4"/>
        </w:rPr>
        <w:t> </w:t>
      </w:r>
      <w:r>
        <w:rPr/>
        <w:t>and violence-related death rates also strain healthcare systems, emergency services, and social support networks, highlighfing the need for targeted prevenfion, educafion, and community safety inifiafives</w:t>
      </w:r>
      <w:hyperlink w:history="true" w:anchor="_bookmark28">
        <w:r>
          <w:rPr/>
          <w:t>.</w:t>
        </w:r>
        <w:r>
          <w:rPr>
            <w:vertAlign w:val="superscript"/>
          </w:rPr>
          <w:t>60</w:t>
        </w:r>
      </w:hyperlink>
    </w:p>
    <w:p>
      <w:pPr>
        <w:pStyle w:val="BodyText"/>
        <w:spacing w:before="160"/>
        <w:ind w:right="1467"/>
      </w:pPr>
      <w:r>
        <w:rPr>
          <w:b/>
          <w:i/>
        </w:rPr>
        <w:t>Neighborhood and Built</w:t>
      </w:r>
      <w:r>
        <w:rPr>
          <w:b/>
          <w:i/>
          <w:spacing w:val="-1"/>
        </w:rPr>
        <w:t> </w:t>
      </w:r>
      <w:r>
        <w:rPr>
          <w:b/>
          <w:i/>
        </w:rPr>
        <w:t>Environment Domain Summary: </w:t>
      </w:r>
      <w:r>
        <w:rPr/>
        <w:t>Residents in Yates</w:t>
      </w:r>
      <w:r>
        <w:rPr>
          <w:spacing w:val="-1"/>
        </w:rPr>
        <w:t> </w:t>
      </w:r>
      <w:r>
        <w:rPr/>
        <w:t>County face limited access to</w:t>
      </w:r>
      <w:r>
        <w:rPr>
          <w:spacing w:val="-7"/>
        </w:rPr>
        <w:t> </w:t>
      </w:r>
      <w:r>
        <w:rPr/>
        <w:t>physical</w:t>
      </w:r>
      <w:r>
        <w:rPr>
          <w:spacing w:val="-8"/>
        </w:rPr>
        <w:t> </w:t>
      </w:r>
      <w:r>
        <w:rPr/>
        <w:t>acfivity</w:t>
      </w:r>
      <w:r>
        <w:rPr>
          <w:spacing w:val="-7"/>
        </w:rPr>
        <w:t> </w:t>
      </w:r>
      <w:r>
        <w:rPr/>
        <w:t>spaces,</w:t>
      </w:r>
      <w:r>
        <w:rPr>
          <w:spacing w:val="-7"/>
        </w:rPr>
        <w:t> </w:t>
      </w:r>
      <w:r>
        <w:rPr/>
        <w:t>low</w:t>
      </w:r>
      <w:r>
        <w:rPr>
          <w:spacing w:val="-9"/>
        </w:rPr>
        <w:t> </w:t>
      </w:r>
      <w:r>
        <w:rPr/>
        <w:t>walkability,</w:t>
      </w:r>
      <w:r>
        <w:rPr>
          <w:spacing w:val="-9"/>
        </w:rPr>
        <w:t> </w:t>
      </w:r>
      <w:r>
        <w:rPr/>
        <w:t>and</w:t>
      </w:r>
      <w:r>
        <w:rPr>
          <w:spacing w:val="-10"/>
        </w:rPr>
        <w:t> </w:t>
      </w:r>
      <w:r>
        <w:rPr/>
        <w:t>moderate</w:t>
      </w:r>
      <w:r>
        <w:rPr>
          <w:spacing w:val="-7"/>
        </w:rPr>
        <w:t> </w:t>
      </w:r>
      <w:r>
        <w:rPr/>
        <w:t>social</w:t>
      </w:r>
      <w:r>
        <w:rPr>
          <w:spacing w:val="-9"/>
        </w:rPr>
        <w:t> </w:t>
      </w:r>
      <w:r>
        <w:rPr/>
        <w:t>vulnerability,</w:t>
      </w:r>
      <w:r>
        <w:rPr>
          <w:spacing w:val="-9"/>
        </w:rPr>
        <w:t> </w:t>
      </w:r>
      <w:r>
        <w:rPr/>
        <w:t>creafing</w:t>
      </w:r>
      <w:r>
        <w:rPr>
          <w:spacing w:val="-8"/>
        </w:rPr>
        <w:t> </w:t>
      </w:r>
      <w:r>
        <w:rPr/>
        <w:t>addifional</w:t>
      </w:r>
      <w:r>
        <w:rPr>
          <w:spacing w:val="-8"/>
        </w:rPr>
        <w:t> </w:t>
      </w:r>
      <w:r>
        <w:rPr/>
        <w:t>barriers to healthy living. Although some indicators, such as reduced ACEs and stable youth suicide rates, show progress, the overall paftern highlights signiﬁcant and growing needs across mental health, substance use, injury prevenfion, and community support systems.</w:t>
      </w:r>
    </w:p>
    <w:p>
      <w:pPr>
        <w:pStyle w:val="Heading2"/>
        <w:spacing w:before="201"/>
        <w:rPr>
          <w:i/>
        </w:rPr>
      </w:pPr>
      <w:r>
        <w:rPr>
          <w:i/>
        </w:rPr>
        <w:t>Domain:</w:t>
      </w:r>
      <w:r>
        <w:rPr>
          <w:i/>
          <w:spacing w:val="-6"/>
        </w:rPr>
        <w:t> </w:t>
      </w:r>
      <w:r>
        <w:rPr>
          <w:i/>
        </w:rPr>
        <w:t>Health</w:t>
      </w:r>
      <w:r>
        <w:rPr>
          <w:i/>
          <w:spacing w:val="-4"/>
        </w:rPr>
        <w:t> </w:t>
      </w:r>
      <w:r>
        <w:rPr>
          <w:i/>
        </w:rPr>
        <w:t>Care</w:t>
      </w:r>
      <w:r>
        <w:rPr>
          <w:i/>
          <w:spacing w:val="-8"/>
        </w:rPr>
        <w:t> </w:t>
      </w:r>
      <w:r>
        <w:rPr>
          <w:i/>
        </w:rPr>
        <w:t>Access</w:t>
      </w:r>
      <w:r>
        <w:rPr>
          <w:i/>
          <w:spacing w:val="-5"/>
        </w:rPr>
        <w:t> </w:t>
      </w:r>
      <w:r>
        <w:rPr>
          <w:i/>
        </w:rPr>
        <w:t>and</w:t>
      </w:r>
      <w:r>
        <w:rPr>
          <w:i/>
          <w:spacing w:val="-3"/>
        </w:rPr>
        <w:t> </w:t>
      </w:r>
      <w:r>
        <w:rPr>
          <w:i/>
          <w:spacing w:val="-2"/>
        </w:rPr>
        <w:t>Quality</w:t>
      </w:r>
    </w:p>
    <w:p>
      <w:pPr>
        <w:pStyle w:val="BodyText"/>
        <w:spacing w:line="259" w:lineRule="auto" w:before="186"/>
        <w:ind w:right="1467"/>
      </w:pPr>
      <w:r>
        <w:rPr/>
        <w:t>Health care access and quality are crifical aspects of community health. Posifive health outcomes are inﬂuenced</w:t>
      </w:r>
      <w:r>
        <w:rPr>
          <w:spacing w:val="-5"/>
        </w:rPr>
        <w:t> </w:t>
      </w:r>
      <w:r>
        <w:rPr/>
        <w:t>by</w:t>
      </w:r>
      <w:r>
        <w:rPr>
          <w:spacing w:val="-5"/>
        </w:rPr>
        <w:t> </w:t>
      </w:r>
      <w:r>
        <w:rPr/>
        <w:t>access</w:t>
      </w:r>
      <w:r>
        <w:rPr>
          <w:spacing w:val="-4"/>
        </w:rPr>
        <w:t> </w:t>
      </w:r>
      <w:r>
        <w:rPr/>
        <w:t>to</w:t>
      </w:r>
      <w:r>
        <w:rPr>
          <w:spacing w:val="-3"/>
        </w:rPr>
        <w:t> </w:t>
      </w:r>
      <w:r>
        <w:rPr/>
        <w:t>health</w:t>
      </w:r>
      <w:r>
        <w:rPr>
          <w:spacing w:val="-5"/>
        </w:rPr>
        <w:t> </w:t>
      </w:r>
      <w:r>
        <w:rPr/>
        <w:t>promofion</w:t>
      </w:r>
      <w:r>
        <w:rPr>
          <w:spacing w:val="-7"/>
        </w:rPr>
        <w:t> </w:t>
      </w:r>
      <w:r>
        <w:rPr/>
        <w:t>and</w:t>
      </w:r>
      <w:r>
        <w:rPr>
          <w:spacing w:val="-5"/>
        </w:rPr>
        <w:t> </w:t>
      </w:r>
      <w:r>
        <w:rPr/>
        <w:t>therapeufic</w:t>
      </w:r>
      <w:r>
        <w:rPr>
          <w:spacing w:val="-3"/>
        </w:rPr>
        <w:t> </w:t>
      </w:r>
      <w:r>
        <w:rPr/>
        <w:t>intervenfions,</w:t>
      </w:r>
      <w:r>
        <w:rPr>
          <w:spacing w:val="-6"/>
        </w:rPr>
        <w:t> </w:t>
      </w:r>
      <w:r>
        <w:rPr/>
        <w:t>which</w:t>
      </w:r>
      <w:r>
        <w:rPr>
          <w:spacing w:val="-5"/>
        </w:rPr>
        <w:t> </w:t>
      </w:r>
      <w:r>
        <w:rPr/>
        <w:t>are</w:t>
      </w:r>
      <w:r>
        <w:rPr>
          <w:spacing w:val="-3"/>
        </w:rPr>
        <w:t> </w:t>
      </w:r>
      <w:r>
        <w:rPr/>
        <w:t>often</w:t>
      </w:r>
      <w:r>
        <w:rPr>
          <w:spacing w:val="-4"/>
        </w:rPr>
        <w:t> </w:t>
      </w:r>
      <w:r>
        <w:rPr/>
        <w:t>limited</w:t>
      </w:r>
      <w:r>
        <w:rPr>
          <w:spacing w:val="-5"/>
        </w:rPr>
        <w:t> </w:t>
      </w:r>
      <w:r>
        <w:rPr/>
        <w:t>in</w:t>
      </w:r>
      <w:r>
        <w:rPr>
          <w:spacing w:val="-5"/>
        </w:rPr>
        <w:t> </w:t>
      </w:r>
      <w:r>
        <w:rPr/>
        <w:t>rural areas. This includes access to primary care, specialists, and dental care.</w:t>
      </w:r>
    </w:p>
    <w:p>
      <w:pPr>
        <w:pStyle w:val="BodyText"/>
        <w:spacing w:line="259" w:lineRule="auto" w:before="160"/>
        <w:ind w:right="1467"/>
      </w:pPr>
      <w:r>
        <w:rPr/>
        <w:t>Access to prenatal care and health of parents creates the foundafion for posifive health outcomes throughout life. Care is most eﬀecfive when inifiated early and maintained throughout pregnancy. Prenatal</w:t>
      </w:r>
      <w:r>
        <w:rPr>
          <w:spacing w:val="-6"/>
        </w:rPr>
        <w:t> </w:t>
      </w:r>
      <w:r>
        <w:rPr/>
        <w:t>care</w:t>
      </w:r>
      <w:r>
        <w:rPr>
          <w:spacing w:val="-5"/>
        </w:rPr>
        <w:t> </w:t>
      </w:r>
      <w:r>
        <w:rPr/>
        <w:t>reduces</w:t>
      </w:r>
      <w:r>
        <w:rPr>
          <w:spacing w:val="-6"/>
        </w:rPr>
        <w:t> </w:t>
      </w:r>
      <w:r>
        <w:rPr/>
        <w:t>risks</w:t>
      </w:r>
      <w:r>
        <w:rPr>
          <w:spacing w:val="-8"/>
        </w:rPr>
        <w:t> </w:t>
      </w:r>
      <w:r>
        <w:rPr/>
        <w:t>such</w:t>
      </w:r>
      <w:r>
        <w:rPr>
          <w:spacing w:val="-6"/>
        </w:rPr>
        <w:t> </w:t>
      </w:r>
      <w:r>
        <w:rPr/>
        <w:t>as</w:t>
      </w:r>
      <w:r>
        <w:rPr>
          <w:spacing w:val="-6"/>
        </w:rPr>
        <w:t> </w:t>
      </w:r>
      <w:r>
        <w:rPr/>
        <w:t>preterm</w:t>
      </w:r>
      <w:r>
        <w:rPr>
          <w:spacing w:val="-7"/>
        </w:rPr>
        <w:t> </w:t>
      </w:r>
      <w:r>
        <w:rPr/>
        <w:t>birth,</w:t>
      </w:r>
      <w:r>
        <w:rPr>
          <w:spacing w:val="-5"/>
        </w:rPr>
        <w:t> </w:t>
      </w:r>
      <w:r>
        <w:rPr/>
        <w:t>low</w:t>
      </w:r>
      <w:r>
        <w:rPr>
          <w:spacing w:val="-10"/>
        </w:rPr>
        <w:t> </w:t>
      </w:r>
      <w:r>
        <w:rPr/>
        <w:t>birth</w:t>
      </w:r>
      <w:r>
        <w:rPr>
          <w:spacing w:val="-7"/>
        </w:rPr>
        <w:t> </w:t>
      </w:r>
      <w:r>
        <w:rPr/>
        <w:t>weight,</w:t>
      </w:r>
      <w:r>
        <w:rPr>
          <w:spacing w:val="-6"/>
        </w:rPr>
        <w:t> </w:t>
      </w:r>
      <w:r>
        <w:rPr/>
        <w:t>and</w:t>
      </w:r>
      <w:r>
        <w:rPr>
          <w:spacing w:val="-9"/>
        </w:rPr>
        <w:t> </w:t>
      </w:r>
      <w:r>
        <w:rPr/>
        <w:t>maternal</w:t>
      </w:r>
      <w:r>
        <w:rPr>
          <w:spacing w:val="-8"/>
        </w:rPr>
        <w:t> </w:t>
      </w:r>
      <w:r>
        <w:rPr/>
        <w:t>and</w:t>
      </w:r>
      <w:r>
        <w:rPr>
          <w:spacing w:val="-7"/>
        </w:rPr>
        <w:t> </w:t>
      </w:r>
      <w:r>
        <w:rPr/>
        <w:t>infant</w:t>
      </w:r>
      <w:r>
        <w:rPr>
          <w:spacing w:val="-5"/>
        </w:rPr>
        <w:t> </w:t>
      </w:r>
      <w:r>
        <w:rPr/>
        <w:t>mortality.</w:t>
      </w:r>
    </w:p>
    <w:p>
      <w:pPr>
        <w:pStyle w:val="BodyText"/>
        <w:spacing w:line="259" w:lineRule="auto" w:before="159"/>
        <w:ind w:right="1526"/>
      </w:pPr>
      <w:r>
        <w:rPr/>
        <w:t>Roufine immunizafions</w:t>
      </w:r>
      <w:r>
        <w:rPr>
          <w:spacing w:val="-1"/>
        </w:rPr>
        <w:t> </w:t>
      </w:r>
      <w:r>
        <w:rPr/>
        <w:t>and</w:t>
      </w:r>
      <w:r>
        <w:rPr>
          <w:spacing w:val="-2"/>
        </w:rPr>
        <w:t> </w:t>
      </w:r>
      <w:r>
        <w:rPr/>
        <w:t>screenings</w:t>
      </w:r>
      <w:r>
        <w:rPr>
          <w:spacing w:val="-1"/>
        </w:rPr>
        <w:t> </w:t>
      </w:r>
      <w:r>
        <w:rPr/>
        <w:t>help</w:t>
      </w:r>
      <w:r>
        <w:rPr>
          <w:spacing w:val="-1"/>
        </w:rPr>
        <w:t> </w:t>
      </w:r>
      <w:r>
        <w:rPr/>
        <w:t>children</w:t>
      </w:r>
      <w:r>
        <w:rPr>
          <w:spacing w:val="-4"/>
        </w:rPr>
        <w:t> </w:t>
      </w:r>
      <w:r>
        <w:rPr/>
        <w:t>stay healthy,</w:t>
      </w:r>
      <w:r>
        <w:rPr>
          <w:spacing w:val="-3"/>
        </w:rPr>
        <w:t> </w:t>
      </w:r>
      <w:r>
        <w:rPr/>
        <w:t>yet access</w:t>
      </w:r>
      <w:r>
        <w:rPr>
          <w:spacing w:val="-3"/>
        </w:rPr>
        <w:t> </w:t>
      </w:r>
      <w:r>
        <w:rPr/>
        <w:t>and</w:t>
      </w:r>
      <w:r>
        <w:rPr>
          <w:spacing w:val="-4"/>
        </w:rPr>
        <w:t> </w:t>
      </w:r>
      <w:r>
        <w:rPr/>
        <w:t>uptake</w:t>
      </w:r>
      <w:r>
        <w:rPr>
          <w:spacing w:val="-2"/>
        </w:rPr>
        <w:t> </w:t>
      </w:r>
      <w:r>
        <w:rPr/>
        <w:t>remain</w:t>
      </w:r>
      <w:r>
        <w:rPr>
          <w:spacing w:val="-2"/>
        </w:rPr>
        <w:t> </w:t>
      </w:r>
      <w:r>
        <w:rPr/>
        <w:t>uneven due to systemic inequifies, transportafion barriers, and historical mistrust. In addifion, poor oral health impacts</w:t>
      </w:r>
      <w:r>
        <w:rPr>
          <w:spacing w:val="-6"/>
        </w:rPr>
        <w:t> </w:t>
      </w:r>
      <w:r>
        <w:rPr/>
        <w:t>nutrifion,</w:t>
      </w:r>
      <w:r>
        <w:rPr>
          <w:spacing w:val="-6"/>
        </w:rPr>
        <w:t> </w:t>
      </w:r>
      <w:r>
        <w:rPr/>
        <w:t>speech,</w:t>
      </w:r>
      <w:r>
        <w:rPr>
          <w:spacing w:val="-9"/>
        </w:rPr>
        <w:t> </w:t>
      </w:r>
      <w:r>
        <w:rPr/>
        <w:t>social</w:t>
      </w:r>
      <w:r>
        <w:rPr>
          <w:spacing w:val="-5"/>
        </w:rPr>
        <w:t> </w:t>
      </w:r>
      <w:r>
        <w:rPr/>
        <w:t>development,</w:t>
      </w:r>
      <w:r>
        <w:rPr>
          <w:spacing w:val="-5"/>
        </w:rPr>
        <w:t> </w:t>
      </w:r>
      <w:r>
        <w:rPr/>
        <w:t>and</w:t>
      </w:r>
      <w:r>
        <w:rPr>
          <w:spacing w:val="-7"/>
        </w:rPr>
        <w:t> </w:t>
      </w:r>
      <w:r>
        <w:rPr/>
        <w:t>overall</w:t>
      </w:r>
      <w:r>
        <w:rPr>
          <w:spacing w:val="-5"/>
        </w:rPr>
        <w:t> </w:t>
      </w:r>
      <w:r>
        <w:rPr/>
        <w:t>well-being.</w:t>
      </w:r>
      <w:r>
        <w:rPr>
          <w:spacing w:val="-5"/>
        </w:rPr>
        <w:t> </w:t>
      </w:r>
      <w:r>
        <w:rPr/>
        <w:t>Vulnerable</w:t>
      </w:r>
      <w:r>
        <w:rPr>
          <w:spacing w:val="-6"/>
        </w:rPr>
        <w:t> </w:t>
      </w:r>
      <w:r>
        <w:rPr/>
        <w:t>populafions,</w:t>
      </w:r>
      <w:r>
        <w:rPr>
          <w:spacing w:val="-4"/>
        </w:rPr>
        <w:t> </w:t>
      </w:r>
      <w:r>
        <w:rPr/>
        <w:t>including low-income communifies, face higher rates of untreated dental disease.</w:t>
      </w:r>
    </w:p>
    <w:p>
      <w:pPr>
        <w:pStyle w:val="BodyText"/>
        <w:ind w:left="0"/>
        <w:rPr>
          <w:sz w:val="20"/>
        </w:rPr>
      </w:pPr>
    </w:p>
    <w:p>
      <w:pPr>
        <w:pStyle w:val="BodyText"/>
        <w:spacing w:before="154"/>
        <w:ind w:left="0"/>
        <w:rPr>
          <w:sz w:val="20"/>
        </w:rPr>
      </w:pPr>
      <w:r>
        <w:rPr>
          <w:sz w:val="20"/>
        </w:rPr>
        <mc:AlternateContent>
          <mc:Choice Requires="wps">
            <w:drawing>
              <wp:anchor distT="0" distB="0" distL="0" distR="0" allowOverlap="1" layoutInCell="1" locked="0" behindDoc="1" simplePos="0" relativeHeight="487604736">
                <wp:simplePos x="0" y="0"/>
                <wp:positionH relativeFrom="page">
                  <wp:posOffset>914400</wp:posOffset>
                </wp:positionH>
                <wp:positionV relativeFrom="paragraph">
                  <wp:posOffset>268661</wp:posOffset>
                </wp:positionV>
                <wp:extent cx="1828800" cy="9525"/>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1.154423pt;width:144pt;height:.71pt;mso-position-horizontal-relative:page;mso-position-vertical-relative:paragraph;z-index:-15711744;mso-wrap-distance-left:0;mso-wrap-distance-right:0" id="docshape71" filled="true" fillcolor="#000000" stroked="false">
                <v:fill type="solid"/>
                <w10:wrap type="topAndBottom"/>
              </v:rect>
            </w:pict>
          </mc:Fallback>
        </mc:AlternateContent>
      </w:r>
    </w:p>
    <w:p>
      <w:pPr>
        <w:spacing w:before="102"/>
        <w:ind w:left="1440" w:right="0" w:firstLine="0"/>
        <w:jc w:val="left"/>
        <w:rPr>
          <w:sz w:val="20"/>
        </w:rPr>
      </w:pPr>
      <w:r>
        <w:rPr>
          <w:sz w:val="20"/>
          <w:vertAlign w:val="superscript"/>
        </w:rPr>
        <w:t>60</w:t>
      </w:r>
      <w:r>
        <w:rPr>
          <w:spacing w:val="-9"/>
          <w:sz w:val="20"/>
          <w:vertAlign w:val="baseline"/>
        </w:rPr>
        <w:t> </w:t>
      </w:r>
      <w:bookmarkStart w:name="_bookmark28" w:id="29"/>
      <w:bookmarkEnd w:id="29"/>
      <w:r>
        <w:rPr>
          <w:sz w:val="20"/>
          <w:vertAlign w:val="baseline"/>
        </w:rPr>
        <w:t>S</w:t>
      </w:r>
      <w:r>
        <w:rPr>
          <w:sz w:val="20"/>
          <w:vertAlign w:val="baseline"/>
        </w:rPr>
        <w:t>ource:</w:t>
      </w:r>
      <w:r>
        <w:rPr>
          <w:spacing w:val="-8"/>
          <w:sz w:val="20"/>
          <w:vertAlign w:val="baseline"/>
        </w:rPr>
        <w:t> </w:t>
      </w:r>
      <w:r>
        <w:rPr>
          <w:spacing w:val="-2"/>
          <w:sz w:val="20"/>
          <w:vertAlign w:val="baseline"/>
        </w:rPr>
        <w:t>hftps://</w:t>
      </w:r>
      <w:hyperlink r:id="rId33">
        <w:r>
          <w:rPr>
            <w:spacing w:val="-2"/>
            <w:sz w:val="20"/>
            <w:vertAlign w:val="baseline"/>
          </w:rPr>
          <w:t>www.cdc.gov/injury/index.html</w:t>
        </w:r>
      </w:hyperlink>
    </w:p>
    <w:p>
      <w:pPr>
        <w:spacing w:after="0"/>
        <w:jc w:val="left"/>
        <w:rPr>
          <w:sz w:val="20"/>
        </w:rPr>
        <w:sectPr>
          <w:pgSz w:w="12240" w:h="15840"/>
          <w:pgMar w:header="161" w:footer="1223" w:top="1360" w:bottom="1420" w:left="0" w:right="0"/>
        </w:sectPr>
      </w:pPr>
    </w:p>
    <w:p>
      <w:pPr>
        <w:pStyle w:val="Heading3"/>
      </w:pPr>
      <w:r>
        <w:rPr/>
        <w:t>Emergency</w:t>
      </w:r>
      <w:r>
        <w:rPr>
          <w:spacing w:val="-7"/>
        </w:rPr>
        <w:t> </w:t>
      </w:r>
      <w:r>
        <w:rPr/>
        <w:t>Department</w:t>
      </w:r>
      <w:r>
        <w:rPr>
          <w:spacing w:val="-7"/>
        </w:rPr>
        <w:t> </w:t>
      </w:r>
      <w:r>
        <w:rPr/>
        <w:t>Visits</w:t>
      </w:r>
      <w:r>
        <w:rPr>
          <w:spacing w:val="-8"/>
        </w:rPr>
        <w:t> </w:t>
      </w:r>
      <w:r>
        <w:rPr/>
        <w:t>and</w:t>
      </w:r>
      <w:r>
        <w:rPr>
          <w:spacing w:val="-5"/>
        </w:rPr>
        <w:t> </w:t>
      </w:r>
      <w:r>
        <w:rPr/>
        <w:t>Potenfially</w:t>
      </w:r>
      <w:r>
        <w:rPr>
          <w:spacing w:val="-7"/>
        </w:rPr>
        <w:t> </w:t>
      </w:r>
      <w:r>
        <w:rPr/>
        <w:t>Preventable</w:t>
      </w:r>
      <w:r>
        <w:rPr>
          <w:spacing w:val="-7"/>
        </w:rPr>
        <w:t> </w:t>
      </w:r>
      <w:r>
        <w:rPr>
          <w:spacing w:val="-2"/>
        </w:rPr>
        <w:t>Hospitalizafions</w:t>
      </w:r>
    </w:p>
    <w:p>
      <w:pPr>
        <w:pStyle w:val="BodyText"/>
        <w:spacing w:line="259" w:lineRule="auto" w:before="182"/>
        <w:ind w:right="1467"/>
      </w:pPr>
      <w:r>
        <w:rPr/>
        <w:t>Maps Y5 and Y6 detail emergency department (ED) visits and preventable hospitalizafions (hospital admissions</w:t>
      </w:r>
      <w:r>
        <w:rPr>
          <w:spacing w:val="-3"/>
        </w:rPr>
        <w:t> </w:t>
      </w:r>
      <w:r>
        <w:rPr/>
        <w:t>that</w:t>
      </w:r>
      <w:r>
        <w:rPr>
          <w:spacing w:val="-3"/>
        </w:rPr>
        <w:t> </w:t>
      </w:r>
      <w:r>
        <w:rPr/>
        <w:t>could</w:t>
      </w:r>
      <w:r>
        <w:rPr>
          <w:spacing w:val="-4"/>
        </w:rPr>
        <w:t> </w:t>
      </w:r>
      <w:r>
        <w:rPr/>
        <w:t>have</w:t>
      </w:r>
      <w:r>
        <w:rPr>
          <w:spacing w:val="-5"/>
        </w:rPr>
        <w:t> </w:t>
      </w:r>
      <w:r>
        <w:rPr/>
        <w:t>been</w:t>
      </w:r>
      <w:r>
        <w:rPr>
          <w:spacing w:val="-4"/>
        </w:rPr>
        <w:t> </w:t>
      </w:r>
      <w:r>
        <w:rPr/>
        <w:t>potenfially</w:t>
      </w:r>
      <w:r>
        <w:rPr>
          <w:spacing w:val="-4"/>
        </w:rPr>
        <w:t> </w:t>
      </w:r>
      <w:r>
        <w:rPr/>
        <w:t>avoided</w:t>
      </w:r>
      <w:r>
        <w:rPr>
          <w:spacing w:val="-8"/>
        </w:rPr>
        <w:t> </w:t>
      </w:r>
      <w:r>
        <w:rPr/>
        <w:t>with</w:t>
      </w:r>
      <w:r>
        <w:rPr>
          <w:spacing w:val="-4"/>
        </w:rPr>
        <w:t> </w:t>
      </w:r>
      <w:r>
        <w:rPr/>
        <w:t>fimely</w:t>
      </w:r>
      <w:r>
        <w:rPr>
          <w:spacing w:val="-4"/>
        </w:rPr>
        <w:t> </w:t>
      </w:r>
      <w:r>
        <w:rPr/>
        <w:t>and</w:t>
      </w:r>
      <w:r>
        <w:rPr>
          <w:spacing w:val="-4"/>
        </w:rPr>
        <w:t> </w:t>
      </w:r>
      <w:r>
        <w:rPr/>
        <w:t>eﬀecfive</w:t>
      </w:r>
      <w:r>
        <w:rPr>
          <w:spacing w:val="-4"/>
        </w:rPr>
        <w:t> </w:t>
      </w:r>
      <w:r>
        <w:rPr/>
        <w:t>outpafient</w:t>
      </w:r>
      <w:r>
        <w:rPr>
          <w:spacing w:val="-2"/>
        </w:rPr>
        <w:t> </w:t>
      </w:r>
      <w:r>
        <w:rPr/>
        <w:t>care</w:t>
      </w:r>
      <w:r>
        <w:rPr>
          <w:spacing w:val="-4"/>
        </w:rPr>
        <w:t> </w:t>
      </w:r>
      <w:r>
        <w:rPr/>
        <w:t>or</w:t>
      </w:r>
      <w:r>
        <w:rPr>
          <w:spacing w:val="-3"/>
        </w:rPr>
        <w:t> </w:t>
      </w:r>
      <w:r>
        <w:rPr/>
        <w:t>disease management)</w:t>
      </w:r>
      <w:r>
        <w:rPr>
          <w:spacing w:val="-2"/>
        </w:rPr>
        <w:t> </w:t>
      </w:r>
      <w:r>
        <w:rPr/>
        <w:t>by zip</w:t>
      </w:r>
      <w:r>
        <w:rPr>
          <w:spacing w:val="-1"/>
        </w:rPr>
        <w:t> </w:t>
      </w:r>
      <w:r>
        <w:rPr/>
        <w:t>code in</w:t>
      </w:r>
      <w:r>
        <w:rPr>
          <w:spacing w:val="-1"/>
        </w:rPr>
        <w:t> </w:t>
      </w:r>
      <w:r>
        <w:rPr/>
        <w:t>Yates</w:t>
      </w:r>
      <w:r>
        <w:rPr>
          <w:spacing w:val="-2"/>
        </w:rPr>
        <w:t> </w:t>
      </w:r>
      <w:r>
        <w:rPr/>
        <w:t>County. Table</w:t>
      </w:r>
      <w:r>
        <w:rPr>
          <w:spacing w:val="-1"/>
        </w:rPr>
        <w:t> </w:t>
      </w:r>
      <w:r>
        <w:rPr/>
        <w:t>Y4 highlights the diﬀerence in</w:t>
      </w:r>
      <w:r>
        <w:rPr>
          <w:spacing w:val="-1"/>
        </w:rPr>
        <w:t> </w:t>
      </w:r>
      <w:r>
        <w:rPr/>
        <w:t>ED visits in</w:t>
      </w:r>
      <w:r>
        <w:rPr>
          <w:spacing w:val="-3"/>
        </w:rPr>
        <w:t> </w:t>
      </w:r>
      <w:r>
        <w:rPr/>
        <w:t>Yates</w:t>
      </w:r>
      <w:r>
        <w:rPr>
          <w:spacing w:val="-2"/>
        </w:rPr>
        <w:t> </w:t>
      </w:r>
      <w:r>
        <w:rPr/>
        <w:t>County compared with NYS.</w:t>
      </w:r>
    </w:p>
    <w:p>
      <w:pPr>
        <w:spacing w:before="162"/>
        <w:ind w:left="1555" w:right="0" w:firstLine="0"/>
        <w:jc w:val="left"/>
        <w:rPr>
          <w:i/>
          <w:sz w:val="18"/>
        </w:rPr>
      </w:pPr>
      <w:r>
        <w:rPr>
          <w:i/>
          <w:color w:val="0D2841"/>
          <w:sz w:val="18"/>
        </w:rPr>
        <w:t>Map Y5:</w:t>
      </w:r>
      <w:r>
        <w:rPr>
          <w:i/>
          <w:color w:val="0D2841"/>
          <w:spacing w:val="-4"/>
          <w:sz w:val="18"/>
        </w:rPr>
        <w:t> </w:t>
      </w:r>
      <w:r>
        <w:rPr>
          <w:i/>
          <w:color w:val="0D2841"/>
          <w:sz w:val="18"/>
        </w:rPr>
        <w:t>ED</w:t>
      </w:r>
      <w:r>
        <w:rPr>
          <w:i/>
          <w:color w:val="0D2841"/>
          <w:spacing w:val="-2"/>
          <w:sz w:val="18"/>
        </w:rPr>
        <w:t> </w:t>
      </w:r>
      <w:r>
        <w:rPr>
          <w:i/>
          <w:color w:val="0D2841"/>
          <w:sz w:val="18"/>
        </w:rPr>
        <w:t>Visit Rate</w:t>
      </w:r>
      <w:r>
        <w:rPr>
          <w:i/>
          <w:color w:val="0D2841"/>
          <w:spacing w:val="-3"/>
          <w:sz w:val="18"/>
        </w:rPr>
        <w:t> </w:t>
      </w:r>
      <w:r>
        <w:rPr>
          <w:i/>
          <w:color w:val="0D2841"/>
          <w:sz w:val="18"/>
        </w:rPr>
        <w:t>by Zip</w:t>
      </w:r>
      <w:r>
        <w:rPr>
          <w:i/>
          <w:color w:val="0D2841"/>
          <w:spacing w:val="1"/>
          <w:sz w:val="18"/>
        </w:rPr>
        <w:t> </w:t>
      </w:r>
      <w:r>
        <w:rPr>
          <w:i/>
          <w:color w:val="0D2841"/>
          <w:spacing w:val="-4"/>
          <w:sz w:val="18"/>
        </w:rPr>
        <w:t>Code</w:t>
      </w:r>
    </w:p>
    <w:p>
      <w:pPr>
        <w:pStyle w:val="BodyText"/>
        <w:spacing w:before="9"/>
        <w:ind w:left="0"/>
        <w:rPr>
          <w:i/>
          <w:sz w:val="9"/>
        </w:rPr>
      </w:pPr>
      <w:r>
        <w:rPr>
          <w:i/>
          <w:sz w:val="9"/>
        </w:rPr>
        <w:drawing>
          <wp:anchor distT="0" distB="0" distL="0" distR="0" allowOverlap="1" layoutInCell="1" locked="0" behindDoc="1" simplePos="0" relativeHeight="487605248">
            <wp:simplePos x="0" y="0"/>
            <wp:positionH relativeFrom="page">
              <wp:posOffset>914400</wp:posOffset>
            </wp:positionH>
            <wp:positionV relativeFrom="paragraph">
              <wp:posOffset>91292</wp:posOffset>
            </wp:positionV>
            <wp:extent cx="6227063" cy="2755392"/>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34" cstate="print"/>
                    <a:stretch>
                      <a:fillRect/>
                    </a:stretch>
                  </pic:blipFill>
                  <pic:spPr>
                    <a:xfrm>
                      <a:off x="0" y="0"/>
                      <a:ext cx="6227063" cy="2755392"/>
                    </a:xfrm>
                    <a:prstGeom prst="rect">
                      <a:avLst/>
                    </a:prstGeom>
                  </pic:spPr>
                </pic:pic>
              </a:graphicData>
            </a:graphic>
          </wp:anchor>
        </w:drawing>
      </w:r>
    </w:p>
    <w:p>
      <w:pPr>
        <w:pStyle w:val="BodyText"/>
        <w:spacing w:before="14"/>
        <w:ind w:left="0"/>
        <w:rPr>
          <w:i/>
          <w:sz w:val="18"/>
        </w:rPr>
      </w:pPr>
    </w:p>
    <w:p>
      <w:pPr>
        <w:spacing w:before="0"/>
        <w:ind w:left="1526" w:right="0" w:firstLine="0"/>
        <w:jc w:val="left"/>
        <w:rPr>
          <w:i/>
          <w:sz w:val="18"/>
        </w:rPr>
      </w:pPr>
      <w:r>
        <w:rPr>
          <w:i/>
          <w:color w:val="0D2841"/>
          <w:sz w:val="18"/>
        </w:rPr>
        <w:t>Map</w:t>
      </w:r>
      <w:r>
        <w:rPr>
          <w:i/>
          <w:color w:val="0D2841"/>
          <w:spacing w:val="-3"/>
          <w:sz w:val="18"/>
        </w:rPr>
        <w:t> </w:t>
      </w:r>
      <w:r>
        <w:rPr>
          <w:i/>
          <w:color w:val="0D2841"/>
          <w:sz w:val="18"/>
        </w:rPr>
        <w:t>Y6:</w:t>
      </w:r>
      <w:r>
        <w:rPr>
          <w:i/>
          <w:color w:val="0D2841"/>
          <w:spacing w:val="-4"/>
          <w:sz w:val="18"/>
        </w:rPr>
        <w:t> </w:t>
      </w:r>
      <w:r>
        <w:rPr>
          <w:i/>
          <w:color w:val="0D2841"/>
          <w:sz w:val="18"/>
        </w:rPr>
        <w:t>Preventable</w:t>
      </w:r>
      <w:r>
        <w:rPr>
          <w:i/>
          <w:color w:val="0D2841"/>
          <w:spacing w:val="-4"/>
          <w:sz w:val="18"/>
        </w:rPr>
        <w:t> </w:t>
      </w:r>
      <w:r>
        <w:rPr>
          <w:i/>
          <w:color w:val="0D2841"/>
          <w:sz w:val="18"/>
        </w:rPr>
        <w:t>Hospitalizafions</w:t>
      </w:r>
      <w:r>
        <w:rPr>
          <w:i/>
          <w:color w:val="0D2841"/>
          <w:spacing w:val="-4"/>
          <w:sz w:val="18"/>
        </w:rPr>
        <w:t> </w:t>
      </w:r>
      <w:r>
        <w:rPr>
          <w:i/>
          <w:color w:val="0D2841"/>
          <w:sz w:val="18"/>
        </w:rPr>
        <w:t>by</w:t>
      </w:r>
      <w:r>
        <w:rPr>
          <w:i/>
          <w:color w:val="0D2841"/>
          <w:spacing w:val="-2"/>
          <w:sz w:val="18"/>
        </w:rPr>
        <w:t> </w:t>
      </w:r>
      <w:r>
        <w:rPr>
          <w:i/>
          <w:color w:val="0D2841"/>
          <w:sz w:val="18"/>
        </w:rPr>
        <w:t>Zip</w:t>
      </w:r>
      <w:r>
        <w:rPr>
          <w:i/>
          <w:color w:val="0D2841"/>
          <w:spacing w:val="-4"/>
          <w:sz w:val="18"/>
        </w:rPr>
        <w:t> Code</w:t>
      </w:r>
    </w:p>
    <w:p>
      <w:pPr>
        <w:pStyle w:val="BodyText"/>
        <w:spacing w:before="3"/>
        <w:ind w:left="0"/>
        <w:rPr>
          <w:i/>
          <w:sz w:val="18"/>
        </w:rPr>
      </w:pPr>
      <w:r>
        <w:rPr>
          <w:i/>
          <w:sz w:val="18"/>
        </w:rPr>
        <w:drawing>
          <wp:anchor distT="0" distB="0" distL="0" distR="0" allowOverlap="1" layoutInCell="1" locked="0" behindDoc="1" simplePos="0" relativeHeight="487605760">
            <wp:simplePos x="0" y="0"/>
            <wp:positionH relativeFrom="page">
              <wp:posOffset>922008</wp:posOffset>
            </wp:positionH>
            <wp:positionV relativeFrom="paragraph">
              <wp:posOffset>157069</wp:posOffset>
            </wp:positionV>
            <wp:extent cx="5942855" cy="2472309"/>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35" cstate="print"/>
                    <a:stretch>
                      <a:fillRect/>
                    </a:stretch>
                  </pic:blipFill>
                  <pic:spPr>
                    <a:xfrm>
                      <a:off x="0" y="0"/>
                      <a:ext cx="5942855" cy="2472309"/>
                    </a:xfrm>
                    <a:prstGeom prst="rect">
                      <a:avLst/>
                    </a:prstGeom>
                  </pic:spPr>
                </pic:pic>
              </a:graphicData>
            </a:graphic>
          </wp:anchor>
        </w:drawing>
      </w:r>
    </w:p>
    <w:p>
      <w:pPr>
        <w:pStyle w:val="BodyText"/>
        <w:spacing w:after="0"/>
        <w:rPr>
          <w:i/>
          <w:sz w:val="18"/>
        </w:rPr>
        <w:sectPr>
          <w:pgSz w:w="12240" w:h="15840"/>
          <w:pgMar w:header="161" w:footer="1223" w:top="1360" w:bottom="1420" w:left="0" w:right="0"/>
        </w:sectPr>
      </w:pPr>
    </w:p>
    <w:p>
      <w:pPr>
        <w:spacing w:before="66"/>
        <w:ind w:left="1440" w:right="0" w:firstLine="0"/>
        <w:jc w:val="left"/>
        <w:rPr>
          <w:i/>
          <w:sz w:val="18"/>
        </w:rPr>
      </w:pPr>
      <w:r>
        <w:rPr>
          <w:i/>
          <w:color w:val="0D2841"/>
          <w:sz w:val="18"/>
        </w:rPr>
        <w:t>Table</w:t>
      </w:r>
      <w:r>
        <w:rPr>
          <w:i/>
          <w:color w:val="0D2841"/>
          <w:spacing w:val="-8"/>
          <w:sz w:val="18"/>
        </w:rPr>
        <w:t> </w:t>
      </w:r>
      <w:r>
        <w:rPr>
          <w:i/>
          <w:color w:val="0D2841"/>
          <w:sz w:val="18"/>
        </w:rPr>
        <w:t>Y4:</w:t>
      </w:r>
      <w:r>
        <w:rPr>
          <w:i/>
          <w:color w:val="0D2841"/>
          <w:spacing w:val="-7"/>
          <w:sz w:val="18"/>
        </w:rPr>
        <w:t> </w:t>
      </w:r>
      <w:r>
        <w:rPr>
          <w:i/>
          <w:color w:val="0D2841"/>
          <w:sz w:val="18"/>
        </w:rPr>
        <w:t>Emergency</w:t>
      </w:r>
      <w:r>
        <w:rPr>
          <w:i/>
          <w:color w:val="0D2841"/>
          <w:spacing w:val="-6"/>
          <w:sz w:val="18"/>
        </w:rPr>
        <w:t> </w:t>
      </w:r>
      <w:r>
        <w:rPr>
          <w:i/>
          <w:color w:val="0D2841"/>
          <w:sz w:val="18"/>
        </w:rPr>
        <w:t>Department</w:t>
      </w:r>
      <w:r>
        <w:rPr>
          <w:i/>
          <w:color w:val="0D2841"/>
          <w:spacing w:val="-9"/>
          <w:sz w:val="18"/>
        </w:rPr>
        <w:t> </w:t>
      </w:r>
      <w:r>
        <w:rPr>
          <w:i/>
          <w:color w:val="0D2841"/>
          <w:spacing w:val="-2"/>
          <w:sz w:val="18"/>
        </w:rPr>
        <w:t>Visits</w:t>
      </w:r>
    </w:p>
    <w:p>
      <w:pPr>
        <w:pStyle w:val="BodyText"/>
        <w:spacing w:before="9"/>
        <w:ind w:left="0"/>
        <w:rPr>
          <w:i/>
          <w:sz w:val="11"/>
        </w:rPr>
      </w:pPr>
    </w:p>
    <w:tbl>
      <w:tblPr>
        <w:tblW w:w="0" w:type="auto"/>
        <w:jc w:val="left"/>
        <w:tblCellSpacing w:w="4" w:type="dxa"/>
        <w:tblInd w:w="1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96"/>
        <w:gridCol w:w="2025"/>
        <w:gridCol w:w="2071"/>
        <w:gridCol w:w="2245"/>
      </w:tblGrid>
      <w:tr>
        <w:trPr>
          <w:trHeight w:val="803" w:hRule="atLeast"/>
        </w:trPr>
        <w:tc>
          <w:tcPr>
            <w:tcW w:w="9437" w:type="dxa"/>
            <w:gridSpan w:val="4"/>
            <w:tcBorders>
              <w:top w:val="nil"/>
              <w:left w:val="nil"/>
              <w:right w:val="nil"/>
            </w:tcBorders>
            <w:shd w:val="clear" w:color="auto" w:fill="145F82"/>
          </w:tcPr>
          <w:p>
            <w:pPr>
              <w:pStyle w:val="TableParagraph"/>
              <w:tabs>
                <w:tab w:pos="3285" w:val="left" w:leader="none"/>
                <w:tab w:pos="5563" w:val="left" w:leader="none"/>
                <w:tab w:pos="5790" w:val="left" w:leader="none"/>
                <w:tab w:pos="7775" w:val="left" w:leader="none"/>
                <w:tab w:pos="7871" w:val="left" w:leader="none"/>
              </w:tabs>
              <w:spacing w:line="160" w:lineRule="auto" w:before="23"/>
              <w:ind w:left="3568" w:right="582" w:hanging="2256"/>
              <w:rPr>
                <w:b/>
                <w:position w:val="-12"/>
                <w:sz w:val="22"/>
              </w:rPr>
            </w:pPr>
            <w:r>
              <w:rPr>
                <w:b/>
                <w:color w:val="FFFFFF"/>
                <w:spacing w:val="-2"/>
                <w:position w:val="-12"/>
                <w:sz w:val="22"/>
              </w:rPr>
              <w:t>Issue</w:t>
            </w:r>
            <w:r>
              <w:rPr>
                <w:b/>
                <w:color w:val="FFFFFF"/>
                <w:position w:val="-12"/>
                <w:sz w:val="22"/>
              </w:rPr>
              <w:tab/>
            </w:r>
            <w:r>
              <w:rPr>
                <w:b/>
                <w:color w:val="FFFFFF"/>
                <w:sz w:val="22"/>
              </w:rPr>
              <w:t>Yates County Rate</w:t>
              <w:tab/>
              <w:t>NYS Rate Per</w:t>
              <w:tab/>
              <w:tab/>
            </w:r>
            <w:r>
              <w:rPr>
                <w:b/>
                <w:color w:val="FFFFFF"/>
                <w:position w:val="-12"/>
                <w:sz w:val="22"/>
              </w:rPr>
              <w:t>% Change </w:t>
            </w:r>
            <w:r>
              <w:rPr>
                <w:b/>
                <w:color w:val="FFFFFF"/>
                <w:sz w:val="22"/>
              </w:rPr>
              <w:t>Per</w:t>
            </w:r>
            <w:r>
              <w:rPr>
                <w:b/>
                <w:color w:val="FFFFFF"/>
                <w:spacing w:val="-5"/>
                <w:sz w:val="22"/>
              </w:rPr>
              <w:t> </w:t>
            </w:r>
            <w:r>
              <w:rPr>
                <w:b/>
                <w:color w:val="FFFFFF"/>
                <w:spacing w:val="-2"/>
                <w:sz w:val="22"/>
              </w:rPr>
              <w:t>100,000</w:t>
            </w:r>
            <w:r>
              <w:rPr>
                <w:b/>
                <w:color w:val="FFFFFF"/>
                <w:sz w:val="22"/>
              </w:rPr>
              <w:tab/>
              <w:tab/>
            </w:r>
            <w:r>
              <w:rPr>
                <w:b/>
                <w:color w:val="FFFFFF"/>
                <w:spacing w:val="-2"/>
                <w:sz w:val="22"/>
              </w:rPr>
              <w:t>100,000</w:t>
            </w:r>
            <w:r>
              <w:rPr>
                <w:b/>
                <w:color w:val="FFFFFF"/>
                <w:sz w:val="22"/>
              </w:rPr>
              <w:tab/>
            </w:r>
            <w:r>
              <w:rPr>
                <w:b/>
                <w:color w:val="FFFFFF"/>
                <w:position w:val="-12"/>
                <w:sz w:val="22"/>
              </w:rPr>
              <w:t>(from</w:t>
            </w:r>
            <w:r>
              <w:rPr>
                <w:b/>
                <w:color w:val="FFFFFF"/>
                <w:spacing w:val="-8"/>
                <w:position w:val="-12"/>
                <w:sz w:val="22"/>
              </w:rPr>
              <w:t> </w:t>
            </w:r>
            <w:r>
              <w:rPr>
                <w:b/>
                <w:color w:val="FFFFFF"/>
                <w:spacing w:val="-2"/>
                <w:position w:val="-12"/>
                <w:sz w:val="22"/>
              </w:rPr>
              <w:t>2017)</w:t>
            </w:r>
          </w:p>
          <w:p>
            <w:pPr>
              <w:pStyle w:val="TableParagraph"/>
              <w:tabs>
                <w:tab w:pos="5860" w:val="left" w:leader="none"/>
              </w:tabs>
              <w:spacing w:line="141" w:lineRule="exact"/>
              <w:ind w:left="3815"/>
              <w:rPr>
                <w:b/>
                <w:sz w:val="22"/>
              </w:rPr>
            </w:pPr>
            <w:r>
              <w:rPr>
                <w:b/>
                <w:color w:val="FFFFFF"/>
                <w:spacing w:val="-2"/>
                <w:sz w:val="22"/>
              </w:rPr>
              <w:t>(2023)</w:t>
            </w:r>
            <w:r>
              <w:rPr>
                <w:b/>
                <w:color w:val="FFFFFF"/>
                <w:sz w:val="22"/>
              </w:rPr>
              <w:tab/>
            </w:r>
            <w:r>
              <w:rPr>
                <w:b/>
                <w:color w:val="FFFFFF"/>
                <w:spacing w:val="-2"/>
                <w:sz w:val="22"/>
              </w:rPr>
              <w:t>(2023)</w:t>
            </w:r>
          </w:p>
        </w:tc>
      </w:tr>
      <w:tr>
        <w:trPr>
          <w:trHeight w:val="765" w:hRule="atLeast"/>
        </w:trPr>
        <w:tc>
          <w:tcPr>
            <w:tcW w:w="3091" w:type="dxa"/>
            <w:tcBorders>
              <w:left w:val="nil"/>
            </w:tcBorders>
            <w:shd w:val="clear" w:color="auto" w:fill="145F82"/>
          </w:tcPr>
          <w:p>
            <w:pPr>
              <w:pStyle w:val="TableParagraph"/>
              <w:spacing w:line="240" w:lineRule="auto" w:before="248"/>
              <w:ind w:left="1" w:right="1"/>
              <w:jc w:val="center"/>
              <w:rPr>
                <w:b/>
                <w:sz w:val="22"/>
              </w:rPr>
            </w:pPr>
            <w:r>
              <w:rPr>
                <w:b/>
                <w:color w:val="FFFFFF"/>
                <w:sz w:val="22"/>
              </w:rPr>
              <w:t>All</w:t>
            </w:r>
            <w:r>
              <w:rPr>
                <w:b/>
                <w:color w:val="FFFFFF"/>
                <w:spacing w:val="-3"/>
                <w:sz w:val="22"/>
              </w:rPr>
              <w:t> </w:t>
            </w:r>
            <w:r>
              <w:rPr>
                <w:b/>
                <w:color w:val="FFFFFF"/>
                <w:sz w:val="22"/>
              </w:rPr>
              <w:t>ED</w:t>
            </w:r>
            <w:r>
              <w:rPr>
                <w:b/>
                <w:color w:val="FFFFFF"/>
                <w:spacing w:val="1"/>
                <w:sz w:val="22"/>
              </w:rPr>
              <w:t> </w:t>
            </w:r>
            <w:r>
              <w:rPr>
                <w:b/>
                <w:color w:val="FFFFFF"/>
                <w:spacing w:val="-2"/>
                <w:sz w:val="22"/>
              </w:rPr>
              <w:t>Visits</w:t>
            </w:r>
          </w:p>
        </w:tc>
        <w:tc>
          <w:tcPr>
            <w:tcW w:w="2015" w:type="dxa"/>
            <w:tcBorders>
              <w:right w:val="nil"/>
            </w:tcBorders>
            <w:shd w:val="clear" w:color="auto" w:fill="83C9EB"/>
          </w:tcPr>
          <w:p>
            <w:pPr>
              <w:pStyle w:val="TableParagraph"/>
              <w:spacing w:line="240" w:lineRule="auto" w:before="248"/>
              <w:ind w:left="0"/>
              <w:jc w:val="center"/>
              <w:rPr>
                <w:sz w:val="22"/>
              </w:rPr>
            </w:pPr>
            <w:r>
              <w:rPr>
                <w:spacing w:val="-2"/>
                <w:sz w:val="22"/>
              </w:rPr>
              <w:t>41,443</w:t>
            </w:r>
          </w:p>
        </w:tc>
        <w:tc>
          <w:tcPr>
            <w:tcW w:w="2061" w:type="dxa"/>
            <w:tcBorders>
              <w:left w:val="nil"/>
            </w:tcBorders>
            <w:shd w:val="clear" w:color="auto" w:fill="83C9EB"/>
          </w:tcPr>
          <w:p>
            <w:pPr>
              <w:pStyle w:val="TableParagraph"/>
              <w:spacing w:line="240" w:lineRule="auto" w:before="248"/>
              <w:ind w:left="0" w:right="5"/>
              <w:jc w:val="center"/>
              <w:rPr>
                <w:sz w:val="22"/>
              </w:rPr>
            </w:pPr>
            <w:r>
              <w:rPr>
                <w:spacing w:val="-2"/>
                <w:sz w:val="22"/>
              </w:rPr>
              <w:t>29,809</w:t>
            </w:r>
          </w:p>
        </w:tc>
        <w:tc>
          <w:tcPr>
            <w:tcW w:w="2240" w:type="dxa"/>
            <w:tcBorders>
              <w:right w:val="nil"/>
            </w:tcBorders>
            <w:shd w:val="clear" w:color="auto" w:fill="83C9EB"/>
          </w:tcPr>
          <w:p>
            <w:pPr>
              <w:pStyle w:val="TableParagraph"/>
              <w:spacing w:line="240" w:lineRule="auto" w:before="248"/>
              <w:ind w:left="0" w:right="3"/>
              <w:jc w:val="center"/>
              <w:rPr>
                <w:sz w:val="22"/>
              </w:rPr>
            </w:pPr>
            <w:r>
              <w:rPr>
                <w:spacing w:val="-4"/>
                <w:sz w:val="22"/>
              </w:rPr>
              <w:t>+10%</w:t>
            </w:r>
          </w:p>
        </w:tc>
      </w:tr>
      <w:tr>
        <w:trPr>
          <w:trHeight w:val="765" w:hRule="atLeast"/>
        </w:trPr>
        <w:tc>
          <w:tcPr>
            <w:tcW w:w="3091" w:type="dxa"/>
            <w:tcBorders>
              <w:left w:val="nil"/>
            </w:tcBorders>
            <w:shd w:val="clear" w:color="auto" w:fill="145F82"/>
          </w:tcPr>
          <w:p>
            <w:pPr>
              <w:pStyle w:val="TableParagraph"/>
              <w:spacing w:line="240" w:lineRule="auto" w:before="114"/>
              <w:ind w:left="1300" w:right="93" w:hanging="980"/>
              <w:rPr>
                <w:b/>
                <w:sz w:val="22"/>
              </w:rPr>
            </w:pPr>
            <w:r>
              <w:rPr>
                <w:b/>
                <w:color w:val="FFFFFF"/>
                <w:sz w:val="22"/>
              </w:rPr>
              <w:t>Substance</w:t>
            </w:r>
            <w:r>
              <w:rPr>
                <w:b/>
                <w:color w:val="FFFFFF"/>
                <w:spacing w:val="-13"/>
                <w:sz w:val="22"/>
              </w:rPr>
              <w:t> </w:t>
            </w:r>
            <w:r>
              <w:rPr>
                <w:b/>
                <w:color w:val="FFFFFF"/>
                <w:sz w:val="22"/>
              </w:rPr>
              <w:t>Use</w:t>
            </w:r>
            <w:r>
              <w:rPr>
                <w:b/>
                <w:color w:val="FFFFFF"/>
                <w:spacing w:val="-12"/>
                <w:sz w:val="22"/>
              </w:rPr>
              <w:t> </w:t>
            </w:r>
            <w:r>
              <w:rPr>
                <w:b/>
                <w:color w:val="FFFFFF"/>
                <w:sz w:val="22"/>
              </w:rPr>
              <w:t>Disorder</w:t>
            </w:r>
            <w:r>
              <w:rPr>
                <w:b/>
                <w:color w:val="FFFFFF"/>
                <w:spacing w:val="-13"/>
                <w:sz w:val="22"/>
              </w:rPr>
              <w:t> </w:t>
            </w:r>
            <w:r>
              <w:rPr>
                <w:b/>
                <w:color w:val="FFFFFF"/>
                <w:sz w:val="22"/>
              </w:rPr>
              <w:t>ED </w:t>
            </w:r>
            <w:r>
              <w:rPr>
                <w:b/>
                <w:color w:val="FFFFFF"/>
                <w:spacing w:val="-2"/>
                <w:sz w:val="22"/>
              </w:rPr>
              <w:t>Visits</w:t>
            </w:r>
          </w:p>
        </w:tc>
        <w:tc>
          <w:tcPr>
            <w:tcW w:w="2015" w:type="dxa"/>
            <w:tcBorders>
              <w:right w:val="nil"/>
            </w:tcBorders>
            <w:shd w:val="clear" w:color="auto" w:fill="C1E3F5"/>
          </w:tcPr>
          <w:p>
            <w:pPr>
              <w:pStyle w:val="TableParagraph"/>
              <w:spacing w:line="240" w:lineRule="auto" w:before="249"/>
              <w:ind w:left="0"/>
              <w:jc w:val="center"/>
              <w:rPr>
                <w:sz w:val="22"/>
              </w:rPr>
            </w:pPr>
            <w:r>
              <w:rPr>
                <w:spacing w:val="-2"/>
                <w:sz w:val="22"/>
              </w:rPr>
              <w:t>1,076</w:t>
            </w:r>
          </w:p>
        </w:tc>
        <w:tc>
          <w:tcPr>
            <w:tcW w:w="2061" w:type="dxa"/>
            <w:tcBorders>
              <w:left w:val="nil"/>
            </w:tcBorders>
            <w:shd w:val="clear" w:color="auto" w:fill="C1E3F5"/>
          </w:tcPr>
          <w:p>
            <w:pPr>
              <w:pStyle w:val="TableParagraph"/>
              <w:spacing w:line="240" w:lineRule="auto" w:before="249"/>
              <w:ind w:left="0" w:right="5"/>
              <w:jc w:val="center"/>
              <w:rPr>
                <w:sz w:val="22"/>
              </w:rPr>
            </w:pPr>
            <w:r>
              <w:rPr>
                <w:spacing w:val="-2"/>
                <w:sz w:val="22"/>
              </w:rPr>
              <w:t>1,646</w:t>
            </w:r>
          </w:p>
        </w:tc>
        <w:tc>
          <w:tcPr>
            <w:tcW w:w="2240" w:type="dxa"/>
            <w:tcBorders>
              <w:right w:val="nil"/>
            </w:tcBorders>
            <w:shd w:val="clear" w:color="auto" w:fill="C1E3F5"/>
          </w:tcPr>
          <w:p>
            <w:pPr>
              <w:pStyle w:val="TableParagraph"/>
              <w:spacing w:line="240" w:lineRule="auto" w:before="249"/>
              <w:ind w:left="3" w:right="3"/>
              <w:jc w:val="center"/>
              <w:rPr>
                <w:sz w:val="22"/>
              </w:rPr>
            </w:pPr>
            <w:r>
              <w:rPr>
                <w:spacing w:val="-2"/>
                <w:sz w:val="22"/>
              </w:rPr>
              <w:t>-</w:t>
            </w:r>
            <w:r>
              <w:rPr>
                <w:spacing w:val="-5"/>
                <w:sz w:val="22"/>
              </w:rPr>
              <w:t>34%</w:t>
            </w:r>
          </w:p>
        </w:tc>
      </w:tr>
      <w:tr>
        <w:trPr>
          <w:trHeight w:val="765" w:hRule="atLeast"/>
        </w:trPr>
        <w:tc>
          <w:tcPr>
            <w:tcW w:w="3091" w:type="dxa"/>
            <w:tcBorders>
              <w:left w:val="nil"/>
            </w:tcBorders>
            <w:shd w:val="clear" w:color="auto" w:fill="145F82"/>
          </w:tcPr>
          <w:p>
            <w:pPr>
              <w:pStyle w:val="TableParagraph"/>
              <w:spacing w:line="240" w:lineRule="auto" w:before="248"/>
              <w:ind w:left="1" w:right="1"/>
              <w:jc w:val="center"/>
              <w:rPr>
                <w:b/>
                <w:sz w:val="22"/>
              </w:rPr>
            </w:pPr>
            <w:r>
              <w:rPr>
                <w:b/>
                <w:color w:val="FFFFFF"/>
                <w:sz w:val="22"/>
              </w:rPr>
              <w:t>Intenfional</w:t>
            </w:r>
            <w:r>
              <w:rPr>
                <w:b/>
                <w:color w:val="FFFFFF"/>
                <w:spacing w:val="-3"/>
                <w:sz w:val="22"/>
              </w:rPr>
              <w:t> </w:t>
            </w:r>
            <w:r>
              <w:rPr>
                <w:b/>
                <w:color w:val="FFFFFF"/>
                <w:sz w:val="22"/>
              </w:rPr>
              <w:t>Self</w:t>
            </w:r>
            <w:r>
              <w:rPr>
                <w:b/>
                <w:color w:val="FFFFFF"/>
                <w:spacing w:val="-3"/>
                <w:sz w:val="22"/>
              </w:rPr>
              <w:t> </w:t>
            </w:r>
            <w:r>
              <w:rPr>
                <w:b/>
                <w:color w:val="FFFFFF"/>
                <w:sz w:val="22"/>
              </w:rPr>
              <w:t>Harm</w:t>
            </w:r>
            <w:r>
              <w:rPr>
                <w:b/>
                <w:color w:val="FFFFFF"/>
                <w:spacing w:val="-5"/>
                <w:sz w:val="22"/>
              </w:rPr>
              <w:t> </w:t>
            </w:r>
            <w:r>
              <w:rPr>
                <w:b/>
                <w:color w:val="FFFFFF"/>
                <w:sz w:val="22"/>
              </w:rPr>
              <w:t>ED</w:t>
            </w:r>
            <w:r>
              <w:rPr>
                <w:b/>
                <w:color w:val="FFFFFF"/>
                <w:spacing w:val="-4"/>
                <w:sz w:val="22"/>
              </w:rPr>
              <w:t> </w:t>
            </w:r>
            <w:r>
              <w:rPr>
                <w:b/>
                <w:color w:val="FFFFFF"/>
                <w:spacing w:val="-2"/>
                <w:sz w:val="22"/>
              </w:rPr>
              <w:t>Visits</w:t>
            </w:r>
          </w:p>
        </w:tc>
        <w:tc>
          <w:tcPr>
            <w:tcW w:w="2015" w:type="dxa"/>
            <w:tcBorders>
              <w:right w:val="nil"/>
            </w:tcBorders>
            <w:shd w:val="clear" w:color="auto" w:fill="83C9EB"/>
          </w:tcPr>
          <w:p>
            <w:pPr>
              <w:pStyle w:val="TableParagraph"/>
              <w:spacing w:line="240" w:lineRule="auto" w:before="248"/>
              <w:ind w:left="0"/>
              <w:jc w:val="center"/>
              <w:rPr>
                <w:sz w:val="22"/>
              </w:rPr>
            </w:pPr>
            <w:r>
              <w:rPr>
                <w:spacing w:val="-5"/>
                <w:sz w:val="22"/>
              </w:rPr>
              <w:t>359</w:t>
            </w:r>
          </w:p>
        </w:tc>
        <w:tc>
          <w:tcPr>
            <w:tcW w:w="2061" w:type="dxa"/>
            <w:tcBorders>
              <w:left w:val="nil"/>
            </w:tcBorders>
            <w:shd w:val="clear" w:color="auto" w:fill="83C9EB"/>
          </w:tcPr>
          <w:p>
            <w:pPr>
              <w:pStyle w:val="TableParagraph"/>
              <w:spacing w:line="240" w:lineRule="auto" w:before="248"/>
              <w:ind w:left="1" w:right="5"/>
              <w:jc w:val="center"/>
              <w:rPr>
                <w:sz w:val="22"/>
              </w:rPr>
            </w:pPr>
            <w:r>
              <w:rPr>
                <w:spacing w:val="-5"/>
                <w:sz w:val="22"/>
              </w:rPr>
              <w:t>343</w:t>
            </w:r>
          </w:p>
        </w:tc>
        <w:tc>
          <w:tcPr>
            <w:tcW w:w="2240" w:type="dxa"/>
            <w:tcBorders>
              <w:right w:val="nil"/>
            </w:tcBorders>
            <w:shd w:val="clear" w:color="auto" w:fill="83C9EB"/>
          </w:tcPr>
          <w:p>
            <w:pPr>
              <w:pStyle w:val="TableParagraph"/>
              <w:spacing w:line="240" w:lineRule="auto" w:before="248"/>
              <w:ind w:left="0" w:right="3"/>
              <w:jc w:val="center"/>
              <w:rPr>
                <w:sz w:val="22"/>
              </w:rPr>
            </w:pPr>
            <w:r>
              <w:rPr>
                <w:spacing w:val="-5"/>
                <w:sz w:val="22"/>
              </w:rPr>
              <w:t>+2%</w:t>
            </w:r>
          </w:p>
        </w:tc>
      </w:tr>
      <w:tr>
        <w:trPr>
          <w:trHeight w:val="765" w:hRule="atLeast"/>
        </w:trPr>
        <w:tc>
          <w:tcPr>
            <w:tcW w:w="3091" w:type="dxa"/>
            <w:tcBorders>
              <w:left w:val="nil"/>
            </w:tcBorders>
            <w:shd w:val="clear" w:color="auto" w:fill="145F82"/>
          </w:tcPr>
          <w:p>
            <w:pPr>
              <w:pStyle w:val="TableParagraph"/>
              <w:spacing w:line="267" w:lineRule="exact" w:before="114"/>
              <w:ind w:left="0" w:right="1"/>
              <w:jc w:val="center"/>
              <w:rPr>
                <w:b/>
                <w:sz w:val="22"/>
              </w:rPr>
            </w:pPr>
            <w:r>
              <w:rPr>
                <w:b/>
                <w:color w:val="FFFFFF"/>
                <w:spacing w:val="-2"/>
                <w:sz w:val="22"/>
              </w:rPr>
              <w:t>Preventable</w:t>
            </w:r>
            <w:r>
              <w:rPr>
                <w:b/>
                <w:color w:val="FFFFFF"/>
                <w:spacing w:val="7"/>
                <w:sz w:val="22"/>
              </w:rPr>
              <w:t> </w:t>
            </w:r>
            <w:r>
              <w:rPr>
                <w:b/>
                <w:color w:val="FFFFFF"/>
                <w:spacing w:val="-2"/>
                <w:sz w:val="22"/>
              </w:rPr>
              <w:t>Hospitalizafions</w:t>
            </w:r>
          </w:p>
          <w:p>
            <w:pPr>
              <w:pStyle w:val="TableParagraph"/>
              <w:spacing w:line="267" w:lineRule="exact"/>
              <w:ind w:left="0" w:right="1"/>
              <w:jc w:val="center"/>
              <w:rPr>
                <w:b/>
                <w:sz w:val="22"/>
              </w:rPr>
            </w:pPr>
            <w:r>
              <w:rPr>
                <w:b/>
                <w:color w:val="FFFFFF"/>
                <w:spacing w:val="-2"/>
                <w:sz w:val="22"/>
              </w:rPr>
              <w:t>(Overall)</w:t>
            </w:r>
          </w:p>
        </w:tc>
        <w:tc>
          <w:tcPr>
            <w:tcW w:w="2015" w:type="dxa"/>
            <w:tcBorders>
              <w:right w:val="nil"/>
            </w:tcBorders>
            <w:shd w:val="clear" w:color="auto" w:fill="C1E3F5"/>
          </w:tcPr>
          <w:p>
            <w:pPr>
              <w:pStyle w:val="TableParagraph"/>
              <w:spacing w:line="240" w:lineRule="auto" w:before="246"/>
              <w:ind w:left="0"/>
              <w:jc w:val="center"/>
              <w:rPr>
                <w:sz w:val="22"/>
              </w:rPr>
            </w:pPr>
            <w:r>
              <w:rPr>
                <w:spacing w:val="-5"/>
                <w:sz w:val="22"/>
              </w:rPr>
              <w:t>604</w:t>
            </w:r>
          </w:p>
        </w:tc>
        <w:tc>
          <w:tcPr>
            <w:tcW w:w="2061" w:type="dxa"/>
            <w:tcBorders>
              <w:left w:val="nil"/>
            </w:tcBorders>
            <w:shd w:val="clear" w:color="auto" w:fill="C1E3F5"/>
          </w:tcPr>
          <w:p>
            <w:pPr>
              <w:pStyle w:val="TableParagraph"/>
              <w:spacing w:line="240" w:lineRule="auto" w:before="246"/>
              <w:ind w:left="1" w:right="5"/>
              <w:jc w:val="center"/>
              <w:rPr>
                <w:sz w:val="22"/>
              </w:rPr>
            </w:pPr>
            <w:r>
              <w:rPr>
                <w:spacing w:val="-5"/>
                <w:sz w:val="22"/>
              </w:rPr>
              <w:t>808</w:t>
            </w:r>
          </w:p>
        </w:tc>
        <w:tc>
          <w:tcPr>
            <w:tcW w:w="2240" w:type="dxa"/>
            <w:tcBorders>
              <w:right w:val="nil"/>
            </w:tcBorders>
            <w:shd w:val="clear" w:color="auto" w:fill="C1E3F5"/>
          </w:tcPr>
          <w:p>
            <w:pPr>
              <w:pStyle w:val="TableParagraph"/>
              <w:spacing w:line="240" w:lineRule="auto" w:before="246"/>
              <w:ind w:left="3" w:right="3"/>
              <w:jc w:val="center"/>
              <w:rPr>
                <w:sz w:val="22"/>
              </w:rPr>
            </w:pPr>
            <w:r>
              <w:rPr>
                <w:spacing w:val="-2"/>
                <w:sz w:val="22"/>
              </w:rPr>
              <w:t>-</w:t>
            </w:r>
            <w:r>
              <w:rPr>
                <w:spacing w:val="-5"/>
                <w:sz w:val="22"/>
              </w:rPr>
              <w:t>30%</w:t>
            </w:r>
          </w:p>
        </w:tc>
      </w:tr>
      <w:tr>
        <w:trPr>
          <w:trHeight w:val="765" w:hRule="atLeast"/>
        </w:trPr>
        <w:tc>
          <w:tcPr>
            <w:tcW w:w="3091" w:type="dxa"/>
            <w:tcBorders>
              <w:left w:val="nil"/>
              <w:bottom w:val="nil"/>
            </w:tcBorders>
            <w:shd w:val="clear" w:color="auto" w:fill="145F82"/>
          </w:tcPr>
          <w:p>
            <w:pPr>
              <w:pStyle w:val="TableParagraph"/>
              <w:spacing w:line="240" w:lineRule="auto" w:before="112"/>
              <w:ind w:left="244" w:right="93" w:firstLine="900"/>
              <w:rPr>
                <w:b/>
                <w:sz w:val="22"/>
              </w:rPr>
            </w:pPr>
            <w:r>
              <w:rPr>
                <w:b/>
                <w:color w:val="FFFFFF"/>
                <w:spacing w:val="-2"/>
                <w:sz w:val="22"/>
              </w:rPr>
              <w:t>Diabetes Preventable Hospitalizafions</w:t>
            </w:r>
          </w:p>
        </w:tc>
        <w:tc>
          <w:tcPr>
            <w:tcW w:w="2015" w:type="dxa"/>
            <w:tcBorders>
              <w:bottom w:val="nil"/>
              <w:right w:val="nil"/>
            </w:tcBorders>
            <w:shd w:val="clear" w:color="auto" w:fill="83C9EB"/>
          </w:tcPr>
          <w:p>
            <w:pPr>
              <w:pStyle w:val="TableParagraph"/>
              <w:spacing w:line="240" w:lineRule="auto" w:before="246"/>
              <w:ind w:left="0"/>
              <w:jc w:val="center"/>
              <w:rPr>
                <w:sz w:val="22"/>
              </w:rPr>
            </w:pPr>
            <w:r>
              <w:rPr>
                <w:spacing w:val="-5"/>
                <w:sz w:val="22"/>
              </w:rPr>
              <w:t>75</w:t>
            </w:r>
          </w:p>
        </w:tc>
        <w:tc>
          <w:tcPr>
            <w:tcW w:w="2061" w:type="dxa"/>
            <w:tcBorders>
              <w:left w:val="nil"/>
              <w:bottom w:val="nil"/>
            </w:tcBorders>
            <w:shd w:val="clear" w:color="auto" w:fill="83C9EB"/>
          </w:tcPr>
          <w:p>
            <w:pPr>
              <w:pStyle w:val="TableParagraph"/>
              <w:spacing w:line="240" w:lineRule="auto" w:before="246"/>
              <w:ind w:left="1" w:right="5"/>
              <w:jc w:val="center"/>
              <w:rPr>
                <w:sz w:val="22"/>
              </w:rPr>
            </w:pPr>
            <w:r>
              <w:rPr>
                <w:spacing w:val="-5"/>
                <w:sz w:val="22"/>
              </w:rPr>
              <w:t>181</w:t>
            </w:r>
          </w:p>
        </w:tc>
        <w:tc>
          <w:tcPr>
            <w:tcW w:w="2240" w:type="dxa"/>
            <w:tcBorders>
              <w:bottom w:val="nil"/>
              <w:right w:val="nil"/>
            </w:tcBorders>
            <w:shd w:val="clear" w:color="auto" w:fill="83C9EB"/>
          </w:tcPr>
          <w:p>
            <w:pPr>
              <w:pStyle w:val="TableParagraph"/>
              <w:spacing w:line="240" w:lineRule="auto" w:before="246"/>
              <w:ind w:left="0" w:right="3"/>
              <w:jc w:val="center"/>
              <w:rPr>
                <w:sz w:val="22"/>
              </w:rPr>
            </w:pPr>
            <w:r>
              <w:rPr>
                <w:spacing w:val="-2"/>
                <w:sz w:val="22"/>
              </w:rPr>
              <w:t>-</w:t>
            </w:r>
            <w:r>
              <w:rPr>
                <w:spacing w:val="-5"/>
                <w:sz w:val="22"/>
              </w:rPr>
              <w:t>6%</w:t>
            </w:r>
          </w:p>
        </w:tc>
      </w:tr>
    </w:tbl>
    <w:p>
      <w:pPr>
        <w:spacing w:before="13"/>
        <w:ind w:left="1440" w:right="0" w:firstLine="0"/>
        <w:jc w:val="left"/>
        <w:rPr>
          <w:i/>
          <w:sz w:val="18"/>
        </w:rPr>
      </w:pPr>
      <w:r>
        <w:rPr>
          <w:i/>
          <w:color w:val="0D2841"/>
          <w:sz w:val="18"/>
        </w:rPr>
        <w:t>Source:</w:t>
      </w:r>
      <w:r>
        <w:rPr>
          <w:i/>
          <w:color w:val="0D2841"/>
          <w:spacing w:val="-5"/>
          <w:sz w:val="18"/>
        </w:rPr>
        <w:t> </w:t>
      </w:r>
      <w:r>
        <w:rPr>
          <w:i/>
          <w:color w:val="0D2841"/>
          <w:spacing w:val="-2"/>
          <w:sz w:val="18"/>
        </w:rPr>
        <w:t>SPARCS</w:t>
      </w:r>
    </w:p>
    <w:p>
      <w:pPr>
        <w:pStyle w:val="BodyText"/>
        <w:spacing w:line="259" w:lineRule="auto" w:before="198"/>
        <w:ind w:right="1467"/>
      </w:pPr>
      <w:r>
        <w:rPr/>
        <w:t>2023</w:t>
      </w:r>
      <w:r>
        <w:rPr>
          <w:spacing w:val="-4"/>
        </w:rPr>
        <w:t> </w:t>
      </w:r>
      <w:r>
        <w:rPr/>
        <w:t>data</w:t>
      </w:r>
      <w:r>
        <w:rPr>
          <w:spacing w:val="-5"/>
        </w:rPr>
        <w:t> </w:t>
      </w:r>
      <w:r>
        <w:rPr/>
        <w:t>indicate</w:t>
      </w:r>
      <w:r>
        <w:rPr>
          <w:spacing w:val="-6"/>
        </w:rPr>
        <w:t> </w:t>
      </w:r>
      <w:r>
        <w:rPr/>
        <w:t>mixed</w:t>
      </w:r>
      <w:r>
        <w:rPr>
          <w:spacing w:val="-8"/>
        </w:rPr>
        <w:t> </w:t>
      </w:r>
      <w:r>
        <w:rPr/>
        <w:t>trends</w:t>
      </w:r>
      <w:r>
        <w:rPr>
          <w:spacing w:val="-5"/>
        </w:rPr>
        <w:t> </w:t>
      </w:r>
      <w:r>
        <w:rPr/>
        <w:t>in</w:t>
      </w:r>
      <w:r>
        <w:rPr>
          <w:spacing w:val="-5"/>
        </w:rPr>
        <w:t> </w:t>
      </w:r>
      <w:r>
        <w:rPr/>
        <w:t>healthcare</w:t>
      </w:r>
      <w:r>
        <w:rPr>
          <w:spacing w:val="-4"/>
        </w:rPr>
        <w:t> </w:t>
      </w:r>
      <w:r>
        <w:rPr/>
        <w:t>ufilizafion</w:t>
      </w:r>
      <w:r>
        <w:rPr>
          <w:spacing w:val="-5"/>
        </w:rPr>
        <w:t> </w:t>
      </w:r>
      <w:r>
        <w:rPr/>
        <w:t>in</w:t>
      </w:r>
      <w:r>
        <w:rPr>
          <w:spacing w:val="-6"/>
        </w:rPr>
        <w:t> </w:t>
      </w:r>
      <w:r>
        <w:rPr/>
        <w:t>Yates</w:t>
      </w:r>
      <w:r>
        <w:rPr>
          <w:spacing w:val="-5"/>
        </w:rPr>
        <w:t> </w:t>
      </w:r>
      <w:r>
        <w:rPr/>
        <w:t>County</w:t>
      </w:r>
      <w:r>
        <w:rPr>
          <w:spacing w:val="-6"/>
        </w:rPr>
        <w:t> </w:t>
      </w:r>
      <w:r>
        <w:rPr/>
        <w:t>as</w:t>
      </w:r>
      <w:r>
        <w:rPr>
          <w:spacing w:val="-5"/>
        </w:rPr>
        <w:t> </w:t>
      </w:r>
      <w:r>
        <w:rPr/>
        <w:t>compared</w:t>
      </w:r>
      <w:r>
        <w:rPr>
          <w:spacing w:val="-6"/>
        </w:rPr>
        <w:t> </w:t>
      </w:r>
      <w:r>
        <w:rPr/>
        <w:t>to</w:t>
      </w:r>
      <w:r>
        <w:rPr>
          <w:spacing w:val="-4"/>
        </w:rPr>
        <w:t> </w:t>
      </w:r>
      <w:r>
        <w:rPr/>
        <w:t>2017.</w:t>
      </w:r>
      <w:r>
        <w:rPr>
          <w:spacing w:val="-6"/>
        </w:rPr>
        <w:t> </w:t>
      </w:r>
      <w:r>
        <w:rPr/>
        <w:t>ED</w:t>
      </w:r>
      <w:r>
        <w:rPr>
          <w:spacing w:val="-6"/>
        </w:rPr>
        <w:t> </w:t>
      </w:r>
      <w:r>
        <w:rPr/>
        <w:t>visits increased by 10%, suggesfing a reduced usage of primary care providers and a growing demand for urgent care services. In contrast, ED visits related to substance use disorders decreased by 34%, while visits for intenfional self-harm rose slightly by 2%. Preventable hospitalizafions declined by 30%, including a small 6% decrease in diabetes-related hospitalizafions, which may reﬂect improvements in disease management, though ongoing aftenfion to chronic disease prevenfion remains important.</w:t>
      </w:r>
    </w:p>
    <w:p>
      <w:pPr>
        <w:pStyle w:val="Heading3"/>
        <w:spacing w:before="158"/>
      </w:pPr>
      <w:r>
        <w:rPr/>
        <w:t>Priority:</w:t>
      </w:r>
      <w:r>
        <w:rPr>
          <w:spacing w:val="-5"/>
        </w:rPr>
        <w:t> </w:t>
      </w:r>
      <w:r>
        <w:rPr/>
        <w:t>Access</w:t>
      </w:r>
      <w:r>
        <w:rPr>
          <w:spacing w:val="-5"/>
        </w:rPr>
        <w:t> </w:t>
      </w:r>
      <w:r>
        <w:rPr/>
        <w:t>to</w:t>
      </w:r>
      <w:r>
        <w:rPr>
          <w:spacing w:val="-3"/>
        </w:rPr>
        <w:t> </w:t>
      </w:r>
      <w:r>
        <w:rPr/>
        <w:t>and</w:t>
      </w:r>
      <w:r>
        <w:rPr>
          <w:spacing w:val="-2"/>
        </w:rPr>
        <w:t> </w:t>
      </w:r>
      <w:r>
        <w:rPr/>
        <w:t>Use</w:t>
      </w:r>
      <w:r>
        <w:rPr>
          <w:spacing w:val="-4"/>
        </w:rPr>
        <w:t> </w:t>
      </w:r>
      <w:r>
        <w:rPr/>
        <w:t>of</w:t>
      </w:r>
      <w:r>
        <w:rPr>
          <w:spacing w:val="-1"/>
        </w:rPr>
        <w:t> </w:t>
      </w:r>
      <w:r>
        <w:rPr/>
        <w:t>Prenatal</w:t>
      </w:r>
      <w:r>
        <w:rPr>
          <w:spacing w:val="-4"/>
        </w:rPr>
        <w:t> Care</w:t>
      </w:r>
    </w:p>
    <w:p>
      <w:pPr>
        <w:pStyle w:val="BodyText"/>
        <w:spacing w:line="259" w:lineRule="auto" w:before="182"/>
        <w:ind w:right="1467"/>
      </w:pPr>
      <w:r>
        <w:rPr/>
        <w:t>Receiving early and adequate prenatal care is important for ensuring a healthy pregnancy. Absfinence from smoking, alcohol, and illegal drug use are important indicators of appropriate prenatal care. Since 2018,</w:t>
      </w:r>
      <w:r>
        <w:rPr>
          <w:spacing w:val="-5"/>
        </w:rPr>
        <w:t> </w:t>
      </w:r>
      <w:r>
        <w:rPr/>
        <w:t>Yates</w:t>
      </w:r>
      <w:r>
        <w:rPr>
          <w:spacing w:val="-3"/>
        </w:rPr>
        <w:t> </w:t>
      </w:r>
      <w:r>
        <w:rPr/>
        <w:t>County</w:t>
      </w:r>
      <w:r>
        <w:rPr>
          <w:spacing w:val="-2"/>
        </w:rPr>
        <w:t> </w:t>
      </w:r>
      <w:r>
        <w:rPr/>
        <w:t>has</w:t>
      </w:r>
      <w:r>
        <w:rPr>
          <w:spacing w:val="-5"/>
        </w:rPr>
        <w:t> </w:t>
      </w:r>
      <w:r>
        <w:rPr/>
        <w:t>improved</w:t>
      </w:r>
      <w:r>
        <w:rPr>
          <w:spacing w:val="-6"/>
        </w:rPr>
        <w:t> </w:t>
      </w:r>
      <w:r>
        <w:rPr/>
        <w:t>in</w:t>
      </w:r>
      <w:r>
        <w:rPr>
          <w:spacing w:val="-4"/>
        </w:rPr>
        <w:t> </w:t>
      </w:r>
      <w:r>
        <w:rPr/>
        <w:t>all</w:t>
      </w:r>
      <w:r>
        <w:rPr>
          <w:spacing w:val="-3"/>
        </w:rPr>
        <w:t> </w:t>
      </w:r>
      <w:r>
        <w:rPr/>
        <w:t>three</w:t>
      </w:r>
      <w:r>
        <w:rPr>
          <w:spacing w:val="-2"/>
        </w:rPr>
        <w:t> </w:t>
      </w:r>
      <w:r>
        <w:rPr/>
        <w:t>indicators.</w:t>
      </w:r>
      <w:r>
        <w:rPr>
          <w:spacing w:val="-3"/>
        </w:rPr>
        <w:t> </w:t>
      </w:r>
      <w:r>
        <w:rPr/>
        <w:t>In</w:t>
      </w:r>
      <w:r>
        <w:rPr>
          <w:spacing w:val="-3"/>
        </w:rPr>
        <w:t> </w:t>
      </w:r>
      <w:r>
        <w:rPr/>
        <w:t>2024,</w:t>
      </w:r>
      <w:r>
        <w:rPr>
          <w:spacing w:val="-5"/>
        </w:rPr>
        <w:t> </w:t>
      </w:r>
      <w:r>
        <w:rPr/>
        <w:t>the</w:t>
      </w:r>
      <w:r>
        <w:rPr>
          <w:spacing w:val="-2"/>
        </w:rPr>
        <w:t> </w:t>
      </w:r>
      <w:r>
        <w:rPr/>
        <w:t>percentage</w:t>
      </w:r>
      <w:r>
        <w:rPr>
          <w:spacing w:val="-5"/>
        </w:rPr>
        <w:t> </w:t>
      </w:r>
      <w:r>
        <w:rPr/>
        <w:t>of</w:t>
      </w:r>
      <w:r>
        <w:rPr>
          <w:spacing w:val="-3"/>
        </w:rPr>
        <w:t> </w:t>
      </w:r>
      <w:r>
        <w:rPr/>
        <w:t>birthing</w:t>
      </w:r>
      <w:r>
        <w:rPr>
          <w:spacing w:val="-3"/>
        </w:rPr>
        <w:t> </w:t>
      </w:r>
      <w:r>
        <w:rPr/>
        <w:t>persons</w:t>
      </w:r>
      <w:r>
        <w:rPr>
          <w:spacing w:val="-5"/>
        </w:rPr>
        <w:t> </w:t>
      </w:r>
      <w:r>
        <w:rPr/>
        <w:t>who abstained</w:t>
      </w:r>
      <w:r>
        <w:rPr>
          <w:spacing w:val="-4"/>
        </w:rPr>
        <w:t> </w:t>
      </w:r>
      <w:r>
        <w:rPr/>
        <w:t>from</w:t>
      </w:r>
      <w:r>
        <w:rPr>
          <w:spacing w:val="-4"/>
        </w:rPr>
        <w:t> </w:t>
      </w:r>
      <w:r>
        <w:rPr/>
        <w:t>alcohol</w:t>
      </w:r>
      <w:r>
        <w:rPr>
          <w:spacing w:val="-6"/>
        </w:rPr>
        <w:t> </w:t>
      </w:r>
      <w:r>
        <w:rPr/>
        <w:t>was</w:t>
      </w:r>
      <w:r>
        <w:rPr>
          <w:spacing w:val="-5"/>
        </w:rPr>
        <w:t> </w:t>
      </w:r>
      <w:r>
        <w:rPr/>
        <w:t>100%,</w:t>
      </w:r>
      <w:r>
        <w:rPr>
          <w:spacing w:val="-5"/>
        </w:rPr>
        <w:t> </w:t>
      </w:r>
      <w:r>
        <w:rPr/>
        <w:t>an</w:t>
      </w:r>
      <w:r>
        <w:rPr>
          <w:spacing w:val="-3"/>
        </w:rPr>
        <w:t> </w:t>
      </w:r>
      <w:r>
        <w:rPr/>
        <w:t>increase</w:t>
      </w:r>
      <w:r>
        <w:rPr>
          <w:spacing w:val="-5"/>
        </w:rPr>
        <w:t> </w:t>
      </w:r>
      <w:r>
        <w:rPr/>
        <w:t>of</w:t>
      </w:r>
      <w:r>
        <w:rPr>
          <w:spacing w:val="-6"/>
        </w:rPr>
        <w:t> </w:t>
      </w:r>
      <w:r>
        <w:rPr/>
        <w:t>2%</w:t>
      </w:r>
      <w:hyperlink w:history="true" w:anchor="_bookmark29">
        <w:r>
          <w:rPr/>
          <w:t>.</w:t>
        </w:r>
        <w:r>
          <w:rPr>
            <w:vertAlign w:val="superscript"/>
          </w:rPr>
          <w:t>61</w:t>
        </w:r>
      </w:hyperlink>
      <w:r>
        <w:rPr>
          <w:spacing w:val="40"/>
          <w:vertAlign w:val="baseline"/>
        </w:rPr>
        <w:t> </w:t>
      </w:r>
      <w:r>
        <w:rPr>
          <w:vertAlign w:val="baseline"/>
        </w:rPr>
        <w:t>Absfinence</w:t>
      </w:r>
      <w:r>
        <w:rPr>
          <w:spacing w:val="-2"/>
          <w:vertAlign w:val="baseline"/>
        </w:rPr>
        <w:t> </w:t>
      </w:r>
      <w:r>
        <w:rPr>
          <w:vertAlign w:val="baseline"/>
        </w:rPr>
        <w:t>from</w:t>
      </w:r>
      <w:r>
        <w:rPr>
          <w:spacing w:val="-4"/>
          <w:vertAlign w:val="baseline"/>
        </w:rPr>
        <w:t> </w:t>
      </w:r>
      <w:r>
        <w:rPr>
          <w:vertAlign w:val="baseline"/>
        </w:rPr>
        <w:t>smoking</w:t>
      </w:r>
      <w:r>
        <w:rPr>
          <w:spacing w:val="-6"/>
          <w:vertAlign w:val="baseline"/>
        </w:rPr>
        <w:t> </w:t>
      </w:r>
      <w:r>
        <w:rPr>
          <w:vertAlign w:val="baseline"/>
        </w:rPr>
        <w:t>was</w:t>
      </w:r>
      <w:r>
        <w:rPr>
          <w:spacing w:val="-5"/>
          <w:vertAlign w:val="baseline"/>
        </w:rPr>
        <w:t> </w:t>
      </w:r>
      <w:r>
        <w:rPr>
          <w:vertAlign w:val="baseline"/>
        </w:rPr>
        <w:t>86.1%,</w:t>
      </w:r>
      <w:r>
        <w:rPr>
          <w:spacing w:val="-3"/>
          <w:vertAlign w:val="baseline"/>
        </w:rPr>
        <w:t> </w:t>
      </w:r>
      <w:r>
        <w:rPr>
          <w:vertAlign w:val="baseline"/>
        </w:rPr>
        <w:t>an</w:t>
      </w:r>
      <w:r>
        <w:rPr>
          <w:spacing w:val="-6"/>
          <w:vertAlign w:val="baseline"/>
        </w:rPr>
        <w:t> </w:t>
      </w:r>
      <w:r>
        <w:rPr>
          <w:vertAlign w:val="baseline"/>
        </w:rPr>
        <w:t>increase of 7%, and absfinence from illegal drug use was 97.8%, an increase of 7%</w:t>
      </w:r>
      <w:hyperlink w:history="true" w:anchor="_bookmark30">
        <w:r>
          <w:rPr>
            <w:vertAlign w:val="baseline"/>
          </w:rPr>
          <w:t>.</w:t>
        </w:r>
        <w:r>
          <w:rPr>
            <w:vertAlign w:val="superscript"/>
          </w:rPr>
          <w:t>62</w:t>
        </w:r>
      </w:hyperlink>
    </w:p>
    <w:p>
      <w:pPr>
        <w:pStyle w:val="BodyText"/>
        <w:spacing w:line="259" w:lineRule="auto" w:before="161"/>
        <w:ind w:right="1467"/>
      </w:pPr>
      <w:r>
        <w:rPr/>
        <w:t>Prenatal care may be addifionally measured by low live birth weights (&lt;2,500 grams or about 5 lbs., 8 oz.)</w:t>
      </w:r>
      <w:r>
        <w:rPr>
          <w:spacing w:val="-6"/>
        </w:rPr>
        <w:t> </w:t>
      </w:r>
      <w:r>
        <w:rPr/>
        <w:t>and</w:t>
      </w:r>
      <w:r>
        <w:rPr>
          <w:spacing w:val="-7"/>
        </w:rPr>
        <w:t> </w:t>
      </w:r>
      <w:r>
        <w:rPr/>
        <w:t>premature</w:t>
      </w:r>
      <w:r>
        <w:rPr>
          <w:spacing w:val="-5"/>
        </w:rPr>
        <w:t> </w:t>
      </w:r>
      <w:r>
        <w:rPr/>
        <w:t>births</w:t>
      </w:r>
      <w:r>
        <w:rPr>
          <w:spacing w:val="-8"/>
        </w:rPr>
        <w:t> </w:t>
      </w:r>
      <w:r>
        <w:rPr/>
        <w:t>(live</w:t>
      </w:r>
      <w:r>
        <w:rPr>
          <w:spacing w:val="-5"/>
        </w:rPr>
        <w:t> </w:t>
      </w:r>
      <w:r>
        <w:rPr/>
        <w:t>births</w:t>
      </w:r>
      <w:r>
        <w:rPr>
          <w:spacing w:val="-6"/>
        </w:rPr>
        <w:t> </w:t>
      </w:r>
      <w:r>
        <w:rPr/>
        <w:t>before</w:t>
      </w:r>
      <w:r>
        <w:rPr>
          <w:spacing w:val="-7"/>
        </w:rPr>
        <w:t> </w:t>
      </w:r>
      <w:r>
        <w:rPr/>
        <w:t>37</w:t>
      </w:r>
      <w:r>
        <w:rPr>
          <w:spacing w:val="-7"/>
        </w:rPr>
        <w:t> </w:t>
      </w:r>
      <w:r>
        <w:rPr/>
        <w:t>weeks).</w:t>
      </w:r>
      <w:r>
        <w:rPr>
          <w:spacing w:val="-6"/>
        </w:rPr>
        <w:t> </w:t>
      </w:r>
      <w:r>
        <w:rPr/>
        <w:t>Vital</w:t>
      </w:r>
      <w:r>
        <w:rPr>
          <w:spacing w:val="-6"/>
        </w:rPr>
        <w:t> </w:t>
      </w:r>
      <w:r>
        <w:rPr/>
        <w:t>Records</w:t>
      </w:r>
      <w:r>
        <w:rPr>
          <w:spacing w:val="-6"/>
        </w:rPr>
        <w:t> </w:t>
      </w:r>
      <w:r>
        <w:rPr/>
        <w:t>data</w:t>
      </w:r>
      <w:r>
        <w:rPr>
          <w:spacing w:val="-6"/>
        </w:rPr>
        <w:t> </w:t>
      </w:r>
      <w:r>
        <w:rPr/>
        <w:t>indicate</w:t>
      </w:r>
      <w:r>
        <w:rPr>
          <w:spacing w:val="-5"/>
        </w:rPr>
        <w:t> </w:t>
      </w:r>
      <w:r>
        <w:rPr/>
        <w:t>that</w:t>
      </w:r>
      <w:r>
        <w:rPr>
          <w:spacing w:val="-8"/>
        </w:rPr>
        <w:t> </w:t>
      </w:r>
      <w:r>
        <w:rPr/>
        <w:t>12.2%</w:t>
      </w:r>
      <w:r>
        <w:rPr>
          <w:spacing w:val="-8"/>
        </w:rPr>
        <w:t> </w:t>
      </w:r>
      <w:r>
        <w:rPr/>
        <w:t>of</w:t>
      </w:r>
      <w:r>
        <w:rPr>
          <w:spacing w:val="-6"/>
        </w:rPr>
        <w:t> </w:t>
      </w:r>
      <w:r>
        <w:rPr/>
        <w:t>births (2022 data) were preterm, an increase of 36% from 2013. Live births with low birth weights were 4% (2023 data), a decrease of 20% from 2018 and below the NYS average of 8%.</w:t>
      </w:r>
    </w:p>
    <w:p>
      <w:pPr>
        <w:pStyle w:val="BodyText"/>
        <w:spacing w:line="259" w:lineRule="auto" w:before="159"/>
        <w:ind w:right="1575"/>
        <w:jc w:val="both"/>
      </w:pPr>
      <w:r>
        <w:rPr/>
        <w:t>Breasffeeding infants ensures opfimal nutrifion and provides health beneﬁts to both the breasffeeding parent and the child. The percentage of infants fed breast milk only or both breast milk and formula at the</w:t>
      </w:r>
      <w:r>
        <w:rPr>
          <w:spacing w:val="-3"/>
        </w:rPr>
        <w:t> </w:t>
      </w:r>
      <w:r>
        <w:rPr/>
        <w:t>fime</w:t>
      </w:r>
      <w:r>
        <w:rPr>
          <w:spacing w:val="-5"/>
        </w:rPr>
        <w:t> </w:t>
      </w:r>
      <w:r>
        <w:rPr/>
        <w:t>of</w:t>
      </w:r>
      <w:r>
        <w:rPr>
          <w:spacing w:val="-3"/>
        </w:rPr>
        <w:t> </w:t>
      </w:r>
      <w:r>
        <w:rPr/>
        <w:t>hospital</w:t>
      </w:r>
      <w:r>
        <w:rPr>
          <w:spacing w:val="-4"/>
        </w:rPr>
        <w:t> </w:t>
      </w:r>
      <w:r>
        <w:rPr/>
        <w:t>discharge</w:t>
      </w:r>
      <w:r>
        <w:rPr>
          <w:spacing w:val="-2"/>
        </w:rPr>
        <w:t> </w:t>
      </w:r>
      <w:r>
        <w:rPr/>
        <w:t>(2024</w:t>
      </w:r>
      <w:r>
        <w:rPr>
          <w:spacing w:val="-3"/>
        </w:rPr>
        <w:t> </w:t>
      </w:r>
      <w:r>
        <w:rPr/>
        <w:t>data)</w:t>
      </w:r>
      <w:r>
        <w:rPr>
          <w:spacing w:val="-5"/>
        </w:rPr>
        <w:t> </w:t>
      </w:r>
      <w:r>
        <w:rPr/>
        <w:t>was</w:t>
      </w:r>
      <w:r>
        <w:rPr>
          <w:spacing w:val="-6"/>
        </w:rPr>
        <w:t> </w:t>
      </w:r>
      <w:r>
        <w:rPr/>
        <w:t>91.9%,</w:t>
      </w:r>
      <w:r>
        <w:rPr>
          <w:spacing w:val="-5"/>
        </w:rPr>
        <w:t> </w:t>
      </w:r>
      <w:r>
        <w:rPr/>
        <w:t>an</w:t>
      </w:r>
      <w:r>
        <w:rPr>
          <w:spacing w:val="-3"/>
        </w:rPr>
        <w:t> </w:t>
      </w:r>
      <w:r>
        <w:rPr/>
        <w:t>increase</w:t>
      </w:r>
      <w:r>
        <w:rPr>
          <w:spacing w:val="-6"/>
        </w:rPr>
        <w:t> </w:t>
      </w:r>
      <w:r>
        <w:rPr/>
        <w:t>of</w:t>
      </w:r>
      <w:r>
        <w:rPr>
          <w:spacing w:val="-5"/>
        </w:rPr>
        <w:t> </w:t>
      </w:r>
      <w:r>
        <w:rPr/>
        <w:t>11.4%</w:t>
      </w:r>
      <w:r>
        <w:rPr>
          <w:spacing w:val="-3"/>
        </w:rPr>
        <w:t> </w:t>
      </w:r>
      <w:r>
        <w:rPr/>
        <w:t>from</w:t>
      </w:r>
      <w:r>
        <w:rPr>
          <w:spacing w:val="-4"/>
        </w:rPr>
        <w:t> </w:t>
      </w:r>
      <w:r>
        <w:rPr/>
        <w:t>2019.</w:t>
      </w:r>
      <w:r>
        <w:rPr>
          <w:spacing w:val="-7"/>
        </w:rPr>
        <w:t> </w:t>
      </w:r>
      <w:r>
        <w:rPr/>
        <w:t>Those</w:t>
      </w:r>
      <w:r>
        <w:rPr>
          <w:spacing w:val="-2"/>
        </w:rPr>
        <w:t> </w:t>
      </w:r>
      <w:r>
        <w:rPr/>
        <w:t>who</w:t>
      </w:r>
      <w:r>
        <w:rPr>
          <w:spacing w:val="-3"/>
        </w:rPr>
        <w:t> </w:t>
      </w:r>
      <w:r>
        <w:rPr>
          <w:spacing w:val="-4"/>
        </w:rPr>
        <w:t>were</w:t>
      </w:r>
    </w:p>
    <w:p>
      <w:pPr>
        <w:pStyle w:val="BodyText"/>
        <w:spacing w:before="87"/>
        <w:ind w:left="0"/>
        <w:rPr>
          <w:sz w:val="20"/>
        </w:rPr>
      </w:pPr>
      <w:r>
        <w:rPr>
          <w:sz w:val="20"/>
        </w:rPr>
        <mc:AlternateContent>
          <mc:Choice Requires="wps">
            <w:drawing>
              <wp:anchor distT="0" distB="0" distL="0" distR="0" allowOverlap="1" layoutInCell="1" locked="0" behindDoc="1" simplePos="0" relativeHeight="487606272">
                <wp:simplePos x="0" y="0"/>
                <wp:positionH relativeFrom="page">
                  <wp:posOffset>914400</wp:posOffset>
                </wp:positionH>
                <wp:positionV relativeFrom="paragraph">
                  <wp:posOffset>225679</wp:posOffset>
                </wp:positionV>
                <wp:extent cx="1828800" cy="9525"/>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7.770067pt;width:144pt;height:.71pt;mso-position-horizontal-relative:page;mso-position-vertical-relative:paragraph;z-index:-15710208;mso-wrap-distance-left:0;mso-wrap-distance-right:0" id="docshape72" filled="true" fillcolor="#000000" stroked="false">
                <v:fill type="solid"/>
                <w10:wrap type="topAndBottom"/>
              </v:rect>
            </w:pict>
          </mc:Fallback>
        </mc:AlternateContent>
      </w:r>
    </w:p>
    <w:p>
      <w:pPr>
        <w:spacing w:line="243" w:lineRule="exact" w:before="102"/>
        <w:ind w:left="1440" w:right="0" w:firstLine="0"/>
        <w:jc w:val="left"/>
        <w:rPr>
          <w:sz w:val="20"/>
        </w:rPr>
      </w:pPr>
      <w:r>
        <w:rPr>
          <w:sz w:val="20"/>
          <w:vertAlign w:val="superscript"/>
        </w:rPr>
        <w:t>61</w:t>
      </w:r>
      <w:r>
        <w:rPr>
          <w:spacing w:val="-7"/>
          <w:sz w:val="20"/>
          <w:vertAlign w:val="baseline"/>
        </w:rPr>
        <w:t> </w:t>
      </w:r>
      <w:bookmarkStart w:name="_bookmark29" w:id="30"/>
      <w:bookmarkEnd w:id="30"/>
      <w:r>
        <w:rPr>
          <w:sz w:val="20"/>
          <w:vertAlign w:val="baseline"/>
        </w:rPr>
        <w:t>S</w:t>
      </w:r>
      <w:r>
        <w:rPr>
          <w:sz w:val="20"/>
          <w:vertAlign w:val="baseline"/>
        </w:rPr>
        <w:t>ource:</w:t>
      </w:r>
      <w:r>
        <w:rPr>
          <w:spacing w:val="-5"/>
          <w:sz w:val="20"/>
          <w:vertAlign w:val="baseline"/>
        </w:rPr>
        <w:t> </w:t>
      </w:r>
      <w:r>
        <w:rPr>
          <w:sz w:val="20"/>
          <w:vertAlign w:val="baseline"/>
        </w:rPr>
        <w:t>Nafional</w:t>
      </w:r>
      <w:r>
        <w:rPr>
          <w:spacing w:val="-6"/>
          <w:sz w:val="20"/>
          <w:vertAlign w:val="baseline"/>
        </w:rPr>
        <w:t> </w:t>
      </w:r>
      <w:r>
        <w:rPr>
          <w:sz w:val="20"/>
          <w:vertAlign w:val="baseline"/>
        </w:rPr>
        <w:t>Survey</w:t>
      </w:r>
      <w:r>
        <w:rPr>
          <w:spacing w:val="-4"/>
          <w:sz w:val="20"/>
          <w:vertAlign w:val="baseline"/>
        </w:rPr>
        <w:t> </w:t>
      </w:r>
      <w:r>
        <w:rPr>
          <w:sz w:val="20"/>
          <w:vertAlign w:val="baseline"/>
        </w:rPr>
        <w:t>on</w:t>
      </w:r>
      <w:r>
        <w:rPr>
          <w:spacing w:val="-5"/>
          <w:sz w:val="20"/>
          <w:vertAlign w:val="baseline"/>
        </w:rPr>
        <w:t> </w:t>
      </w:r>
      <w:r>
        <w:rPr>
          <w:sz w:val="20"/>
          <w:vertAlign w:val="baseline"/>
        </w:rPr>
        <w:t>Drug</w:t>
      </w:r>
      <w:r>
        <w:rPr>
          <w:spacing w:val="-5"/>
          <w:sz w:val="20"/>
          <w:vertAlign w:val="baseline"/>
        </w:rPr>
        <w:t> </w:t>
      </w:r>
      <w:r>
        <w:rPr>
          <w:sz w:val="20"/>
          <w:vertAlign w:val="baseline"/>
        </w:rPr>
        <w:t>Use</w:t>
      </w:r>
      <w:r>
        <w:rPr>
          <w:spacing w:val="-7"/>
          <w:sz w:val="20"/>
          <w:vertAlign w:val="baseline"/>
        </w:rPr>
        <w:t> </w:t>
      </w:r>
      <w:r>
        <w:rPr>
          <w:sz w:val="20"/>
          <w:vertAlign w:val="baseline"/>
        </w:rPr>
        <w:t>and</w:t>
      </w:r>
      <w:r>
        <w:rPr>
          <w:spacing w:val="-4"/>
          <w:sz w:val="20"/>
          <w:vertAlign w:val="baseline"/>
        </w:rPr>
        <w:t> </w:t>
      </w:r>
      <w:r>
        <w:rPr>
          <w:sz w:val="20"/>
          <w:vertAlign w:val="baseline"/>
        </w:rPr>
        <w:t>Health,</w:t>
      </w:r>
      <w:r>
        <w:rPr>
          <w:spacing w:val="-5"/>
          <w:sz w:val="20"/>
          <w:vertAlign w:val="baseline"/>
        </w:rPr>
        <w:t> </w:t>
      </w:r>
      <w:r>
        <w:rPr>
          <w:spacing w:val="-4"/>
          <w:sz w:val="20"/>
          <w:vertAlign w:val="baseline"/>
        </w:rPr>
        <w:t>2024</w:t>
      </w:r>
    </w:p>
    <w:p>
      <w:pPr>
        <w:spacing w:before="0"/>
        <w:ind w:left="1440" w:right="1588" w:firstLine="0"/>
        <w:jc w:val="left"/>
        <w:rPr>
          <w:i/>
          <w:sz w:val="20"/>
        </w:rPr>
      </w:pPr>
      <w:r>
        <w:rPr>
          <w:sz w:val="20"/>
          <w:vertAlign w:val="superscript"/>
        </w:rPr>
        <w:t>62</w:t>
      </w:r>
      <w:r>
        <w:rPr>
          <w:spacing w:val="-5"/>
          <w:sz w:val="20"/>
          <w:vertAlign w:val="baseline"/>
        </w:rPr>
        <w:t> </w:t>
      </w:r>
      <w:bookmarkStart w:name="_bookmark30" w:id="31"/>
      <w:bookmarkEnd w:id="31"/>
      <w:r>
        <w:rPr>
          <w:sz w:val="20"/>
          <w:vertAlign w:val="baseline"/>
        </w:rPr>
        <w:t>S</w:t>
      </w:r>
      <w:r>
        <w:rPr>
          <w:sz w:val="20"/>
          <w:vertAlign w:val="baseline"/>
        </w:rPr>
        <w:t>ource:</w:t>
      </w:r>
      <w:r>
        <w:rPr>
          <w:spacing w:val="-4"/>
          <w:sz w:val="20"/>
          <w:vertAlign w:val="baseline"/>
        </w:rPr>
        <w:t> </w:t>
      </w:r>
      <w:r>
        <w:rPr>
          <w:sz w:val="20"/>
          <w:vertAlign w:val="baseline"/>
        </w:rPr>
        <w:t>U.S.</w:t>
      </w:r>
      <w:r>
        <w:rPr>
          <w:spacing w:val="-4"/>
          <w:sz w:val="20"/>
          <w:vertAlign w:val="baseline"/>
        </w:rPr>
        <w:t> </w:t>
      </w:r>
      <w:r>
        <w:rPr>
          <w:sz w:val="20"/>
          <w:vertAlign w:val="baseline"/>
        </w:rPr>
        <w:t>Department</w:t>
      </w:r>
      <w:r>
        <w:rPr>
          <w:spacing w:val="-4"/>
          <w:sz w:val="20"/>
          <w:vertAlign w:val="baseline"/>
        </w:rPr>
        <w:t> </w:t>
      </w:r>
      <w:r>
        <w:rPr>
          <w:sz w:val="20"/>
          <w:vertAlign w:val="baseline"/>
        </w:rPr>
        <w:t>of</w:t>
      </w:r>
      <w:r>
        <w:rPr>
          <w:spacing w:val="-5"/>
          <w:sz w:val="20"/>
          <w:vertAlign w:val="baseline"/>
        </w:rPr>
        <w:t> </w:t>
      </w:r>
      <w:r>
        <w:rPr>
          <w:sz w:val="20"/>
          <w:vertAlign w:val="baseline"/>
        </w:rPr>
        <w:t>Health</w:t>
      </w:r>
      <w:r>
        <w:rPr>
          <w:spacing w:val="-3"/>
          <w:sz w:val="20"/>
          <w:vertAlign w:val="baseline"/>
        </w:rPr>
        <w:t> </w:t>
      </w:r>
      <w:r>
        <w:rPr>
          <w:sz w:val="20"/>
          <w:vertAlign w:val="baseline"/>
        </w:rPr>
        <w:t>and</w:t>
      </w:r>
      <w:r>
        <w:rPr>
          <w:spacing w:val="-3"/>
          <w:sz w:val="20"/>
          <w:vertAlign w:val="baseline"/>
        </w:rPr>
        <w:t> </w:t>
      </w:r>
      <w:r>
        <w:rPr>
          <w:sz w:val="20"/>
          <w:vertAlign w:val="baseline"/>
        </w:rPr>
        <w:t>Human</w:t>
      </w:r>
      <w:r>
        <w:rPr>
          <w:spacing w:val="-3"/>
          <w:sz w:val="20"/>
          <w:vertAlign w:val="baseline"/>
        </w:rPr>
        <w:t> </w:t>
      </w:r>
      <w:r>
        <w:rPr>
          <w:sz w:val="20"/>
          <w:vertAlign w:val="baseline"/>
        </w:rPr>
        <w:t>Services,</w:t>
      </w:r>
      <w:r>
        <w:rPr>
          <w:spacing w:val="-4"/>
          <w:sz w:val="20"/>
          <w:vertAlign w:val="baseline"/>
        </w:rPr>
        <w:t> </w:t>
      </w:r>
      <w:r>
        <w:rPr>
          <w:sz w:val="20"/>
          <w:vertAlign w:val="baseline"/>
        </w:rPr>
        <w:t>Healthy</w:t>
      </w:r>
      <w:r>
        <w:rPr>
          <w:spacing w:val="-3"/>
          <w:sz w:val="20"/>
          <w:vertAlign w:val="baseline"/>
        </w:rPr>
        <w:t> </w:t>
      </w:r>
      <w:r>
        <w:rPr>
          <w:sz w:val="20"/>
          <w:vertAlign w:val="baseline"/>
        </w:rPr>
        <w:t>People</w:t>
      </w:r>
      <w:r>
        <w:rPr>
          <w:spacing w:val="-5"/>
          <w:sz w:val="20"/>
          <w:vertAlign w:val="baseline"/>
        </w:rPr>
        <w:t> </w:t>
      </w:r>
      <w:r>
        <w:rPr>
          <w:sz w:val="20"/>
          <w:vertAlign w:val="baseline"/>
        </w:rPr>
        <w:t>2020,</w:t>
      </w:r>
      <w:r>
        <w:rPr>
          <w:spacing w:val="-4"/>
          <w:sz w:val="20"/>
          <w:vertAlign w:val="baseline"/>
        </w:rPr>
        <w:t> </w:t>
      </w:r>
      <w:r>
        <w:rPr>
          <w:i/>
          <w:sz w:val="20"/>
          <w:vertAlign w:val="baseline"/>
        </w:rPr>
        <w:t>Nafional</w:t>
      </w:r>
      <w:r>
        <w:rPr>
          <w:i/>
          <w:spacing w:val="-4"/>
          <w:sz w:val="20"/>
          <w:vertAlign w:val="baseline"/>
        </w:rPr>
        <w:t> </w:t>
      </w:r>
      <w:r>
        <w:rPr>
          <w:i/>
          <w:sz w:val="20"/>
          <w:vertAlign w:val="baseline"/>
        </w:rPr>
        <w:t>Center</w:t>
      </w:r>
      <w:r>
        <w:rPr>
          <w:i/>
          <w:spacing w:val="-5"/>
          <w:sz w:val="20"/>
          <w:vertAlign w:val="baseline"/>
        </w:rPr>
        <w:t> </w:t>
      </w:r>
      <w:r>
        <w:rPr>
          <w:i/>
          <w:sz w:val="20"/>
          <w:vertAlign w:val="baseline"/>
        </w:rPr>
        <w:t>for</w:t>
      </w:r>
      <w:r>
        <w:rPr>
          <w:i/>
          <w:spacing w:val="-5"/>
          <w:sz w:val="20"/>
          <w:vertAlign w:val="baseline"/>
        </w:rPr>
        <w:t> </w:t>
      </w:r>
      <w:r>
        <w:rPr>
          <w:i/>
          <w:sz w:val="20"/>
          <w:vertAlign w:val="baseline"/>
        </w:rPr>
        <w:t>Health</w:t>
      </w:r>
      <w:r>
        <w:rPr>
          <w:i/>
          <w:sz w:val="20"/>
          <w:vertAlign w:val="baseline"/>
        </w:rPr>
        <w:t> </w:t>
      </w:r>
      <w:r>
        <w:rPr>
          <w:i/>
          <w:spacing w:val="-2"/>
          <w:sz w:val="20"/>
          <w:vertAlign w:val="baseline"/>
        </w:rPr>
        <w:t>Stafisfics</w:t>
      </w:r>
    </w:p>
    <w:p>
      <w:pPr>
        <w:spacing w:after="0"/>
        <w:jc w:val="left"/>
        <w:rPr>
          <w:i/>
          <w:sz w:val="20"/>
        </w:rPr>
        <w:sectPr>
          <w:pgSz w:w="12240" w:h="15840"/>
          <w:pgMar w:header="161" w:footer="1223" w:top="1360" w:bottom="1420" w:left="0" w:right="0"/>
        </w:sectPr>
      </w:pPr>
    </w:p>
    <w:p>
      <w:pPr>
        <w:pStyle w:val="BodyText"/>
        <w:spacing w:line="259" w:lineRule="auto" w:before="64"/>
        <w:ind w:right="1467"/>
      </w:pPr>
      <w:r>
        <w:rPr/>
        <w:t>fed</w:t>
      </w:r>
      <w:r>
        <w:rPr>
          <w:spacing w:val="-7"/>
        </w:rPr>
        <w:t> </w:t>
      </w:r>
      <w:r>
        <w:rPr/>
        <w:t>exclusively</w:t>
      </w:r>
      <w:r>
        <w:rPr>
          <w:spacing w:val="-5"/>
        </w:rPr>
        <w:t> </w:t>
      </w:r>
      <w:r>
        <w:rPr/>
        <w:t>breast</w:t>
      </w:r>
      <w:r>
        <w:rPr>
          <w:spacing w:val="-6"/>
        </w:rPr>
        <w:t> </w:t>
      </w:r>
      <w:r>
        <w:rPr/>
        <w:t>milk</w:t>
      </w:r>
      <w:r>
        <w:rPr>
          <w:spacing w:val="-3"/>
        </w:rPr>
        <w:t> </w:t>
      </w:r>
      <w:r>
        <w:rPr/>
        <w:t>in</w:t>
      </w:r>
      <w:r>
        <w:rPr>
          <w:spacing w:val="-4"/>
        </w:rPr>
        <w:t> </w:t>
      </w:r>
      <w:r>
        <w:rPr/>
        <w:t>the</w:t>
      </w:r>
      <w:r>
        <w:rPr>
          <w:spacing w:val="-3"/>
        </w:rPr>
        <w:t> </w:t>
      </w:r>
      <w:r>
        <w:rPr/>
        <w:t>hospital</w:t>
      </w:r>
      <w:r>
        <w:rPr>
          <w:spacing w:val="-4"/>
        </w:rPr>
        <w:t> </w:t>
      </w:r>
      <w:r>
        <w:rPr/>
        <w:t>were</w:t>
      </w:r>
      <w:r>
        <w:rPr>
          <w:spacing w:val="-6"/>
        </w:rPr>
        <w:t> </w:t>
      </w:r>
      <w:r>
        <w:rPr/>
        <w:t>77.4%,</w:t>
      </w:r>
      <w:r>
        <w:rPr>
          <w:spacing w:val="-6"/>
        </w:rPr>
        <w:t> </w:t>
      </w:r>
      <w:r>
        <w:rPr/>
        <w:t>a</w:t>
      </w:r>
      <w:r>
        <w:rPr>
          <w:spacing w:val="-4"/>
        </w:rPr>
        <w:t> </w:t>
      </w:r>
      <w:r>
        <w:rPr/>
        <w:t>decrease</w:t>
      </w:r>
      <w:r>
        <w:rPr>
          <w:spacing w:val="-5"/>
        </w:rPr>
        <w:t> </w:t>
      </w:r>
      <w:r>
        <w:rPr/>
        <w:t>of</w:t>
      </w:r>
      <w:r>
        <w:rPr>
          <w:spacing w:val="-6"/>
        </w:rPr>
        <w:t> </w:t>
      </w:r>
      <w:r>
        <w:rPr/>
        <w:t>1%</w:t>
      </w:r>
      <w:r>
        <w:rPr>
          <w:spacing w:val="-6"/>
        </w:rPr>
        <w:t> </w:t>
      </w:r>
      <w:r>
        <w:rPr/>
        <w:t>from</w:t>
      </w:r>
      <w:r>
        <w:rPr>
          <w:spacing w:val="-3"/>
        </w:rPr>
        <w:t> </w:t>
      </w:r>
      <w:r>
        <w:rPr/>
        <w:t>2019,</w:t>
      </w:r>
      <w:r>
        <w:rPr>
          <w:spacing w:val="-3"/>
        </w:rPr>
        <w:t> </w:t>
      </w:r>
      <w:r>
        <w:rPr/>
        <w:t>though</w:t>
      </w:r>
      <w:r>
        <w:rPr>
          <w:spacing w:val="-5"/>
        </w:rPr>
        <w:t> </w:t>
      </w:r>
      <w:r>
        <w:rPr/>
        <w:t>greater</w:t>
      </w:r>
      <w:r>
        <w:rPr>
          <w:spacing w:val="-4"/>
        </w:rPr>
        <w:t> </w:t>
      </w:r>
      <w:r>
        <w:rPr/>
        <w:t>than the NYS average of 46.7%</w:t>
      </w:r>
      <w:hyperlink w:history="true" w:anchor="_bookmark31">
        <w:r>
          <w:rPr/>
          <w:t>.</w:t>
        </w:r>
        <w:r>
          <w:rPr>
            <w:vertAlign w:val="superscript"/>
          </w:rPr>
          <w:t>63</w:t>
        </w:r>
      </w:hyperlink>
      <w:r>
        <w:rPr>
          <w:spacing w:val="-16"/>
          <w:vertAlign w:val="baseline"/>
        </w:rPr>
        <w:t> </w:t>
      </w:r>
      <w:r>
        <w:rPr>
          <w:vertAlign w:val="baseline"/>
        </w:rPr>
        <w:t>This indicator has shown an upward trend, increasing since 2020.</w:t>
      </w:r>
    </w:p>
    <w:p>
      <w:pPr>
        <w:pStyle w:val="Heading3"/>
        <w:spacing w:before="159"/>
      </w:pPr>
      <w:r>
        <w:rPr/>
        <w:t>Priority:</w:t>
      </w:r>
      <w:r>
        <w:rPr>
          <w:spacing w:val="-7"/>
        </w:rPr>
        <w:t> </w:t>
      </w:r>
      <w:r>
        <w:rPr/>
        <w:t>Prevenfion</w:t>
      </w:r>
      <w:r>
        <w:rPr>
          <w:spacing w:val="-4"/>
        </w:rPr>
        <w:t> </w:t>
      </w:r>
      <w:r>
        <w:rPr/>
        <w:t>of</w:t>
      </w:r>
      <w:r>
        <w:rPr>
          <w:spacing w:val="-4"/>
        </w:rPr>
        <w:t> </w:t>
      </w:r>
      <w:r>
        <w:rPr/>
        <w:t>Infant</w:t>
      </w:r>
      <w:r>
        <w:rPr>
          <w:spacing w:val="-4"/>
        </w:rPr>
        <w:t> </w:t>
      </w:r>
      <w:r>
        <w:rPr/>
        <w:t>and</w:t>
      </w:r>
      <w:r>
        <w:rPr>
          <w:spacing w:val="-5"/>
        </w:rPr>
        <w:t> </w:t>
      </w:r>
      <w:r>
        <w:rPr/>
        <w:t>Maternal</w:t>
      </w:r>
      <w:r>
        <w:rPr>
          <w:spacing w:val="-6"/>
        </w:rPr>
        <w:t> </w:t>
      </w:r>
      <w:r>
        <w:rPr>
          <w:spacing w:val="-2"/>
        </w:rPr>
        <w:t>Mortality</w:t>
      </w:r>
    </w:p>
    <w:p>
      <w:pPr>
        <w:pStyle w:val="BodyText"/>
        <w:spacing w:line="259" w:lineRule="auto" w:before="185"/>
        <w:ind w:right="1467"/>
      </w:pPr>
      <w:r>
        <w:rPr/>
        <w:t>Prematurity</w:t>
      </w:r>
      <w:r>
        <w:rPr>
          <w:spacing w:val="-5"/>
        </w:rPr>
        <w:t> </w:t>
      </w:r>
      <w:r>
        <w:rPr/>
        <w:t>and</w:t>
      </w:r>
      <w:r>
        <w:rPr>
          <w:spacing w:val="-6"/>
        </w:rPr>
        <w:t> </w:t>
      </w:r>
      <w:r>
        <w:rPr/>
        <w:t>its</w:t>
      </w:r>
      <w:r>
        <w:rPr>
          <w:spacing w:val="-6"/>
        </w:rPr>
        <w:t> </w:t>
      </w:r>
      <w:r>
        <w:rPr/>
        <w:t>related</w:t>
      </w:r>
      <w:r>
        <w:rPr>
          <w:spacing w:val="-8"/>
        </w:rPr>
        <w:t> </w:t>
      </w:r>
      <w:r>
        <w:rPr/>
        <w:t>condifions</w:t>
      </w:r>
      <w:r>
        <w:rPr>
          <w:spacing w:val="-6"/>
        </w:rPr>
        <w:t> </w:t>
      </w:r>
      <w:r>
        <w:rPr/>
        <w:t>are</w:t>
      </w:r>
      <w:r>
        <w:rPr>
          <w:spacing w:val="-5"/>
        </w:rPr>
        <w:t> </w:t>
      </w:r>
      <w:r>
        <w:rPr/>
        <w:t>the</w:t>
      </w:r>
      <w:r>
        <w:rPr>
          <w:spacing w:val="-5"/>
        </w:rPr>
        <w:t> </w:t>
      </w:r>
      <w:r>
        <w:rPr/>
        <w:t>leading</w:t>
      </w:r>
      <w:r>
        <w:rPr>
          <w:spacing w:val="-8"/>
        </w:rPr>
        <w:t> </w:t>
      </w:r>
      <w:r>
        <w:rPr/>
        <w:t>causes</w:t>
      </w:r>
      <w:r>
        <w:rPr>
          <w:spacing w:val="-7"/>
        </w:rPr>
        <w:t> </w:t>
      </w:r>
      <w:r>
        <w:rPr/>
        <w:t>of</w:t>
      </w:r>
      <w:r>
        <w:rPr>
          <w:spacing w:val="-6"/>
        </w:rPr>
        <w:t> </w:t>
      </w:r>
      <w:r>
        <w:rPr/>
        <w:t>infant</w:t>
      </w:r>
      <w:r>
        <w:rPr>
          <w:spacing w:val="-5"/>
        </w:rPr>
        <w:t> </w:t>
      </w:r>
      <w:r>
        <w:rPr/>
        <w:t>mortality.</w:t>
      </w:r>
      <w:r>
        <w:rPr>
          <w:spacing w:val="-6"/>
        </w:rPr>
        <w:t> </w:t>
      </w:r>
      <w:r>
        <w:rPr/>
        <w:t>In</w:t>
      </w:r>
      <w:r>
        <w:rPr>
          <w:spacing w:val="-6"/>
        </w:rPr>
        <w:t> </w:t>
      </w:r>
      <w:r>
        <w:rPr/>
        <w:t>2024,</w:t>
      </w:r>
      <w:r>
        <w:rPr>
          <w:spacing w:val="-7"/>
        </w:rPr>
        <w:t> </w:t>
      </w:r>
      <w:r>
        <w:rPr/>
        <w:t>the</w:t>
      </w:r>
      <w:r>
        <w:rPr>
          <w:spacing w:val="-5"/>
        </w:rPr>
        <w:t> </w:t>
      </w:r>
      <w:r>
        <w:rPr/>
        <w:t>percentage of preterm births in Yates County was 12.2%, exceeding the NYS target of 9.4% or below. Reducing premature birth</w:t>
      </w:r>
      <w:r>
        <w:rPr>
          <w:spacing w:val="-1"/>
        </w:rPr>
        <w:t> </w:t>
      </w:r>
      <w:r>
        <w:rPr/>
        <w:t>rates</w:t>
      </w:r>
      <w:r>
        <w:rPr>
          <w:spacing w:val="-2"/>
        </w:rPr>
        <w:t> </w:t>
      </w:r>
      <w:r>
        <w:rPr/>
        <w:t>may</w:t>
      </w:r>
      <w:r>
        <w:rPr>
          <w:spacing w:val="-3"/>
        </w:rPr>
        <w:t> </w:t>
      </w:r>
      <w:r>
        <w:rPr/>
        <w:t>directly</w:t>
      </w:r>
      <w:r>
        <w:rPr>
          <w:spacing w:val="-1"/>
        </w:rPr>
        <w:t> </w:t>
      </w:r>
      <w:r>
        <w:rPr/>
        <w:t>aﬀect infant</w:t>
      </w:r>
      <w:r>
        <w:rPr>
          <w:spacing w:val="-2"/>
        </w:rPr>
        <w:t> </w:t>
      </w:r>
      <w:r>
        <w:rPr/>
        <w:t>mortality rates. Data for this</w:t>
      </w:r>
      <w:r>
        <w:rPr>
          <w:spacing w:val="-2"/>
        </w:rPr>
        <w:t> </w:t>
      </w:r>
      <w:r>
        <w:rPr/>
        <w:t>measure in Yates County</w:t>
      </w:r>
      <w:r>
        <w:rPr>
          <w:spacing w:val="-1"/>
        </w:rPr>
        <w:t> </w:t>
      </w:r>
      <w:r>
        <w:rPr/>
        <w:t>is unavailable, likely due to the small number of infant deaths in the county</w:t>
      </w:r>
      <w:hyperlink w:history="true" w:anchor="_bookmark32">
        <w:r>
          <w:rPr/>
          <w:t>.</w:t>
        </w:r>
        <w:r>
          <w:rPr>
            <w:vertAlign w:val="superscript"/>
          </w:rPr>
          <w:t>64</w:t>
        </w:r>
      </w:hyperlink>
    </w:p>
    <w:p>
      <w:pPr>
        <w:pStyle w:val="BodyText"/>
        <w:spacing w:line="259" w:lineRule="auto" w:before="157"/>
        <w:ind w:right="1467"/>
      </w:pPr>
      <w:r>
        <w:rPr/>
        <w:t>Encouraging</w:t>
      </w:r>
      <w:r>
        <w:rPr>
          <w:spacing w:val="-5"/>
        </w:rPr>
        <w:t> </w:t>
      </w:r>
      <w:r>
        <w:rPr/>
        <w:t>healthy</w:t>
      </w:r>
      <w:r>
        <w:rPr>
          <w:spacing w:val="-4"/>
        </w:rPr>
        <w:t> </w:t>
      </w:r>
      <w:r>
        <w:rPr/>
        <w:t>habits</w:t>
      </w:r>
      <w:r>
        <w:rPr>
          <w:spacing w:val="-7"/>
        </w:rPr>
        <w:t> </w:t>
      </w:r>
      <w:r>
        <w:rPr/>
        <w:t>during</w:t>
      </w:r>
      <w:r>
        <w:rPr>
          <w:spacing w:val="-5"/>
        </w:rPr>
        <w:t> </w:t>
      </w:r>
      <w:r>
        <w:rPr/>
        <w:t>pregnancy</w:t>
      </w:r>
      <w:r>
        <w:rPr>
          <w:spacing w:val="-4"/>
        </w:rPr>
        <w:t> </w:t>
      </w:r>
      <w:r>
        <w:rPr/>
        <w:t>can</w:t>
      </w:r>
      <w:r>
        <w:rPr>
          <w:spacing w:val="-5"/>
        </w:rPr>
        <w:t> </w:t>
      </w:r>
      <w:r>
        <w:rPr/>
        <w:t>lead</w:t>
      </w:r>
      <w:r>
        <w:rPr>
          <w:spacing w:val="-8"/>
        </w:rPr>
        <w:t> </w:t>
      </w:r>
      <w:r>
        <w:rPr/>
        <w:t>to</w:t>
      </w:r>
      <w:r>
        <w:rPr>
          <w:spacing w:val="-4"/>
        </w:rPr>
        <w:t> </w:t>
      </w:r>
      <w:r>
        <w:rPr/>
        <w:t>healthier</w:t>
      </w:r>
      <w:r>
        <w:rPr>
          <w:spacing w:val="-5"/>
        </w:rPr>
        <w:t> </w:t>
      </w:r>
      <w:r>
        <w:rPr/>
        <w:t>pregnancies</w:t>
      </w:r>
      <w:r>
        <w:rPr>
          <w:spacing w:val="-5"/>
        </w:rPr>
        <w:t> </w:t>
      </w:r>
      <w:r>
        <w:rPr/>
        <w:t>and</w:t>
      </w:r>
      <w:r>
        <w:rPr>
          <w:spacing w:val="-6"/>
        </w:rPr>
        <w:t> </w:t>
      </w:r>
      <w:r>
        <w:rPr/>
        <w:t>befter</w:t>
      </w:r>
      <w:r>
        <w:rPr>
          <w:spacing w:val="-7"/>
        </w:rPr>
        <w:t> </w:t>
      </w:r>
      <w:r>
        <w:rPr/>
        <w:t>outcomes</w:t>
      </w:r>
      <w:r>
        <w:rPr>
          <w:spacing w:val="-5"/>
        </w:rPr>
        <w:t> </w:t>
      </w:r>
      <w:r>
        <w:rPr/>
        <w:t>for the child. Yates County has seen confinuously improved rates in absfinence from alcohol and smoking during pregnancy. Smoking absfinence has improved from 82.5% in 2020 to 86.1% in 2024. Alcohol absfinence in pregnancy has held steady between 99% to 100% since 2020</w:t>
      </w:r>
      <w:hyperlink w:history="true" w:anchor="_bookmark33">
        <w:r>
          <w:rPr/>
          <w:t>.</w:t>
        </w:r>
        <w:r>
          <w:rPr>
            <w:vertAlign w:val="superscript"/>
          </w:rPr>
          <w:t>65</w:t>
        </w:r>
      </w:hyperlink>
    </w:p>
    <w:p>
      <w:pPr>
        <w:pStyle w:val="BodyText"/>
        <w:spacing w:line="259" w:lineRule="auto" w:before="160"/>
        <w:ind w:right="1480"/>
        <w:jc w:val="both"/>
      </w:pPr>
      <w:r>
        <w:rPr/>
        <w:t>For</w:t>
      </w:r>
      <w:r>
        <w:rPr>
          <w:spacing w:val="-6"/>
        </w:rPr>
        <w:t> </w:t>
      </w:r>
      <w:r>
        <w:rPr/>
        <w:t>Yates</w:t>
      </w:r>
      <w:r>
        <w:rPr>
          <w:spacing w:val="-8"/>
        </w:rPr>
        <w:t> </w:t>
      </w:r>
      <w:r>
        <w:rPr/>
        <w:t>County,</w:t>
      </w:r>
      <w:r>
        <w:rPr>
          <w:spacing w:val="-8"/>
        </w:rPr>
        <w:t> </w:t>
      </w:r>
      <w:r>
        <w:rPr/>
        <w:t>the</w:t>
      </w:r>
      <w:r>
        <w:rPr>
          <w:spacing w:val="-8"/>
        </w:rPr>
        <w:t> </w:t>
      </w:r>
      <w:r>
        <w:rPr/>
        <w:t>maternal</w:t>
      </w:r>
      <w:r>
        <w:rPr>
          <w:spacing w:val="-6"/>
        </w:rPr>
        <w:t> </w:t>
      </w:r>
      <w:r>
        <w:rPr/>
        <w:t>mortality</w:t>
      </w:r>
      <w:r>
        <w:rPr>
          <w:spacing w:val="-6"/>
        </w:rPr>
        <w:t> </w:t>
      </w:r>
      <w:r>
        <w:rPr/>
        <w:t>rate</w:t>
      </w:r>
      <w:r>
        <w:rPr>
          <w:spacing w:val="-6"/>
        </w:rPr>
        <w:t> </w:t>
      </w:r>
      <w:r>
        <w:rPr/>
        <w:t>has</w:t>
      </w:r>
      <w:r>
        <w:rPr>
          <w:spacing w:val="-8"/>
        </w:rPr>
        <w:t> </w:t>
      </w:r>
      <w:r>
        <w:rPr/>
        <w:t>remained</w:t>
      </w:r>
      <w:r>
        <w:rPr>
          <w:spacing w:val="-7"/>
        </w:rPr>
        <w:t> </w:t>
      </w:r>
      <w:r>
        <w:rPr/>
        <w:t>0</w:t>
      </w:r>
      <w:r>
        <w:rPr>
          <w:spacing w:val="-6"/>
        </w:rPr>
        <w:t> </w:t>
      </w:r>
      <w:r>
        <w:rPr/>
        <w:t>since</w:t>
      </w:r>
      <w:r>
        <w:rPr>
          <w:spacing w:val="-6"/>
        </w:rPr>
        <w:t> </w:t>
      </w:r>
      <w:r>
        <w:rPr/>
        <w:t>the</w:t>
      </w:r>
      <w:r>
        <w:rPr>
          <w:spacing w:val="-6"/>
        </w:rPr>
        <w:t> </w:t>
      </w:r>
      <w:r>
        <w:rPr/>
        <w:t>2013-2015</w:t>
      </w:r>
      <w:r>
        <w:rPr>
          <w:spacing w:val="-6"/>
        </w:rPr>
        <w:t> </w:t>
      </w:r>
      <w:r>
        <w:rPr/>
        <w:t>reporfing</w:t>
      </w:r>
      <w:r>
        <w:rPr>
          <w:spacing w:val="-6"/>
        </w:rPr>
        <w:t> </w:t>
      </w:r>
      <w:r>
        <w:rPr/>
        <w:t>period,</w:t>
      </w:r>
      <w:r>
        <w:rPr>
          <w:spacing w:val="-6"/>
        </w:rPr>
        <w:t> </w:t>
      </w:r>
      <w:r>
        <w:rPr/>
        <w:t>unfil the</w:t>
      </w:r>
      <w:r>
        <w:rPr>
          <w:spacing w:val="-6"/>
        </w:rPr>
        <w:t> </w:t>
      </w:r>
      <w:r>
        <w:rPr/>
        <w:t>most</w:t>
      </w:r>
      <w:r>
        <w:rPr>
          <w:spacing w:val="-3"/>
        </w:rPr>
        <w:t> </w:t>
      </w:r>
      <w:r>
        <w:rPr/>
        <w:t>recent</w:t>
      </w:r>
      <w:r>
        <w:rPr>
          <w:spacing w:val="-6"/>
        </w:rPr>
        <w:t> </w:t>
      </w:r>
      <w:r>
        <w:rPr/>
        <w:t>reporfing</w:t>
      </w:r>
      <w:r>
        <w:rPr>
          <w:spacing w:val="-7"/>
        </w:rPr>
        <w:t> </w:t>
      </w:r>
      <w:r>
        <w:rPr/>
        <w:t>period</w:t>
      </w:r>
      <w:r>
        <w:rPr>
          <w:spacing w:val="-5"/>
        </w:rPr>
        <w:t> </w:t>
      </w:r>
      <w:r>
        <w:rPr/>
        <w:t>between</w:t>
      </w:r>
      <w:r>
        <w:rPr>
          <w:spacing w:val="-7"/>
        </w:rPr>
        <w:t> </w:t>
      </w:r>
      <w:r>
        <w:rPr/>
        <w:t>2020-2022,</w:t>
      </w:r>
      <w:r>
        <w:rPr>
          <w:spacing w:val="-4"/>
        </w:rPr>
        <w:t> </w:t>
      </w:r>
      <w:r>
        <w:rPr/>
        <w:t>where</w:t>
      </w:r>
      <w:r>
        <w:rPr>
          <w:spacing w:val="-3"/>
        </w:rPr>
        <w:t> </w:t>
      </w:r>
      <w:r>
        <w:rPr/>
        <w:t>there</w:t>
      </w:r>
      <w:r>
        <w:rPr>
          <w:spacing w:val="-5"/>
        </w:rPr>
        <w:t> </w:t>
      </w:r>
      <w:r>
        <w:rPr/>
        <w:t>was</w:t>
      </w:r>
      <w:r>
        <w:rPr>
          <w:spacing w:val="-6"/>
        </w:rPr>
        <w:t> </w:t>
      </w:r>
      <w:r>
        <w:rPr/>
        <w:t>one</w:t>
      </w:r>
      <w:r>
        <w:rPr>
          <w:spacing w:val="-5"/>
        </w:rPr>
        <w:t> </w:t>
      </w:r>
      <w:r>
        <w:rPr/>
        <w:t>death</w:t>
      </w:r>
      <w:r>
        <w:rPr>
          <w:spacing w:val="-4"/>
        </w:rPr>
        <w:t> </w:t>
      </w:r>
      <w:r>
        <w:rPr/>
        <w:t>reported.</w:t>
      </w:r>
      <w:r>
        <w:rPr>
          <w:spacing w:val="-5"/>
        </w:rPr>
        <w:t> </w:t>
      </w:r>
      <w:r>
        <w:rPr/>
        <w:t>This</w:t>
      </w:r>
      <w:r>
        <w:rPr>
          <w:spacing w:val="-4"/>
        </w:rPr>
        <w:t> </w:t>
      </w:r>
      <w:r>
        <w:rPr/>
        <w:t>caused a severe increase in the maternal mortality rate, rising to 102.6 per 100,000 live births.</w:t>
      </w:r>
    </w:p>
    <w:p>
      <w:pPr>
        <w:pStyle w:val="Heading3"/>
        <w:spacing w:before="160"/>
        <w:jc w:val="both"/>
      </w:pPr>
      <w:r>
        <w:rPr/>
        <w:t>Priority:</w:t>
      </w:r>
      <w:r>
        <w:rPr>
          <w:spacing w:val="-5"/>
        </w:rPr>
        <w:t> </w:t>
      </w:r>
      <w:r>
        <w:rPr/>
        <w:t>Prevenfive</w:t>
      </w:r>
      <w:r>
        <w:rPr>
          <w:spacing w:val="-4"/>
        </w:rPr>
        <w:t> </w:t>
      </w:r>
      <w:r>
        <w:rPr/>
        <w:t>Services</w:t>
      </w:r>
      <w:r>
        <w:rPr>
          <w:spacing w:val="-4"/>
        </w:rPr>
        <w:t> </w:t>
      </w:r>
      <w:r>
        <w:rPr/>
        <w:t>for</w:t>
      </w:r>
      <w:r>
        <w:rPr>
          <w:spacing w:val="-4"/>
        </w:rPr>
        <w:t> </w:t>
      </w:r>
      <w:r>
        <w:rPr/>
        <w:t>Chronic</w:t>
      </w:r>
      <w:r>
        <w:rPr>
          <w:spacing w:val="-4"/>
        </w:rPr>
        <w:t> </w:t>
      </w:r>
      <w:r>
        <w:rPr/>
        <w:t>Disease</w:t>
      </w:r>
      <w:r>
        <w:rPr>
          <w:spacing w:val="-4"/>
        </w:rPr>
        <w:t> </w:t>
      </w:r>
      <w:r>
        <w:rPr/>
        <w:t>Prevenfion</w:t>
      </w:r>
      <w:r>
        <w:rPr>
          <w:spacing w:val="-3"/>
        </w:rPr>
        <w:t> </w:t>
      </w:r>
      <w:r>
        <w:rPr/>
        <w:t>and</w:t>
      </w:r>
      <w:r>
        <w:rPr>
          <w:spacing w:val="-3"/>
        </w:rPr>
        <w:t> </w:t>
      </w:r>
      <w:r>
        <w:rPr>
          <w:spacing w:val="-2"/>
        </w:rPr>
        <w:t>Control</w:t>
      </w:r>
    </w:p>
    <w:p>
      <w:pPr>
        <w:pStyle w:val="BodyText"/>
        <w:spacing w:line="259" w:lineRule="auto" w:before="181"/>
        <w:ind w:right="1467"/>
      </w:pPr>
      <w:r>
        <w:rPr/>
        <w:t>Yates</w:t>
      </w:r>
      <w:r>
        <w:rPr>
          <w:spacing w:val="-5"/>
        </w:rPr>
        <w:t> </w:t>
      </w:r>
      <w:r>
        <w:rPr/>
        <w:t>County,</w:t>
      </w:r>
      <w:r>
        <w:rPr>
          <w:spacing w:val="-5"/>
        </w:rPr>
        <w:t> </w:t>
      </w:r>
      <w:r>
        <w:rPr/>
        <w:t>like</w:t>
      </w:r>
      <w:r>
        <w:rPr>
          <w:spacing w:val="-7"/>
        </w:rPr>
        <w:t> </w:t>
      </w:r>
      <w:r>
        <w:rPr/>
        <w:t>many</w:t>
      </w:r>
      <w:r>
        <w:rPr>
          <w:spacing w:val="-4"/>
        </w:rPr>
        <w:t> </w:t>
      </w:r>
      <w:r>
        <w:rPr/>
        <w:t>rural</w:t>
      </w:r>
      <w:r>
        <w:rPr>
          <w:spacing w:val="-5"/>
        </w:rPr>
        <w:t> </w:t>
      </w:r>
      <w:r>
        <w:rPr/>
        <w:t>counfies,</w:t>
      </w:r>
      <w:r>
        <w:rPr>
          <w:spacing w:val="-5"/>
        </w:rPr>
        <w:t> </w:t>
      </w:r>
      <w:r>
        <w:rPr/>
        <w:t>faces</w:t>
      </w:r>
      <w:r>
        <w:rPr>
          <w:spacing w:val="-5"/>
        </w:rPr>
        <w:t> </w:t>
      </w:r>
      <w:r>
        <w:rPr/>
        <w:t>unique</w:t>
      </w:r>
      <w:r>
        <w:rPr>
          <w:spacing w:val="-7"/>
        </w:rPr>
        <w:t> </w:t>
      </w:r>
      <w:r>
        <w:rPr/>
        <w:t>challenges</w:t>
      </w:r>
      <w:r>
        <w:rPr>
          <w:spacing w:val="-5"/>
        </w:rPr>
        <w:t> </w:t>
      </w:r>
      <w:r>
        <w:rPr/>
        <w:t>in</w:t>
      </w:r>
      <w:r>
        <w:rPr>
          <w:spacing w:val="-5"/>
        </w:rPr>
        <w:t> </w:t>
      </w:r>
      <w:r>
        <w:rPr/>
        <w:t>health</w:t>
      </w:r>
      <w:r>
        <w:rPr>
          <w:spacing w:val="-6"/>
        </w:rPr>
        <w:t> </w:t>
      </w:r>
      <w:r>
        <w:rPr/>
        <w:t>care</w:t>
      </w:r>
      <w:r>
        <w:rPr>
          <w:spacing w:val="-4"/>
        </w:rPr>
        <w:t> </w:t>
      </w:r>
      <w:r>
        <w:rPr/>
        <w:t>access</w:t>
      </w:r>
      <w:r>
        <w:rPr>
          <w:spacing w:val="-5"/>
        </w:rPr>
        <w:t> </w:t>
      </w:r>
      <w:r>
        <w:rPr/>
        <w:t>and</w:t>
      </w:r>
      <w:r>
        <w:rPr>
          <w:spacing w:val="-6"/>
        </w:rPr>
        <w:t> </w:t>
      </w:r>
      <w:r>
        <w:rPr/>
        <w:t>support.</w:t>
      </w:r>
      <w:r>
        <w:rPr>
          <w:spacing w:val="-8"/>
        </w:rPr>
        <w:t> </w:t>
      </w:r>
      <w:r>
        <w:rPr/>
        <w:t>Fewer primary</w:t>
      </w:r>
      <w:r>
        <w:rPr>
          <w:spacing w:val="-6"/>
        </w:rPr>
        <w:t> </w:t>
      </w:r>
      <w:r>
        <w:rPr/>
        <w:t>care</w:t>
      </w:r>
      <w:r>
        <w:rPr>
          <w:spacing w:val="-6"/>
        </w:rPr>
        <w:t> </w:t>
      </w:r>
      <w:r>
        <w:rPr/>
        <w:t>physicians,</w:t>
      </w:r>
      <w:r>
        <w:rPr>
          <w:spacing w:val="-9"/>
        </w:rPr>
        <w:t> </w:t>
      </w:r>
      <w:r>
        <w:rPr/>
        <w:t>denfists,</w:t>
      </w:r>
      <w:r>
        <w:rPr>
          <w:spacing w:val="-7"/>
        </w:rPr>
        <w:t> </w:t>
      </w:r>
      <w:r>
        <w:rPr/>
        <w:t>mental</w:t>
      </w:r>
      <w:r>
        <w:rPr>
          <w:spacing w:val="-7"/>
        </w:rPr>
        <w:t> </w:t>
      </w:r>
      <w:r>
        <w:rPr/>
        <w:t>health</w:t>
      </w:r>
      <w:r>
        <w:rPr>
          <w:spacing w:val="-7"/>
        </w:rPr>
        <w:t> </w:t>
      </w:r>
      <w:r>
        <w:rPr/>
        <w:t>providers,</w:t>
      </w:r>
      <w:r>
        <w:rPr>
          <w:spacing w:val="-7"/>
        </w:rPr>
        <w:t> </w:t>
      </w:r>
      <w:r>
        <w:rPr/>
        <w:t>and</w:t>
      </w:r>
      <w:r>
        <w:rPr>
          <w:spacing w:val="-8"/>
        </w:rPr>
        <w:t> </w:t>
      </w:r>
      <w:r>
        <w:rPr/>
        <w:t>non-physician</w:t>
      </w:r>
      <w:r>
        <w:rPr>
          <w:spacing w:val="-8"/>
        </w:rPr>
        <w:t> </w:t>
      </w:r>
      <w:r>
        <w:rPr/>
        <w:t>health</w:t>
      </w:r>
      <w:r>
        <w:rPr>
          <w:spacing w:val="-8"/>
        </w:rPr>
        <w:t> </w:t>
      </w:r>
      <w:r>
        <w:rPr/>
        <w:t>care</w:t>
      </w:r>
      <w:r>
        <w:rPr>
          <w:spacing w:val="-6"/>
        </w:rPr>
        <w:t> </w:t>
      </w:r>
      <w:r>
        <w:rPr/>
        <w:t>providers</w:t>
      </w:r>
      <w:r>
        <w:rPr>
          <w:spacing w:val="-7"/>
        </w:rPr>
        <w:t> </w:t>
      </w:r>
      <w:r>
        <w:rPr/>
        <w:t>pose signiﬁcant barriers to care.</w:t>
      </w:r>
      <w:r>
        <w:rPr>
          <w:spacing w:val="-1"/>
        </w:rPr>
        <w:t> </w:t>
      </w:r>
      <w:r>
        <w:rPr/>
        <w:t>Figure Y6 depicts the rafios of health care providers to one resident in Yates County. These rafios indicate a crifical need for improved healthcare access across all sectors in Yates </w:t>
      </w:r>
      <w:r>
        <w:rPr>
          <w:spacing w:val="-2"/>
        </w:rPr>
        <w:t>County.</w:t>
      </w:r>
    </w:p>
    <w:p>
      <w:pPr>
        <w:spacing w:before="163"/>
        <w:ind w:left="1440" w:right="0" w:firstLine="0"/>
        <w:jc w:val="both"/>
        <w:rPr>
          <w:i/>
          <w:sz w:val="18"/>
        </w:rPr>
      </w:pPr>
      <w:r>
        <w:rPr>
          <w:i/>
          <w:sz w:val="18"/>
        </w:rPr>
        <w:drawing>
          <wp:anchor distT="0" distB="0" distL="0" distR="0" allowOverlap="1" layoutInCell="1" locked="0" behindDoc="1" simplePos="0" relativeHeight="487606784">
            <wp:simplePos x="0" y="0"/>
            <wp:positionH relativeFrom="page">
              <wp:posOffset>914400</wp:posOffset>
            </wp:positionH>
            <wp:positionV relativeFrom="paragraph">
              <wp:posOffset>248906</wp:posOffset>
            </wp:positionV>
            <wp:extent cx="5809469" cy="2560320"/>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36" cstate="print"/>
                    <a:stretch>
                      <a:fillRect/>
                    </a:stretch>
                  </pic:blipFill>
                  <pic:spPr>
                    <a:xfrm>
                      <a:off x="0" y="0"/>
                      <a:ext cx="5809469" cy="2560320"/>
                    </a:xfrm>
                    <a:prstGeom prst="rect">
                      <a:avLst/>
                    </a:prstGeom>
                  </pic:spPr>
                </pic:pic>
              </a:graphicData>
            </a:graphic>
          </wp:anchor>
        </w:drawing>
      </w:r>
      <w:r>
        <w:rPr>
          <w:i/>
          <w:sz w:val="18"/>
        </w:rPr>
        <w:t>Figure</w:t>
      </w:r>
      <w:r>
        <w:rPr>
          <w:i/>
          <w:spacing w:val="-4"/>
          <w:sz w:val="18"/>
        </w:rPr>
        <w:t> </w:t>
      </w:r>
      <w:r>
        <w:rPr>
          <w:i/>
          <w:sz w:val="18"/>
        </w:rPr>
        <w:t>Y6:</w:t>
      </w:r>
      <w:r>
        <w:rPr>
          <w:i/>
          <w:spacing w:val="-5"/>
          <w:sz w:val="18"/>
        </w:rPr>
        <w:t> </w:t>
      </w:r>
      <w:r>
        <w:rPr>
          <w:i/>
          <w:sz w:val="18"/>
        </w:rPr>
        <w:t>Resident</w:t>
      </w:r>
      <w:r>
        <w:rPr>
          <w:i/>
          <w:spacing w:val="-4"/>
          <w:sz w:val="18"/>
        </w:rPr>
        <w:t> </w:t>
      </w:r>
      <w:r>
        <w:rPr>
          <w:i/>
          <w:sz w:val="18"/>
        </w:rPr>
        <w:t>to</w:t>
      </w:r>
      <w:r>
        <w:rPr>
          <w:i/>
          <w:spacing w:val="-5"/>
          <w:sz w:val="18"/>
        </w:rPr>
        <w:t> </w:t>
      </w:r>
      <w:r>
        <w:rPr>
          <w:i/>
          <w:sz w:val="18"/>
        </w:rPr>
        <w:t>Healthcare</w:t>
      </w:r>
      <w:r>
        <w:rPr>
          <w:i/>
          <w:spacing w:val="-5"/>
          <w:sz w:val="18"/>
        </w:rPr>
        <w:t> </w:t>
      </w:r>
      <w:r>
        <w:rPr>
          <w:i/>
          <w:sz w:val="18"/>
        </w:rPr>
        <w:t>Provider</w:t>
      </w:r>
      <w:r>
        <w:rPr>
          <w:i/>
          <w:spacing w:val="-3"/>
          <w:sz w:val="18"/>
        </w:rPr>
        <w:t> </w:t>
      </w:r>
      <w:r>
        <w:rPr>
          <w:i/>
          <w:spacing w:val="-4"/>
          <w:sz w:val="18"/>
        </w:rPr>
        <w:t>Rafio</w:t>
      </w:r>
    </w:p>
    <w:p>
      <w:pPr>
        <w:spacing w:before="188"/>
        <w:ind w:left="1440" w:right="0" w:firstLine="0"/>
        <w:jc w:val="both"/>
        <w:rPr>
          <w:i/>
          <w:sz w:val="18"/>
        </w:rPr>
      </w:pPr>
      <w:r>
        <w:rPr>
          <w:i/>
          <w:sz w:val="18"/>
        </w:rPr>
        <w:t>Source:</w:t>
      </w:r>
      <w:r>
        <w:rPr>
          <w:i/>
          <w:spacing w:val="-6"/>
          <w:sz w:val="18"/>
        </w:rPr>
        <w:t> </w:t>
      </w:r>
      <w:r>
        <w:rPr>
          <w:i/>
          <w:sz w:val="18"/>
        </w:rPr>
        <w:t>County</w:t>
      </w:r>
      <w:r>
        <w:rPr>
          <w:i/>
          <w:spacing w:val="-4"/>
          <w:sz w:val="18"/>
        </w:rPr>
        <w:t> </w:t>
      </w:r>
      <w:r>
        <w:rPr>
          <w:i/>
          <w:sz w:val="18"/>
        </w:rPr>
        <w:t>Health</w:t>
      </w:r>
      <w:r>
        <w:rPr>
          <w:i/>
          <w:spacing w:val="-3"/>
          <w:sz w:val="18"/>
        </w:rPr>
        <w:t> </w:t>
      </w:r>
      <w:r>
        <w:rPr>
          <w:i/>
          <w:sz w:val="18"/>
        </w:rPr>
        <w:t>Rankings,</w:t>
      </w:r>
      <w:r>
        <w:rPr>
          <w:i/>
          <w:spacing w:val="-7"/>
          <w:sz w:val="18"/>
        </w:rPr>
        <w:t> </w:t>
      </w:r>
      <w:r>
        <w:rPr>
          <w:i/>
          <w:sz w:val="18"/>
        </w:rPr>
        <w:t>Area</w:t>
      </w:r>
      <w:r>
        <w:rPr>
          <w:i/>
          <w:spacing w:val="-3"/>
          <w:sz w:val="18"/>
        </w:rPr>
        <w:t> </w:t>
      </w:r>
      <w:r>
        <w:rPr>
          <w:i/>
          <w:sz w:val="18"/>
        </w:rPr>
        <w:t>Health</w:t>
      </w:r>
      <w:r>
        <w:rPr>
          <w:i/>
          <w:spacing w:val="-4"/>
          <w:sz w:val="18"/>
        </w:rPr>
        <w:t> </w:t>
      </w:r>
      <w:r>
        <w:rPr>
          <w:i/>
          <w:sz w:val="18"/>
        </w:rPr>
        <w:t>Resource</w:t>
      </w:r>
      <w:r>
        <w:rPr>
          <w:i/>
          <w:spacing w:val="-4"/>
          <w:sz w:val="18"/>
        </w:rPr>
        <w:t> </w:t>
      </w:r>
      <w:r>
        <w:rPr>
          <w:i/>
          <w:sz w:val="18"/>
        </w:rPr>
        <w:t>File/American</w:t>
      </w:r>
      <w:r>
        <w:rPr>
          <w:i/>
          <w:spacing w:val="-4"/>
          <w:sz w:val="18"/>
        </w:rPr>
        <w:t> </w:t>
      </w:r>
      <w:r>
        <w:rPr>
          <w:i/>
          <w:sz w:val="18"/>
        </w:rPr>
        <w:t>Medical</w:t>
      </w:r>
      <w:r>
        <w:rPr>
          <w:i/>
          <w:spacing w:val="-5"/>
          <w:sz w:val="18"/>
        </w:rPr>
        <w:t> </w:t>
      </w:r>
      <w:r>
        <w:rPr>
          <w:i/>
          <w:spacing w:val="-2"/>
          <w:sz w:val="18"/>
        </w:rPr>
        <w:t>Associafion</w:t>
      </w:r>
    </w:p>
    <w:p>
      <w:pPr>
        <w:pStyle w:val="BodyText"/>
        <w:spacing w:before="94"/>
        <w:ind w:left="0"/>
        <w:rPr>
          <w:i/>
          <w:sz w:val="20"/>
        </w:rPr>
      </w:pPr>
      <w:r>
        <w:rPr>
          <w:i/>
          <w:sz w:val="20"/>
        </w:rPr>
        <mc:AlternateContent>
          <mc:Choice Requires="wps">
            <w:drawing>
              <wp:anchor distT="0" distB="0" distL="0" distR="0" allowOverlap="1" layoutInCell="1" locked="0" behindDoc="1" simplePos="0" relativeHeight="487607296">
                <wp:simplePos x="0" y="0"/>
                <wp:positionH relativeFrom="page">
                  <wp:posOffset>914400</wp:posOffset>
                </wp:positionH>
                <wp:positionV relativeFrom="paragraph">
                  <wp:posOffset>230411</wp:posOffset>
                </wp:positionV>
                <wp:extent cx="1828800" cy="9525"/>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8.142662pt;width:144pt;height:.71pt;mso-position-horizontal-relative:page;mso-position-vertical-relative:paragraph;z-index:-15709184;mso-wrap-distance-left:0;mso-wrap-distance-right:0" id="docshape73" filled="true" fillcolor="#000000" stroked="false">
                <v:fill type="solid"/>
                <w10:wrap type="topAndBottom"/>
              </v:rect>
            </w:pict>
          </mc:Fallback>
        </mc:AlternateContent>
      </w:r>
    </w:p>
    <w:p>
      <w:pPr>
        <w:spacing w:line="243" w:lineRule="exact" w:before="102"/>
        <w:ind w:left="1440" w:right="0" w:firstLine="0"/>
        <w:jc w:val="left"/>
        <w:rPr>
          <w:i/>
          <w:sz w:val="20"/>
        </w:rPr>
      </w:pPr>
      <w:r>
        <w:rPr>
          <w:sz w:val="20"/>
          <w:vertAlign w:val="superscript"/>
        </w:rPr>
        <w:t>63</w:t>
      </w:r>
      <w:r>
        <w:rPr>
          <w:spacing w:val="-9"/>
          <w:sz w:val="20"/>
          <w:vertAlign w:val="baseline"/>
        </w:rPr>
        <w:t> </w:t>
      </w:r>
      <w:bookmarkStart w:name="_bookmark31" w:id="32"/>
      <w:bookmarkEnd w:id="32"/>
      <w:r>
        <w:rPr>
          <w:sz w:val="20"/>
          <w:vertAlign w:val="baseline"/>
        </w:rPr>
        <w:t>S</w:t>
      </w:r>
      <w:r>
        <w:rPr>
          <w:sz w:val="20"/>
          <w:vertAlign w:val="baseline"/>
        </w:rPr>
        <w:t>ource:</w:t>
      </w:r>
      <w:r>
        <w:rPr>
          <w:spacing w:val="-8"/>
          <w:sz w:val="20"/>
          <w:vertAlign w:val="baseline"/>
        </w:rPr>
        <w:t> </w:t>
      </w:r>
      <w:r>
        <w:rPr>
          <w:i/>
          <w:sz w:val="20"/>
          <w:vertAlign w:val="baseline"/>
        </w:rPr>
        <w:t>NYS</w:t>
      </w:r>
      <w:r>
        <w:rPr>
          <w:i/>
          <w:spacing w:val="-7"/>
          <w:sz w:val="20"/>
          <w:vertAlign w:val="baseline"/>
        </w:rPr>
        <w:t> </w:t>
      </w:r>
      <w:r>
        <w:rPr>
          <w:i/>
          <w:sz w:val="20"/>
          <w:vertAlign w:val="baseline"/>
        </w:rPr>
        <w:t>Prevenfion</w:t>
      </w:r>
      <w:r>
        <w:rPr>
          <w:i/>
          <w:spacing w:val="-6"/>
          <w:sz w:val="20"/>
          <w:vertAlign w:val="baseline"/>
        </w:rPr>
        <w:t> </w:t>
      </w:r>
      <w:r>
        <w:rPr>
          <w:i/>
          <w:sz w:val="20"/>
          <w:vertAlign w:val="baseline"/>
        </w:rPr>
        <w:t>Agenda,</w:t>
      </w:r>
      <w:r>
        <w:rPr>
          <w:i/>
          <w:spacing w:val="-7"/>
          <w:sz w:val="20"/>
          <w:vertAlign w:val="baseline"/>
        </w:rPr>
        <w:t> </w:t>
      </w:r>
      <w:r>
        <w:rPr>
          <w:i/>
          <w:sz w:val="20"/>
          <w:vertAlign w:val="baseline"/>
        </w:rPr>
        <w:t>Vital</w:t>
      </w:r>
      <w:r>
        <w:rPr>
          <w:i/>
          <w:spacing w:val="-8"/>
          <w:sz w:val="20"/>
          <w:vertAlign w:val="baseline"/>
        </w:rPr>
        <w:t> </w:t>
      </w:r>
      <w:r>
        <w:rPr>
          <w:i/>
          <w:spacing w:val="-2"/>
          <w:sz w:val="20"/>
          <w:vertAlign w:val="baseline"/>
        </w:rPr>
        <w:t>Records</w:t>
      </w:r>
    </w:p>
    <w:p>
      <w:pPr>
        <w:spacing w:line="243" w:lineRule="exact" w:before="0"/>
        <w:ind w:left="1440" w:right="0" w:firstLine="0"/>
        <w:jc w:val="left"/>
        <w:rPr>
          <w:i/>
          <w:sz w:val="20"/>
        </w:rPr>
      </w:pPr>
      <w:r>
        <w:rPr>
          <w:sz w:val="20"/>
          <w:vertAlign w:val="superscript"/>
        </w:rPr>
        <w:t>64</w:t>
      </w:r>
      <w:r>
        <w:rPr>
          <w:spacing w:val="-12"/>
          <w:sz w:val="20"/>
          <w:vertAlign w:val="baseline"/>
        </w:rPr>
        <w:t> </w:t>
      </w:r>
      <w:bookmarkStart w:name="_bookmark32" w:id="33"/>
      <w:bookmarkEnd w:id="33"/>
      <w:r>
        <w:rPr>
          <w:sz w:val="20"/>
          <w:vertAlign w:val="baseline"/>
        </w:rPr>
        <w:t>S</w:t>
      </w:r>
      <w:r>
        <w:rPr>
          <w:sz w:val="20"/>
          <w:vertAlign w:val="baseline"/>
        </w:rPr>
        <w:t>ource:</w:t>
      </w:r>
      <w:r>
        <w:rPr>
          <w:spacing w:val="-10"/>
          <w:sz w:val="20"/>
          <w:vertAlign w:val="baseline"/>
        </w:rPr>
        <w:t> </w:t>
      </w:r>
      <w:r>
        <w:rPr>
          <w:i/>
          <w:sz w:val="20"/>
          <w:vertAlign w:val="baseline"/>
        </w:rPr>
        <w:t>NYS</w:t>
      </w:r>
      <w:r>
        <w:rPr>
          <w:i/>
          <w:spacing w:val="-10"/>
          <w:sz w:val="20"/>
          <w:vertAlign w:val="baseline"/>
        </w:rPr>
        <w:t> </w:t>
      </w:r>
      <w:r>
        <w:rPr>
          <w:i/>
          <w:sz w:val="20"/>
          <w:vertAlign w:val="baseline"/>
        </w:rPr>
        <w:t>Prevenfion</w:t>
      </w:r>
      <w:r>
        <w:rPr>
          <w:i/>
          <w:spacing w:val="-10"/>
          <w:sz w:val="20"/>
          <w:vertAlign w:val="baseline"/>
        </w:rPr>
        <w:t> </w:t>
      </w:r>
      <w:r>
        <w:rPr>
          <w:i/>
          <w:sz w:val="20"/>
          <w:vertAlign w:val="baseline"/>
        </w:rPr>
        <w:t>Agenda,</w:t>
      </w:r>
      <w:r>
        <w:rPr>
          <w:i/>
          <w:spacing w:val="-10"/>
          <w:sz w:val="20"/>
          <w:vertAlign w:val="baseline"/>
        </w:rPr>
        <w:t> </w:t>
      </w:r>
      <w:r>
        <w:rPr>
          <w:i/>
          <w:sz w:val="20"/>
          <w:vertAlign w:val="baseline"/>
        </w:rPr>
        <w:t>Statewide</w:t>
      </w:r>
      <w:r>
        <w:rPr>
          <w:i/>
          <w:spacing w:val="-9"/>
          <w:sz w:val="20"/>
          <w:vertAlign w:val="baseline"/>
        </w:rPr>
        <w:t> </w:t>
      </w:r>
      <w:r>
        <w:rPr>
          <w:i/>
          <w:sz w:val="20"/>
          <w:vertAlign w:val="baseline"/>
        </w:rPr>
        <w:t>Perinatal</w:t>
      </w:r>
      <w:r>
        <w:rPr>
          <w:i/>
          <w:spacing w:val="-11"/>
          <w:sz w:val="20"/>
          <w:vertAlign w:val="baseline"/>
        </w:rPr>
        <w:t> </w:t>
      </w:r>
      <w:r>
        <w:rPr>
          <w:i/>
          <w:sz w:val="20"/>
          <w:vertAlign w:val="baseline"/>
        </w:rPr>
        <w:t>Data</w:t>
      </w:r>
      <w:r>
        <w:rPr>
          <w:i/>
          <w:spacing w:val="-10"/>
          <w:sz w:val="20"/>
          <w:vertAlign w:val="baseline"/>
        </w:rPr>
        <w:t> </w:t>
      </w:r>
      <w:r>
        <w:rPr>
          <w:i/>
          <w:sz w:val="20"/>
          <w:vertAlign w:val="baseline"/>
        </w:rPr>
        <w:t>System,</w:t>
      </w:r>
      <w:r>
        <w:rPr>
          <w:i/>
          <w:spacing w:val="-10"/>
          <w:sz w:val="20"/>
          <w:vertAlign w:val="baseline"/>
        </w:rPr>
        <w:t> </w:t>
      </w:r>
      <w:r>
        <w:rPr>
          <w:i/>
          <w:sz w:val="20"/>
          <w:vertAlign w:val="baseline"/>
        </w:rPr>
        <w:t>Vital</w:t>
      </w:r>
      <w:r>
        <w:rPr>
          <w:i/>
          <w:spacing w:val="-11"/>
          <w:sz w:val="20"/>
          <w:vertAlign w:val="baseline"/>
        </w:rPr>
        <w:t> </w:t>
      </w:r>
      <w:r>
        <w:rPr>
          <w:i/>
          <w:spacing w:val="-2"/>
          <w:sz w:val="20"/>
          <w:vertAlign w:val="baseline"/>
        </w:rPr>
        <w:t>Records</w:t>
      </w:r>
    </w:p>
    <w:p>
      <w:pPr>
        <w:spacing w:before="1"/>
        <w:ind w:left="1440" w:right="0" w:firstLine="0"/>
        <w:jc w:val="left"/>
        <w:rPr>
          <w:sz w:val="20"/>
        </w:rPr>
      </w:pPr>
      <w:r>
        <w:rPr>
          <w:sz w:val="20"/>
          <w:vertAlign w:val="superscript"/>
        </w:rPr>
        <w:t>65</w:t>
      </w:r>
      <w:r>
        <w:rPr>
          <w:spacing w:val="-10"/>
          <w:sz w:val="20"/>
          <w:vertAlign w:val="baseline"/>
        </w:rPr>
        <w:t> </w:t>
      </w:r>
      <w:bookmarkStart w:name="_bookmark33" w:id="34"/>
      <w:bookmarkEnd w:id="34"/>
      <w:r>
        <w:rPr>
          <w:sz w:val="20"/>
          <w:vertAlign w:val="baseline"/>
        </w:rPr>
        <w:t>S</w:t>
      </w:r>
      <w:r>
        <w:rPr>
          <w:sz w:val="20"/>
          <w:vertAlign w:val="baseline"/>
        </w:rPr>
        <w:t>ource:</w:t>
      </w:r>
      <w:r>
        <w:rPr>
          <w:spacing w:val="-10"/>
          <w:sz w:val="20"/>
          <w:vertAlign w:val="baseline"/>
        </w:rPr>
        <w:t> </w:t>
      </w:r>
      <w:r>
        <w:rPr>
          <w:sz w:val="20"/>
          <w:vertAlign w:val="baseline"/>
        </w:rPr>
        <w:t>Healthy</w:t>
      </w:r>
      <w:r>
        <w:rPr>
          <w:spacing w:val="-8"/>
          <w:sz w:val="20"/>
          <w:vertAlign w:val="baseline"/>
        </w:rPr>
        <w:t> </w:t>
      </w:r>
      <w:r>
        <w:rPr>
          <w:sz w:val="20"/>
          <w:vertAlign w:val="baseline"/>
        </w:rPr>
        <w:t>People</w:t>
      </w:r>
      <w:r>
        <w:rPr>
          <w:spacing w:val="-10"/>
          <w:sz w:val="20"/>
          <w:vertAlign w:val="baseline"/>
        </w:rPr>
        <w:t> </w:t>
      </w:r>
      <w:r>
        <w:rPr>
          <w:spacing w:val="-4"/>
          <w:sz w:val="20"/>
          <w:vertAlign w:val="baseline"/>
        </w:rPr>
        <w:t>2030</w:t>
      </w:r>
    </w:p>
    <w:p>
      <w:pPr>
        <w:spacing w:after="0"/>
        <w:jc w:val="left"/>
        <w:rPr>
          <w:sz w:val="20"/>
        </w:rPr>
        <w:sectPr>
          <w:pgSz w:w="12240" w:h="15840"/>
          <w:pgMar w:header="161" w:footer="1223" w:top="1360" w:bottom="1420" w:left="0" w:right="0"/>
        </w:sectPr>
      </w:pPr>
    </w:p>
    <w:p>
      <w:pPr>
        <w:pStyle w:val="BodyText"/>
        <w:spacing w:line="259" w:lineRule="auto" w:before="64"/>
        <w:ind w:right="1436"/>
      </w:pPr>
      <w:r>
        <w:rPr/>
        <w:t>Those who are under- or uninsured face addifional obstacles to accessing care. The uninsured rate for Yates</w:t>
      </w:r>
      <w:r>
        <w:rPr>
          <w:spacing w:val="-2"/>
        </w:rPr>
        <w:t> </w:t>
      </w:r>
      <w:r>
        <w:rPr/>
        <w:t>County</w:t>
      </w:r>
      <w:r>
        <w:rPr>
          <w:spacing w:val="-3"/>
        </w:rPr>
        <w:t> </w:t>
      </w:r>
      <w:r>
        <w:rPr/>
        <w:t>is</w:t>
      </w:r>
      <w:r>
        <w:rPr>
          <w:spacing w:val="-4"/>
        </w:rPr>
        <w:t> </w:t>
      </w:r>
      <w:r>
        <w:rPr/>
        <w:t>10%</w:t>
      </w:r>
      <w:r>
        <w:rPr>
          <w:spacing w:val="-4"/>
        </w:rPr>
        <w:t> </w:t>
      </w:r>
      <w:r>
        <w:rPr/>
        <w:t>of</w:t>
      </w:r>
      <w:r>
        <w:rPr>
          <w:spacing w:val="-2"/>
        </w:rPr>
        <w:t> </w:t>
      </w:r>
      <w:r>
        <w:rPr/>
        <w:t>the</w:t>
      </w:r>
      <w:r>
        <w:rPr>
          <w:spacing w:val="-6"/>
        </w:rPr>
        <w:t> </w:t>
      </w:r>
      <w:r>
        <w:rPr/>
        <w:t>populafion</w:t>
      </w:r>
      <w:r>
        <w:rPr>
          <w:spacing w:val="-3"/>
        </w:rPr>
        <w:t> </w:t>
      </w:r>
      <w:r>
        <w:rPr/>
        <w:t>under</w:t>
      </w:r>
      <w:r>
        <w:rPr>
          <w:spacing w:val="-2"/>
        </w:rPr>
        <w:t> </w:t>
      </w:r>
      <w:r>
        <w:rPr/>
        <w:t>age</w:t>
      </w:r>
      <w:r>
        <w:rPr>
          <w:spacing w:val="-3"/>
        </w:rPr>
        <w:t> </w:t>
      </w:r>
      <w:r>
        <w:rPr/>
        <w:t>65</w:t>
      </w:r>
      <w:r>
        <w:rPr>
          <w:spacing w:val="-3"/>
        </w:rPr>
        <w:t> </w:t>
      </w:r>
      <w:r>
        <w:rPr/>
        <w:t>(up</w:t>
      </w:r>
      <w:r>
        <w:rPr>
          <w:spacing w:val="-3"/>
        </w:rPr>
        <w:t> </w:t>
      </w:r>
      <w:r>
        <w:rPr/>
        <w:t>25%</w:t>
      </w:r>
      <w:r>
        <w:rPr>
          <w:spacing w:val="-1"/>
        </w:rPr>
        <w:t> </w:t>
      </w:r>
      <w:r>
        <w:rPr/>
        <w:t>since</w:t>
      </w:r>
      <w:r>
        <w:rPr>
          <w:spacing w:val="-4"/>
        </w:rPr>
        <w:t> </w:t>
      </w:r>
      <w:r>
        <w:rPr/>
        <w:t>2018)</w:t>
      </w:r>
      <w:r>
        <w:rPr>
          <w:spacing w:val="-2"/>
        </w:rPr>
        <w:t> </w:t>
      </w:r>
      <w:r>
        <w:rPr/>
        <w:t>and</w:t>
      </w:r>
      <w:r>
        <w:rPr>
          <w:spacing w:val="-5"/>
        </w:rPr>
        <w:t> </w:t>
      </w:r>
      <w:r>
        <w:rPr/>
        <w:t>8%</w:t>
      </w:r>
      <w:r>
        <w:rPr>
          <w:spacing w:val="-6"/>
        </w:rPr>
        <w:t> </w:t>
      </w:r>
      <w:r>
        <w:rPr/>
        <w:t>of</w:t>
      </w:r>
      <w:r>
        <w:rPr>
          <w:spacing w:val="-2"/>
        </w:rPr>
        <w:t> </w:t>
      </w:r>
      <w:r>
        <w:rPr/>
        <w:t>children</w:t>
      </w:r>
      <w:r>
        <w:rPr>
          <w:spacing w:val="-5"/>
        </w:rPr>
        <w:t> </w:t>
      </w:r>
      <w:r>
        <w:rPr/>
        <w:t>under</w:t>
      </w:r>
      <w:r>
        <w:rPr>
          <w:spacing w:val="-2"/>
        </w:rPr>
        <w:t> </w:t>
      </w:r>
      <w:r>
        <w:rPr/>
        <w:t>19</w:t>
      </w:r>
      <w:r>
        <w:rPr>
          <w:spacing w:val="-1"/>
        </w:rPr>
        <w:t> </w:t>
      </w:r>
      <w:r>
        <w:rPr/>
        <w:t>(up 33% since 2018)</w:t>
      </w:r>
      <w:hyperlink w:history="true" w:anchor="_bookmark34">
        <w:r>
          <w:rPr/>
          <w:t>.</w:t>
        </w:r>
        <w:r>
          <w:rPr>
            <w:vertAlign w:val="superscript"/>
          </w:rPr>
          <w:t>66</w:t>
        </w:r>
      </w:hyperlink>
      <w:r>
        <w:rPr>
          <w:vertAlign w:val="baseline"/>
        </w:rPr>
        <w:t> Yates County has a higher percentage of uninsured residents compared to NYS. It is important to note that in Yates County, the Mennonite populafion often chooses not to have health </w:t>
      </w:r>
      <w:r>
        <w:rPr>
          <w:spacing w:val="-2"/>
          <w:vertAlign w:val="baseline"/>
        </w:rPr>
        <w:t>insurance.</w:t>
      </w:r>
    </w:p>
    <w:p>
      <w:pPr>
        <w:pStyle w:val="BodyText"/>
        <w:spacing w:line="259" w:lineRule="auto" w:before="157"/>
        <w:ind w:right="1467"/>
      </w:pPr>
      <w:r>
        <w:rPr/>
        <w:t>The combinafion of high populafion-to-provider rafios and a sizable uninsured populafion creates a signiﬁcant barrier to preventafive care. Consequently, these individuals may not seek prevenfive health care</w:t>
      </w:r>
      <w:r>
        <w:rPr>
          <w:spacing w:val="-4"/>
        </w:rPr>
        <w:t> </w:t>
      </w:r>
      <w:r>
        <w:rPr/>
        <w:t>services</w:t>
      </w:r>
      <w:r>
        <w:rPr>
          <w:spacing w:val="-5"/>
        </w:rPr>
        <w:t> </w:t>
      </w:r>
      <w:r>
        <w:rPr/>
        <w:t>and</w:t>
      </w:r>
      <w:r>
        <w:rPr>
          <w:spacing w:val="-6"/>
        </w:rPr>
        <w:t> </w:t>
      </w:r>
      <w:r>
        <w:rPr/>
        <w:t>instead</w:t>
      </w:r>
      <w:r>
        <w:rPr>
          <w:spacing w:val="-5"/>
        </w:rPr>
        <w:t> </w:t>
      </w:r>
      <w:r>
        <w:rPr/>
        <w:t>present</w:t>
      </w:r>
      <w:r>
        <w:rPr>
          <w:spacing w:val="-7"/>
        </w:rPr>
        <w:t> </w:t>
      </w:r>
      <w:r>
        <w:rPr/>
        <w:t>to</w:t>
      </w:r>
      <w:r>
        <w:rPr>
          <w:spacing w:val="-6"/>
        </w:rPr>
        <w:t> </w:t>
      </w:r>
      <w:r>
        <w:rPr/>
        <w:t>the</w:t>
      </w:r>
      <w:r>
        <w:rPr>
          <w:spacing w:val="-7"/>
        </w:rPr>
        <w:t> </w:t>
      </w:r>
      <w:r>
        <w:rPr/>
        <w:t>Emergency</w:t>
      </w:r>
      <w:r>
        <w:rPr>
          <w:spacing w:val="-4"/>
        </w:rPr>
        <w:t> </w:t>
      </w:r>
      <w:r>
        <w:rPr/>
        <w:t>Department</w:t>
      </w:r>
      <w:r>
        <w:rPr>
          <w:spacing w:val="-7"/>
        </w:rPr>
        <w:t> </w:t>
      </w:r>
      <w:r>
        <w:rPr/>
        <w:t>with</w:t>
      </w:r>
      <w:r>
        <w:rPr>
          <w:spacing w:val="-6"/>
        </w:rPr>
        <w:t> </w:t>
      </w:r>
      <w:r>
        <w:rPr/>
        <w:t>potenfially</w:t>
      </w:r>
      <w:r>
        <w:rPr>
          <w:spacing w:val="-6"/>
        </w:rPr>
        <w:t> </w:t>
      </w:r>
      <w:r>
        <w:rPr/>
        <w:t>preventable</w:t>
      </w:r>
      <w:r>
        <w:rPr>
          <w:spacing w:val="-4"/>
        </w:rPr>
        <w:t> </w:t>
      </w:r>
      <w:r>
        <w:rPr/>
        <w:t>condifions. Yates County residents seek care at the Emergency Department 39% more than the NYS average</w:t>
      </w:r>
      <w:hyperlink w:history="true" w:anchor="_bookmark35">
        <w:r>
          <w:rPr/>
          <w:t>.</w:t>
        </w:r>
        <w:r>
          <w:rPr>
            <w:vertAlign w:val="superscript"/>
          </w:rPr>
          <w:t>67</w:t>
        </w:r>
      </w:hyperlink>
      <w:r>
        <w:rPr>
          <w:vertAlign w:val="baseline"/>
        </w:rPr>
        <w:t> This may further result in increased health care costs and lost workdays, reinforcing the cycle of poverty.</w:t>
      </w:r>
    </w:p>
    <w:p>
      <w:pPr>
        <w:pStyle w:val="BodyText"/>
        <w:spacing w:line="259" w:lineRule="auto" w:before="161"/>
        <w:ind w:right="1436"/>
      </w:pPr>
      <w:r>
        <w:rPr/>
        <w:t>Focus group parficipants consistently expressed concerns about high health care costs and diﬃculty navigafing</w:t>
      </w:r>
      <w:r>
        <w:rPr>
          <w:spacing w:val="-5"/>
        </w:rPr>
        <w:t> </w:t>
      </w:r>
      <w:r>
        <w:rPr/>
        <w:t>insurance.</w:t>
      </w:r>
      <w:r>
        <w:rPr>
          <w:spacing w:val="-5"/>
        </w:rPr>
        <w:t> </w:t>
      </w:r>
      <w:r>
        <w:rPr/>
        <w:t>They</w:t>
      </w:r>
      <w:r>
        <w:rPr>
          <w:spacing w:val="-6"/>
        </w:rPr>
        <w:t> </w:t>
      </w:r>
      <w:r>
        <w:rPr/>
        <w:t>noted</w:t>
      </w:r>
      <w:r>
        <w:rPr>
          <w:spacing w:val="-8"/>
        </w:rPr>
        <w:t> </w:t>
      </w:r>
      <w:r>
        <w:rPr/>
        <w:t>that</w:t>
      </w:r>
      <w:r>
        <w:rPr>
          <w:spacing w:val="-4"/>
        </w:rPr>
        <w:t> </w:t>
      </w:r>
      <w:r>
        <w:rPr/>
        <w:t>the</w:t>
      </w:r>
      <w:r>
        <w:rPr>
          <w:spacing w:val="-7"/>
        </w:rPr>
        <w:t> </w:t>
      </w:r>
      <w:r>
        <w:rPr/>
        <w:t>cost</w:t>
      </w:r>
      <w:r>
        <w:rPr>
          <w:spacing w:val="-7"/>
        </w:rPr>
        <w:t> </w:t>
      </w:r>
      <w:r>
        <w:rPr/>
        <w:t>of</w:t>
      </w:r>
      <w:r>
        <w:rPr>
          <w:spacing w:val="-7"/>
        </w:rPr>
        <w:t> </w:t>
      </w:r>
      <w:r>
        <w:rPr/>
        <w:t>even</w:t>
      </w:r>
      <w:r>
        <w:rPr>
          <w:spacing w:val="-8"/>
        </w:rPr>
        <w:t> </w:t>
      </w:r>
      <w:r>
        <w:rPr/>
        <w:t>basic</w:t>
      </w:r>
      <w:r>
        <w:rPr>
          <w:spacing w:val="-4"/>
        </w:rPr>
        <w:t> </w:t>
      </w:r>
      <w:r>
        <w:rPr/>
        <w:t>health</w:t>
      </w:r>
      <w:r>
        <w:rPr>
          <w:spacing w:val="-5"/>
        </w:rPr>
        <w:t> </w:t>
      </w:r>
      <w:r>
        <w:rPr/>
        <w:t>care</w:t>
      </w:r>
      <w:r>
        <w:rPr>
          <w:spacing w:val="-4"/>
        </w:rPr>
        <w:t> </w:t>
      </w:r>
      <w:r>
        <w:rPr/>
        <w:t>is</w:t>
      </w:r>
      <w:r>
        <w:rPr>
          <w:spacing w:val="-5"/>
        </w:rPr>
        <w:t> </w:t>
      </w:r>
      <w:r>
        <w:rPr/>
        <w:t>unaﬀordable</w:t>
      </w:r>
      <w:r>
        <w:rPr>
          <w:spacing w:val="-4"/>
        </w:rPr>
        <w:t> </w:t>
      </w:r>
      <w:r>
        <w:rPr/>
        <w:t>for</w:t>
      </w:r>
      <w:r>
        <w:rPr>
          <w:spacing w:val="-8"/>
        </w:rPr>
        <w:t> </w:t>
      </w:r>
      <w:r>
        <w:rPr/>
        <w:t>many</w:t>
      </w:r>
      <w:r>
        <w:rPr>
          <w:spacing w:val="-4"/>
        </w:rPr>
        <w:t> </w:t>
      </w:r>
      <w:r>
        <w:rPr/>
        <w:t>families and the insurance systems are diﬃcult to navigate.</w:t>
      </w:r>
    </w:p>
    <w:p>
      <w:pPr>
        <w:pStyle w:val="BodyText"/>
        <w:spacing w:line="259" w:lineRule="auto" w:before="159"/>
        <w:ind w:right="1436"/>
      </w:pPr>
      <w:r>
        <w:rPr/>
        <w:t>Limited</w:t>
      </w:r>
      <w:r>
        <w:rPr>
          <w:spacing w:val="-1"/>
        </w:rPr>
        <w:t> </w:t>
      </w:r>
      <w:r>
        <w:rPr/>
        <w:t>transportafion</w:t>
      </w:r>
      <w:r>
        <w:rPr>
          <w:spacing w:val="-1"/>
        </w:rPr>
        <w:t> </w:t>
      </w:r>
      <w:r>
        <w:rPr/>
        <w:t>and</w:t>
      </w:r>
      <w:r>
        <w:rPr>
          <w:spacing w:val="-3"/>
        </w:rPr>
        <w:t> </w:t>
      </w:r>
      <w:r>
        <w:rPr/>
        <w:t>its eﬀect</w:t>
      </w:r>
      <w:r>
        <w:rPr>
          <w:spacing w:val="-2"/>
        </w:rPr>
        <w:t> </w:t>
      </w:r>
      <w:r>
        <w:rPr/>
        <w:t>on access to care</w:t>
      </w:r>
      <w:r>
        <w:rPr>
          <w:spacing w:val="-1"/>
        </w:rPr>
        <w:t> </w:t>
      </w:r>
      <w:r>
        <w:rPr/>
        <w:t>were</w:t>
      </w:r>
      <w:r>
        <w:rPr>
          <w:spacing w:val="-2"/>
        </w:rPr>
        <w:t> </w:t>
      </w:r>
      <w:r>
        <w:rPr/>
        <w:t>common</w:t>
      </w:r>
      <w:r>
        <w:rPr>
          <w:spacing w:val="-3"/>
        </w:rPr>
        <w:t> </w:t>
      </w:r>
      <w:r>
        <w:rPr/>
        <w:t>concerns among focus groups. This concern</w:t>
      </w:r>
      <w:r>
        <w:rPr>
          <w:spacing w:val="-4"/>
        </w:rPr>
        <w:t> </w:t>
      </w:r>
      <w:r>
        <w:rPr/>
        <w:t>is</w:t>
      </w:r>
      <w:r>
        <w:rPr>
          <w:spacing w:val="-5"/>
        </w:rPr>
        <w:t> </w:t>
      </w:r>
      <w:r>
        <w:rPr/>
        <w:t>parficularly</w:t>
      </w:r>
      <w:r>
        <w:rPr>
          <w:spacing w:val="-4"/>
        </w:rPr>
        <w:t> </w:t>
      </w:r>
      <w:r>
        <w:rPr/>
        <w:t>true</w:t>
      </w:r>
      <w:r>
        <w:rPr>
          <w:spacing w:val="-5"/>
        </w:rPr>
        <w:t> </w:t>
      </w:r>
      <w:r>
        <w:rPr/>
        <w:t>for</w:t>
      </w:r>
      <w:r>
        <w:rPr>
          <w:spacing w:val="-3"/>
        </w:rPr>
        <w:t> </w:t>
      </w:r>
      <w:r>
        <w:rPr/>
        <w:t>specialty</w:t>
      </w:r>
      <w:r>
        <w:rPr>
          <w:spacing w:val="-4"/>
        </w:rPr>
        <w:t> </w:t>
      </w:r>
      <w:r>
        <w:rPr/>
        <w:t>care</w:t>
      </w:r>
      <w:r>
        <w:rPr>
          <w:spacing w:val="-5"/>
        </w:rPr>
        <w:t> </w:t>
      </w:r>
      <w:r>
        <w:rPr/>
        <w:t>services</w:t>
      </w:r>
      <w:r>
        <w:rPr>
          <w:spacing w:val="-3"/>
        </w:rPr>
        <w:t> </w:t>
      </w:r>
      <w:r>
        <w:rPr/>
        <w:t>such</w:t>
      </w:r>
      <w:r>
        <w:rPr>
          <w:spacing w:val="-4"/>
        </w:rPr>
        <w:t> </w:t>
      </w:r>
      <w:r>
        <w:rPr/>
        <w:t>as</w:t>
      </w:r>
      <w:r>
        <w:rPr>
          <w:spacing w:val="-3"/>
        </w:rPr>
        <w:t> </w:t>
      </w:r>
      <w:r>
        <w:rPr/>
        <w:t>cancer</w:t>
      </w:r>
      <w:r>
        <w:rPr>
          <w:spacing w:val="-5"/>
        </w:rPr>
        <w:t> </w:t>
      </w:r>
      <w:r>
        <w:rPr/>
        <w:t>and</w:t>
      </w:r>
      <w:r>
        <w:rPr>
          <w:spacing w:val="-4"/>
        </w:rPr>
        <w:t> </w:t>
      </w:r>
      <w:r>
        <w:rPr/>
        <w:t>cardiac</w:t>
      </w:r>
      <w:r>
        <w:rPr>
          <w:spacing w:val="-2"/>
        </w:rPr>
        <w:t> </w:t>
      </w:r>
      <w:r>
        <w:rPr/>
        <w:t>care</w:t>
      </w:r>
      <w:r>
        <w:rPr>
          <w:spacing w:val="-2"/>
        </w:rPr>
        <w:t> </w:t>
      </w:r>
      <w:r>
        <w:rPr/>
        <w:t>-</w:t>
      </w:r>
      <w:r>
        <w:rPr>
          <w:spacing w:val="-3"/>
        </w:rPr>
        <w:t> </w:t>
      </w:r>
      <w:r>
        <w:rPr/>
        <w:t>two</w:t>
      </w:r>
      <w:r>
        <w:rPr>
          <w:spacing w:val="-4"/>
        </w:rPr>
        <w:t> </w:t>
      </w:r>
      <w:r>
        <w:rPr/>
        <w:t>of</w:t>
      </w:r>
      <w:r>
        <w:rPr>
          <w:spacing w:val="-5"/>
        </w:rPr>
        <w:t> </w:t>
      </w:r>
      <w:r>
        <w:rPr/>
        <w:t>the</w:t>
      </w:r>
      <w:r>
        <w:rPr>
          <w:spacing w:val="-2"/>
        </w:rPr>
        <w:t> </w:t>
      </w:r>
      <w:r>
        <w:rPr/>
        <w:t>leading causes of death in Yates County</w:t>
      </w:r>
      <w:hyperlink w:history="true" w:anchor="_bookmark36">
        <w:r>
          <w:rPr/>
          <w:t>.</w:t>
        </w:r>
        <w:r>
          <w:rPr>
            <w:vertAlign w:val="superscript"/>
          </w:rPr>
          <w:t>68</w:t>
        </w:r>
      </w:hyperlink>
      <w:r>
        <w:rPr>
          <w:vertAlign w:val="baseline"/>
        </w:rPr>
        <w:t> Many individuals report struggling to get to appointments due to unreliable public transportafion or a lack of personal vehicles. Moreover, many focus group members noted the need to travel an hour or more to access certain specialfies. This again results in addifional fime loss at work and increased personal expenses for the individual.</w:t>
      </w:r>
    </w:p>
    <w:p>
      <w:pPr>
        <w:pStyle w:val="BodyText"/>
        <w:spacing w:line="259" w:lineRule="auto" w:before="158"/>
        <w:ind w:right="1467"/>
      </w:pPr>
      <w:r>
        <w:rPr/>
        <w:t>Despite a nafionwide proliferafion of telehealth and telemedicine services, access to and use of broadband</w:t>
      </w:r>
      <w:r>
        <w:rPr>
          <w:spacing w:val="-6"/>
        </w:rPr>
        <w:t> </w:t>
      </w:r>
      <w:r>
        <w:rPr/>
        <w:t>services</w:t>
      </w:r>
      <w:r>
        <w:rPr>
          <w:spacing w:val="-6"/>
        </w:rPr>
        <w:t> </w:t>
      </w:r>
      <w:r>
        <w:rPr/>
        <w:t>in</w:t>
      </w:r>
      <w:r>
        <w:rPr>
          <w:spacing w:val="-8"/>
        </w:rPr>
        <w:t> </w:t>
      </w:r>
      <w:r>
        <w:rPr/>
        <w:t>Yates</w:t>
      </w:r>
      <w:r>
        <w:rPr>
          <w:spacing w:val="-6"/>
        </w:rPr>
        <w:t> </w:t>
      </w:r>
      <w:r>
        <w:rPr/>
        <w:t>County</w:t>
      </w:r>
      <w:r>
        <w:rPr>
          <w:spacing w:val="-5"/>
        </w:rPr>
        <w:t> </w:t>
      </w:r>
      <w:r>
        <w:rPr/>
        <w:t>is</w:t>
      </w:r>
      <w:r>
        <w:rPr>
          <w:spacing w:val="-6"/>
        </w:rPr>
        <w:t> </w:t>
      </w:r>
      <w:r>
        <w:rPr/>
        <w:t>limited.</w:t>
      </w:r>
      <w:r>
        <w:rPr>
          <w:spacing w:val="-6"/>
        </w:rPr>
        <w:t> </w:t>
      </w:r>
      <w:r>
        <w:rPr/>
        <w:t>High-speed,</w:t>
      </w:r>
      <w:r>
        <w:rPr>
          <w:spacing w:val="-6"/>
        </w:rPr>
        <w:t> </w:t>
      </w:r>
      <w:r>
        <w:rPr/>
        <w:t>quality</w:t>
      </w:r>
      <w:r>
        <w:rPr>
          <w:spacing w:val="-7"/>
        </w:rPr>
        <w:t> </w:t>
      </w:r>
      <w:r>
        <w:rPr/>
        <w:t>internet</w:t>
      </w:r>
      <w:r>
        <w:rPr>
          <w:spacing w:val="-6"/>
        </w:rPr>
        <w:t> </w:t>
      </w:r>
      <w:r>
        <w:rPr/>
        <w:t>connecfion</w:t>
      </w:r>
      <w:r>
        <w:rPr>
          <w:spacing w:val="-7"/>
        </w:rPr>
        <w:t> </w:t>
      </w:r>
      <w:r>
        <w:rPr/>
        <w:t>enables</w:t>
      </w:r>
      <w:r>
        <w:rPr>
          <w:spacing w:val="-6"/>
        </w:rPr>
        <w:t> </w:t>
      </w:r>
      <w:r>
        <w:rPr/>
        <w:t>residents to access essenfial services such as telehealth, online health informafion, appointment scheduling, and remote monitoring - tools that are vital for rural communifies and those with limited transportafion.</w:t>
      </w:r>
    </w:p>
    <w:p>
      <w:pPr>
        <w:pStyle w:val="BodyText"/>
        <w:spacing w:line="259" w:lineRule="auto"/>
        <w:ind w:right="1467"/>
      </w:pPr>
      <w:r>
        <w:rPr/>
        <w:t>Reliable internet also supports health educafion, emergency communicafion, social connecfion, and access to beneﬁts and resources, helping reduce disparifies and improve overall community well-being. Broadband</w:t>
      </w:r>
      <w:r>
        <w:rPr>
          <w:spacing w:val="-5"/>
        </w:rPr>
        <w:t> </w:t>
      </w:r>
      <w:r>
        <w:rPr/>
        <w:t>access</w:t>
      </w:r>
      <w:r>
        <w:rPr>
          <w:spacing w:val="-6"/>
        </w:rPr>
        <w:t> </w:t>
      </w:r>
      <w:r>
        <w:rPr/>
        <w:t>in</w:t>
      </w:r>
      <w:r>
        <w:rPr>
          <w:spacing w:val="-5"/>
        </w:rPr>
        <w:t> </w:t>
      </w:r>
      <w:r>
        <w:rPr/>
        <w:t>Yates</w:t>
      </w:r>
      <w:r>
        <w:rPr>
          <w:spacing w:val="-6"/>
        </w:rPr>
        <w:t> </w:t>
      </w:r>
      <w:r>
        <w:rPr/>
        <w:t>County,</w:t>
      </w:r>
      <w:r>
        <w:rPr>
          <w:spacing w:val="-4"/>
        </w:rPr>
        <w:t> </w:t>
      </w:r>
      <w:r>
        <w:rPr/>
        <w:t>as</w:t>
      </w:r>
      <w:r>
        <w:rPr>
          <w:spacing w:val="-6"/>
        </w:rPr>
        <w:t> </w:t>
      </w:r>
      <w:r>
        <w:rPr/>
        <w:t>measured</w:t>
      </w:r>
      <w:r>
        <w:rPr>
          <w:spacing w:val="-7"/>
        </w:rPr>
        <w:t> </w:t>
      </w:r>
      <w:r>
        <w:rPr/>
        <w:t>in</w:t>
      </w:r>
      <w:r>
        <w:rPr>
          <w:spacing w:val="-5"/>
        </w:rPr>
        <w:t> </w:t>
      </w:r>
      <w:r>
        <w:rPr/>
        <w:t>the</w:t>
      </w:r>
      <w:r>
        <w:rPr>
          <w:spacing w:val="-5"/>
        </w:rPr>
        <w:t> </w:t>
      </w:r>
      <w:r>
        <w:rPr/>
        <w:t>2025</w:t>
      </w:r>
      <w:r>
        <w:rPr>
          <w:spacing w:val="-5"/>
        </w:rPr>
        <w:t> </w:t>
      </w:r>
      <w:r>
        <w:rPr/>
        <w:t>County</w:t>
      </w:r>
      <w:r>
        <w:rPr>
          <w:spacing w:val="-4"/>
        </w:rPr>
        <w:t> </w:t>
      </w:r>
      <w:r>
        <w:rPr/>
        <w:t>Health</w:t>
      </w:r>
      <w:r>
        <w:rPr>
          <w:spacing w:val="-4"/>
        </w:rPr>
        <w:t> </w:t>
      </w:r>
      <w:r>
        <w:rPr/>
        <w:t>Rankings,</w:t>
      </w:r>
      <w:r>
        <w:rPr>
          <w:spacing w:val="-4"/>
        </w:rPr>
        <w:t> </w:t>
      </w:r>
      <w:r>
        <w:rPr/>
        <w:t>is</w:t>
      </w:r>
      <w:r>
        <w:rPr>
          <w:spacing w:val="-4"/>
        </w:rPr>
        <w:t> </w:t>
      </w:r>
      <w:r>
        <w:rPr/>
        <w:t>78%,</w:t>
      </w:r>
      <w:r>
        <w:rPr>
          <w:spacing w:val="-6"/>
        </w:rPr>
        <w:t> </w:t>
      </w:r>
      <w:r>
        <w:rPr/>
        <w:t>while</w:t>
      </w:r>
      <w:r>
        <w:rPr>
          <w:spacing w:val="-4"/>
        </w:rPr>
        <w:t> </w:t>
      </w:r>
      <w:r>
        <w:rPr/>
        <w:t>NYS</w:t>
      </w:r>
      <w:r>
        <w:rPr>
          <w:spacing w:val="-7"/>
        </w:rPr>
        <w:t> </w:t>
      </w:r>
      <w:r>
        <w:rPr/>
        <w:t>is 90%. The percentage of the populafion with no access to broadband services, meaning broadband is simply not available in their area, is 6.7% in Yates, compared to just 1.3% in NYS as a whole</w:t>
      </w:r>
      <w:hyperlink w:history="true" w:anchor="_bookmark37">
        <w:r>
          <w:rPr/>
          <w:t>.</w:t>
        </w:r>
        <w:r>
          <w:rPr>
            <w:vertAlign w:val="superscript"/>
          </w:rPr>
          <w:t>69</w:t>
        </w:r>
      </w:hyperlink>
      <w:r>
        <w:rPr>
          <w:vertAlign w:val="baseline"/>
        </w:rPr>
        <w:t> This</w:t>
      </w:r>
      <w:r>
        <w:rPr>
          <w:vertAlign w:val="baseline"/>
        </w:rPr>
        <w:t> creates an addifional barrier to accessing alternafive means of care in an already underserved area.</w:t>
      </w:r>
    </w:p>
    <w:p>
      <w:pPr>
        <w:pStyle w:val="BodyText"/>
        <w:spacing w:line="259" w:lineRule="auto" w:before="158"/>
        <w:ind w:right="1588"/>
      </w:pPr>
      <w:r>
        <w:rPr/>
        <w:t>In lieu of access challenges, chronic disease prevenfion emerges as a central concern for the county. Prevenfing chronic diseases is essenfial to supporfing a community’s overall health and well-being. In Yates</w:t>
      </w:r>
      <w:r>
        <w:rPr>
          <w:spacing w:val="-3"/>
        </w:rPr>
        <w:t> </w:t>
      </w:r>
      <w:r>
        <w:rPr/>
        <w:t>County,</w:t>
      </w:r>
      <w:r>
        <w:rPr>
          <w:spacing w:val="-3"/>
        </w:rPr>
        <w:t> </w:t>
      </w:r>
      <w:r>
        <w:rPr/>
        <w:t>condifions</w:t>
      </w:r>
      <w:r>
        <w:rPr>
          <w:spacing w:val="-5"/>
        </w:rPr>
        <w:t> </w:t>
      </w:r>
      <w:r>
        <w:rPr/>
        <w:t>such</w:t>
      </w:r>
      <w:r>
        <w:rPr>
          <w:spacing w:val="-4"/>
        </w:rPr>
        <w:t> </w:t>
      </w:r>
      <w:r>
        <w:rPr/>
        <w:t>as</w:t>
      </w:r>
      <w:r>
        <w:rPr>
          <w:spacing w:val="-3"/>
        </w:rPr>
        <w:t> </w:t>
      </w:r>
      <w:r>
        <w:rPr/>
        <w:t>diabetes</w:t>
      </w:r>
      <w:r>
        <w:rPr>
          <w:spacing w:val="-5"/>
        </w:rPr>
        <w:t> </w:t>
      </w:r>
      <w:r>
        <w:rPr/>
        <w:t>and</w:t>
      </w:r>
      <w:r>
        <w:rPr>
          <w:spacing w:val="-4"/>
        </w:rPr>
        <w:t> </w:t>
      </w:r>
      <w:r>
        <w:rPr/>
        <w:t>obesity</w:t>
      </w:r>
      <w:r>
        <w:rPr>
          <w:spacing w:val="-6"/>
        </w:rPr>
        <w:t> </w:t>
      </w:r>
      <w:r>
        <w:rPr/>
        <w:t>aﬀect</w:t>
      </w:r>
      <w:r>
        <w:rPr>
          <w:spacing w:val="-5"/>
        </w:rPr>
        <w:t> </w:t>
      </w:r>
      <w:r>
        <w:rPr/>
        <w:t>a</w:t>
      </w:r>
      <w:r>
        <w:rPr>
          <w:spacing w:val="-3"/>
        </w:rPr>
        <w:t> </w:t>
      </w:r>
      <w:r>
        <w:rPr/>
        <w:t>signiﬁcant</w:t>
      </w:r>
      <w:r>
        <w:rPr>
          <w:spacing w:val="-5"/>
        </w:rPr>
        <w:t> </w:t>
      </w:r>
      <w:r>
        <w:rPr/>
        <w:t>porfion</w:t>
      </w:r>
      <w:r>
        <w:rPr>
          <w:spacing w:val="-6"/>
        </w:rPr>
        <w:t> </w:t>
      </w:r>
      <w:r>
        <w:rPr/>
        <w:t>of</w:t>
      </w:r>
      <w:r>
        <w:rPr>
          <w:spacing w:val="-3"/>
        </w:rPr>
        <w:t> </w:t>
      </w:r>
      <w:r>
        <w:rPr/>
        <w:t>residents,</w:t>
      </w:r>
      <w:r>
        <w:rPr>
          <w:spacing w:val="-3"/>
        </w:rPr>
        <w:t> </w:t>
      </w:r>
      <w:r>
        <w:rPr/>
        <w:t>including both</w:t>
      </w:r>
      <w:r>
        <w:rPr>
          <w:spacing w:val="-3"/>
        </w:rPr>
        <w:t> </w:t>
      </w:r>
      <w:r>
        <w:rPr/>
        <w:t>adults</w:t>
      </w:r>
      <w:r>
        <w:rPr>
          <w:spacing w:val="-2"/>
        </w:rPr>
        <w:t> </w:t>
      </w:r>
      <w:r>
        <w:rPr/>
        <w:t>and</w:t>
      </w:r>
      <w:r>
        <w:rPr>
          <w:spacing w:val="-5"/>
        </w:rPr>
        <w:t> </w:t>
      </w:r>
      <w:r>
        <w:rPr/>
        <w:t>children.</w:t>
      </w:r>
      <w:r>
        <w:rPr>
          <w:spacing w:val="-4"/>
        </w:rPr>
        <w:t> </w:t>
      </w:r>
      <w:r>
        <w:rPr/>
        <w:t>In</w:t>
      </w:r>
      <w:r>
        <w:rPr>
          <w:spacing w:val="-5"/>
        </w:rPr>
        <w:t> </w:t>
      </w:r>
      <w:r>
        <w:rPr/>
        <w:t>2022,</w:t>
      </w:r>
      <w:r>
        <w:rPr>
          <w:spacing w:val="-3"/>
        </w:rPr>
        <w:t> </w:t>
      </w:r>
      <w:r>
        <w:rPr/>
        <w:t>the</w:t>
      </w:r>
      <w:r>
        <w:rPr>
          <w:spacing w:val="-4"/>
        </w:rPr>
        <w:t> </w:t>
      </w:r>
      <w:r>
        <w:rPr/>
        <w:t>prevalence</w:t>
      </w:r>
      <w:r>
        <w:rPr>
          <w:spacing w:val="-4"/>
        </w:rPr>
        <w:t> </w:t>
      </w:r>
      <w:r>
        <w:rPr/>
        <w:t>of</w:t>
      </w:r>
      <w:r>
        <w:rPr>
          <w:spacing w:val="-4"/>
        </w:rPr>
        <w:t> </w:t>
      </w:r>
      <w:r>
        <w:rPr/>
        <w:t>adults</w:t>
      </w:r>
      <w:r>
        <w:rPr>
          <w:spacing w:val="-5"/>
        </w:rPr>
        <w:t> </w:t>
      </w:r>
      <w:r>
        <w:rPr/>
        <w:t>over</w:t>
      </w:r>
      <w:r>
        <w:rPr>
          <w:spacing w:val="-5"/>
        </w:rPr>
        <w:t> </w:t>
      </w:r>
      <w:r>
        <w:rPr/>
        <w:t>age</w:t>
      </w:r>
      <w:r>
        <w:rPr>
          <w:spacing w:val="-4"/>
        </w:rPr>
        <w:t> </w:t>
      </w:r>
      <w:r>
        <w:rPr/>
        <w:t>20</w:t>
      </w:r>
      <w:r>
        <w:rPr>
          <w:spacing w:val="-4"/>
        </w:rPr>
        <w:t> </w:t>
      </w:r>
      <w:r>
        <w:rPr/>
        <w:t>with</w:t>
      </w:r>
      <w:r>
        <w:rPr>
          <w:spacing w:val="-4"/>
        </w:rPr>
        <w:t> </w:t>
      </w:r>
      <w:r>
        <w:rPr/>
        <w:t>diagnosed</w:t>
      </w:r>
      <w:r>
        <w:rPr>
          <w:spacing w:val="-4"/>
        </w:rPr>
        <w:t> </w:t>
      </w:r>
      <w:r>
        <w:rPr/>
        <w:t>diabetes</w:t>
      </w:r>
      <w:r>
        <w:rPr>
          <w:spacing w:val="-3"/>
        </w:rPr>
        <w:t> </w:t>
      </w:r>
      <w:r>
        <w:rPr/>
        <w:t>is</w:t>
      </w:r>
      <w:r>
        <w:rPr>
          <w:spacing w:val="-4"/>
        </w:rPr>
        <w:t> </w:t>
      </w:r>
      <w:r>
        <w:rPr/>
        <w:t>10%; in 2021, the percentage of adults with obesity was 31.8%; and in 2023, the percentage of children and adolescents with obesity was 27.9%. Each of these measures has increased steadily over the past 7–9 years, except for adult obesity, which declined slightly in 2018 before rising again in 2021.</w:t>
      </w:r>
    </w:p>
    <w:p>
      <w:pPr>
        <w:pStyle w:val="BodyText"/>
        <w:ind w:left="0"/>
        <w:rPr>
          <w:sz w:val="20"/>
        </w:rPr>
      </w:pPr>
    </w:p>
    <w:p>
      <w:pPr>
        <w:pStyle w:val="BodyText"/>
        <w:spacing w:before="11"/>
        <w:ind w:left="0"/>
        <w:rPr>
          <w:sz w:val="20"/>
        </w:rPr>
      </w:pPr>
      <w:r>
        <w:rPr>
          <w:sz w:val="20"/>
        </w:rPr>
        <mc:AlternateContent>
          <mc:Choice Requires="wps">
            <w:drawing>
              <wp:anchor distT="0" distB="0" distL="0" distR="0" allowOverlap="1" layoutInCell="1" locked="0" behindDoc="1" simplePos="0" relativeHeight="487607808">
                <wp:simplePos x="0" y="0"/>
                <wp:positionH relativeFrom="page">
                  <wp:posOffset>914400</wp:posOffset>
                </wp:positionH>
                <wp:positionV relativeFrom="paragraph">
                  <wp:posOffset>177579</wp:posOffset>
                </wp:positionV>
                <wp:extent cx="1828800" cy="9525"/>
                <wp:effectExtent l="0" t="0" r="0" b="0"/>
                <wp:wrapTopAndBottom/>
                <wp:docPr id="94" name="Graphic 94"/>
                <wp:cNvGraphicFramePr>
                  <a:graphicFrameLocks/>
                </wp:cNvGraphicFramePr>
                <a:graphic>
                  <a:graphicData uri="http://schemas.microsoft.com/office/word/2010/wordprocessingShape">
                    <wps:wsp>
                      <wps:cNvPr id="94" name="Graphic 94"/>
                      <wps:cNvSpPr/>
                      <wps:spPr>
                        <a:xfrm>
                          <a:off x="0" y="0"/>
                          <a:ext cx="1828800" cy="9525"/>
                        </a:xfrm>
                        <a:custGeom>
                          <a:avLst/>
                          <a:gdLst/>
                          <a:ahLst/>
                          <a:cxnLst/>
                          <a:rect l="l" t="t" r="r" b="b"/>
                          <a:pathLst>
                            <a:path w="1828800" h="9525">
                              <a:moveTo>
                                <a:pt x="1828800" y="0"/>
                              </a:moveTo>
                              <a:lnTo>
                                <a:pt x="0" y="0"/>
                              </a:lnTo>
                              <a:lnTo>
                                <a:pt x="0" y="9144"/>
                              </a:lnTo>
                              <a:lnTo>
                                <a:pt x="1828800" y="914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13.982666pt;width:144pt;height:.72pt;mso-position-horizontal-relative:page;mso-position-vertical-relative:paragraph;z-index:-15708672;mso-wrap-distance-left:0;mso-wrap-distance-right:0" id="docshape74" filled="true" fillcolor="#000000" stroked="false">
                <v:fill type="solid"/>
                <w10:wrap type="topAndBottom"/>
              </v:rect>
            </w:pict>
          </mc:Fallback>
        </mc:AlternateContent>
      </w:r>
    </w:p>
    <w:p>
      <w:pPr>
        <w:spacing w:before="102"/>
        <w:ind w:left="1440" w:right="0" w:firstLine="0"/>
        <w:jc w:val="left"/>
        <w:rPr>
          <w:sz w:val="20"/>
        </w:rPr>
      </w:pPr>
      <w:r>
        <w:rPr>
          <w:sz w:val="20"/>
          <w:vertAlign w:val="superscript"/>
        </w:rPr>
        <w:t>66</w:t>
      </w:r>
      <w:r>
        <w:rPr>
          <w:spacing w:val="-10"/>
          <w:sz w:val="20"/>
          <w:vertAlign w:val="baseline"/>
        </w:rPr>
        <w:t> </w:t>
      </w:r>
      <w:bookmarkStart w:name="_bookmark34" w:id="35"/>
      <w:bookmarkEnd w:id="35"/>
      <w:r>
        <w:rPr>
          <w:sz w:val="20"/>
          <w:vertAlign w:val="baseline"/>
        </w:rPr>
        <w:t>S</w:t>
      </w:r>
      <w:r>
        <w:rPr>
          <w:sz w:val="20"/>
          <w:vertAlign w:val="baseline"/>
        </w:rPr>
        <w:t>ource:</w:t>
      </w:r>
      <w:r>
        <w:rPr>
          <w:spacing w:val="-8"/>
          <w:sz w:val="20"/>
          <w:vertAlign w:val="baseline"/>
        </w:rPr>
        <w:t> </w:t>
      </w:r>
      <w:r>
        <w:rPr>
          <w:sz w:val="20"/>
          <w:vertAlign w:val="baseline"/>
        </w:rPr>
        <w:t>County</w:t>
      </w:r>
      <w:r>
        <w:rPr>
          <w:spacing w:val="-7"/>
          <w:sz w:val="20"/>
          <w:vertAlign w:val="baseline"/>
        </w:rPr>
        <w:t> </w:t>
      </w:r>
      <w:r>
        <w:rPr>
          <w:sz w:val="20"/>
          <w:vertAlign w:val="baseline"/>
        </w:rPr>
        <w:t>Health</w:t>
      </w:r>
      <w:r>
        <w:rPr>
          <w:spacing w:val="-8"/>
          <w:sz w:val="20"/>
          <w:vertAlign w:val="baseline"/>
        </w:rPr>
        <w:t> </w:t>
      </w:r>
      <w:r>
        <w:rPr>
          <w:sz w:val="20"/>
          <w:vertAlign w:val="baseline"/>
        </w:rPr>
        <w:t>Rankings</w:t>
      </w:r>
      <w:r>
        <w:rPr>
          <w:spacing w:val="-9"/>
          <w:sz w:val="20"/>
          <w:vertAlign w:val="baseline"/>
        </w:rPr>
        <w:t> </w:t>
      </w:r>
      <w:r>
        <w:rPr>
          <w:sz w:val="20"/>
          <w:vertAlign w:val="baseline"/>
        </w:rPr>
        <w:t>&amp;</w:t>
      </w:r>
      <w:r>
        <w:rPr>
          <w:spacing w:val="-7"/>
          <w:sz w:val="20"/>
          <w:vertAlign w:val="baseline"/>
        </w:rPr>
        <w:t> </w:t>
      </w:r>
      <w:r>
        <w:rPr>
          <w:sz w:val="20"/>
          <w:vertAlign w:val="baseline"/>
        </w:rPr>
        <w:t>Roadmaps,</w:t>
      </w:r>
      <w:r>
        <w:rPr>
          <w:spacing w:val="-8"/>
          <w:sz w:val="20"/>
          <w:vertAlign w:val="baseline"/>
        </w:rPr>
        <w:t> </w:t>
      </w:r>
      <w:r>
        <w:rPr>
          <w:spacing w:val="-4"/>
          <w:sz w:val="20"/>
          <w:vertAlign w:val="baseline"/>
        </w:rPr>
        <w:t>2025</w:t>
      </w:r>
    </w:p>
    <w:p>
      <w:pPr>
        <w:spacing w:line="243" w:lineRule="exact" w:before="1"/>
        <w:ind w:left="1440" w:right="0" w:firstLine="0"/>
        <w:jc w:val="left"/>
        <w:rPr>
          <w:sz w:val="20"/>
        </w:rPr>
      </w:pPr>
      <w:r>
        <w:rPr>
          <w:sz w:val="20"/>
          <w:vertAlign w:val="superscript"/>
        </w:rPr>
        <w:t>67</w:t>
      </w:r>
      <w:r>
        <w:rPr>
          <w:spacing w:val="-11"/>
          <w:sz w:val="20"/>
          <w:vertAlign w:val="baseline"/>
        </w:rPr>
        <w:t> </w:t>
      </w:r>
      <w:bookmarkStart w:name="_bookmark35" w:id="36"/>
      <w:bookmarkEnd w:id="36"/>
      <w:r>
        <w:rPr>
          <w:sz w:val="20"/>
          <w:vertAlign w:val="baseline"/>
        </w:rPr>
        <w:t>S</w:t>
      </w:r>
      <w:r>
        <w:rPr>
          <w:sz w:val="20"/>
          <w:vertAlign w:val="baseline"/>
        </w:rPr>
        <w:t>ource:</w:t>
      </w:r>
      <w:r>
        <w:rPr>
          <w:spacing w:val="-10"/>
          <w:sz w:val="20"/>
          <w:vertAlign w:val="baseline"/>
        </w:rPr>
        <w:t> </w:t>
      </w:r>
      <w:r>
        <w:rPr>
          <w:sz w:val="20"/>
          <w:vertAlign w:val="baseline"/>
        </w:rPr>
        <w:t>New</w:t>
      </w:r>
      <w:r>
        <w:rPr>
          <w:spacing w:val="-11"/>
          <w:sz w:val="20"/>
          <w:vertAlign w:val="baseline"/>
        </w:rPr>
        <w:t> </w:t>
      </w:r>
      <w:r>
        <w:rPr>
          <w:sz w:val="20"/>
          <w:vertAlign w:val="baseline"/>
        </w:rPr>
        <w:t>York</w:t>
      </w:r>
      <w:r>
        <w:rPr>
          <w:spacing w:val="-9"/>
          <w:sz w:val="20"/>
          <w:vertAlign w:val="baseline"/>
        </w:rPr>
        <w:t> </w:t>
      </w:r>
      <w:r>
        <w:rPr>
          <w:sz w:val="20"/>
          <w:vertAlign w:val="baseline"/>
        </w:rPr>
        <w:t>State</w:t>
      </w:r>
      <w:r>
        <w:rPr>
          <w:spacing w:val="-11"/>
          <w:sz w:val="20"/>
          <w:vertAlign w:val="baseline"/>
        </w:rPr>
        <w:t> </w:t>
      </w:r>
      <w:r>
        <w:rPr>
          <w:sz w:val="20"/>
          <w:vertAlign w:val="baseline"/>
        </w:rPr>
        <w:t>Department</w:t>
      </w:r>
      <w:r>
        <w:rPr>
          <w:spacing w:val="-9"/>
          <w:sz w:val="20"/>
          <w:vertAlign w:val="baseline"/>
        </w:rPr>
        <w:t> </w:t>
      </w:r>
      <w:r>
        <w:rPr>
          <w:sz w:val="20"/>
          <w:vertAlign w:val="baseline"/>
        </w:rPr>
        <w:t>of</w:t>
      </w:r>
      <w:r>
        <w:rPr>
          <w:spacing w:val="-11"/>
          <w:sz w:val="20"/>
          <w:vertAlign w:val="baseline"/>
        </w:rPr>
        <w:t> </w:t>
      </w:r>
      <w:r>
        <w:rPr>
          <w:sz w:val="20"/>
          <w:vertAlign w:val="baseline"/>
        </w:rPr>
        <w:t>Health</w:t>
      </w:r>
      <w:r>
        <w:rPr>
          <w:spacing w:val="-9"/>
          <w:sz w:val="20"/>
          <w:vertAlign w:val="baseline"/>
        </w:rPr>
        <w:t> </w:t>
      </w:r>
      <w:r>
        <w:rPr>
          <w:sz w:val="20"/>
          <w:vertAlign w:val="baseline"/>
        </w:rPr>
        <w:t>Statewide</w:t>
      </w:r>
      <w:r>
        <w:rPr>
          <w:spacing w:val="-11"/>
          <w:sz w:val="20"/>
          <w:vertAlign w:val="baseline"/>
        </w:rPr>
        <w:t> </w:t>
      </w:r>
      <w:r>
        <w:rPr>
          <w:sz w:val="20"/>
          <w:vertAlign w:val="baseline"/>
        </w:rPr>
        <w:t>Planning</w:t>
      </w:r>
      <w:r>
        <w:rPr>
          <w:spacing w:val="-10"/>
          <w:sz w:val="20"/>
          <w:vertAlign w:val="baseline"/>
        </w:rPr>
        <w:t> </w:t>
      </w:r>
      <w:r>
        <w:rPr>
          <w:sz w:val="20"/>
          <w:vertAlign w:val="baseline"/>
        </w:rPr>
        <w:t>and</w:t>
      </w:r>
      <w:r>
        <w:rPr>
          <w:spacing w:val="-10"/>
          <w:sz w:val="20"/>
          <w:vertAlign w:val="baseline"/>
        </w:rPr>
        <w:t> </w:t>
      </w:r>
      <w:r>
        <w:rPr>
          <w:sz w:val="20"/>
          <w:vertAlign w:val="baseline"/>
        </w:rPr>
        <w:t>Research</w:t>
      </w:r>
      <w:r>
        <w:rPr>
          <w:spacing w:val="-9"/>
          <w:sz w:val="20"/>
          <w:vertAlign w:val="baseline"/>
        </w:rPr>
        <w:t> </w:t>
      </w:r>
      <w:r>
        <w:rPr>
          <w:sz w:val="20"/>
          <w:vertAlign w:val="baseline"/>
        </w:rPr>
        <w:t>Collaborafive,</w:t>
      </w:r>
      <w:r>
        <w:rPr>
          <w:spacing w:val="-9"/>
          <w:sz w:val="20"/>
          <w:vertAlign w:val="baseline"/>
        </w:rPr>
        <w:t> </w:t>
      </w:r>
      <w:r>
        <w:rPr>
          <w:spacing w:val="-4"/>
          <w:sz w:val="20"/>
          <w:vertAlign w:val="baseline"/>
        </w:rPr>
        <w:t>2023</w:t>
      </w:r>
    </w:p>
    <w:p>
      <w:pPr>
        <w:spacing w:line="243" w:lineRule="exact" w:before="0"/>
        <w:ind w:left="1440" w:right="0" w:firstLine="0"/>
        <w:jc w:val="left"/>
        <w:rPr>
          <w:sz w:val="20"/>
        </w:rPr>
      </w:pPr>
      <w:r>
        <w:rPr>
          <w:sz w:val="20"/>
          <w:vertAlign w:val="superscript"/>
        </w:rPr>
        <w:t>68</w:t>
      </w:r>
      <w:r>
        <w:rPr>
          <w:spacing w:val="-9"/>
          <w:sz w:val="20"/>
          <w:vertAlign w:val="baseline"/>
        </w:rPr>
        <w:t> </w:t>
      </w:r>
      <w:bookmarkStart w:name="_bookmark36" w:id="37"/>
      <w:bookmarkEnd w:id="37"/>
      <w:r>
        <w:rPr>
          <w:sz w:val="20"/>
          <w:vertAlign w:val="baseline"/>
        </w:rPr>
        <w:t>S</w:t>
      </w:r>
      <w:r>
        <w:rPr>
          <w:sz w:val="20"/>
          <w:vertAlign w:val="baseline"/>
        </w:rPr>
        <w:t>ource:</w:t>
      </w:r>
      <w:r>
        <w:rPr>
          <w:spacing w:val="-8"/>
          <w:sz w:val="20"/>
          <w:vertAlign w:val="baseline"/>
        </w:rPr>
        <w:t> </w:t>
      </w:r>
      <w:r>
        <w:rPr>
          <w:sz w:val="20"/>
          <w:vertAlign w:val="baseline"/>
        </w:rPr>
        <w:t>Vital</w:t>
      </w:r>
      <w:r>
        <w:rPr>
          <w:spacing w:val="-8"/>
          <w:sz w:val="20"/>
          <w:vertAlign w:val="baseline"/>
        </w:rPr>
        <w:t> </w:t>
      </w:r>
      <w:r>
        <w:rPr>
          <w:sz w:val="20"/>
          <w:vertAlign w:val="baseline"/>
        </w:rPr>
        <w:t>Stafisfics</w:t>
      </w:r>
      <w:r>
        <w:rPr>
          <w:spacing w:val="-7"/>
          <w:sz w:val="20"/>
          <w:vertAlign w:val="baseline"/>
        </w:rPr>
        <w:t> </w:t>
      </w:r>
      <w:r>
        <w:rPr>
          <w:sz w:val="20"/>
          <w:vertAlign w:val="baseline"/>
        </w:rPr>
        <w:t>Data,</w:t>
      </w:r>
      <w:r>
        <w:rPr>
          <w:spacing w:val="-6"/>
          <w:sz w:val="20"/>
          <w:vertAlign w:val="baseline"/>
        </w:rPr>
        <w:t> </w:t>
      </w:r>
      <w:r>
        <w:rPr>
          <w:spacing w:val="-4"/>
          <w:sz w:val="20"/>
          <w:vertAlign w:val="baseline"/>
        </w:rPr>
        <w:t>2024</w:t>
      </w:r>
    </w:p>
    <w:p>
      <w:pPr>
        <w:spacing w:before="0"/>
        <w:ind w:left="1440" w:right="0" w:firstLine="0"/>
        <w:jc w:val="left"/>
        <w:rPr>
          <w:sz w:val="20"/>
        </w:rPr>
      </w:pPr>
      <w:r>
        <w:rPr>
          <w:sz w:val="20"/>
          <w:vertAlign w:val="superscript"/>
        </w:rPr>
        <w:t>69</w:t>
      </w:r>
      <w:r>
        <w:rPr>
          <w:spacing w:val="-10"/>
          <w:sz w:val="20"/>
          <w:vertAlign w:val="baseline"/>
        </w:rPr>
        <w:t> </w:t>
      </w:r>
      <w:bookmarkStart w:name="_bookmark37" w:id="38"/>
      <w:bookmarkEnd w:id="38"/>
      <w:r>
        <w:rPr>
          <w:sz w:val="20"/>
          <w:vertAlign w:val="baseline"/>
        </w:rPr>
        <w:t>S</w:t>
      </w:r>
      <w:r>
        <w:rPr>
          <w:sz w:val="20"/>
          <w:vertAlign w:val="baseline"/>
        </w:rPr>
        <w:t>ource:</w:t>
      </w:r>
      <w:r>
        <w:rPr>
          <w:spacing w:val="-8"/>
          <w:sz w:val="20"/>
          <w:vertAlign w:val="baseline"/>
        </w:rPr>
        <w:t> </w:t>
      </w:r>
      <w:r>
        <w:rPr>
          <w:sz w:val="20"/>
          <w:vertAlign w:val="baseline"/>
        </w:rPr>
        <w:t>County</w:t>
      </w:r>
      <w:r>
        <w:rPr>
          <w:spacing w:val="-7"/>
          <w:sz w:val="20"/>
          <w:vertAlign w:val="baseline"/>
        </w:rPr>
        <w:t> </w:t>
      </w:r>
      <w:r>
        <w:rPr>
          <w:sz w:val="20"/>
          <w:vertAlign w:val="baseline"/>
        </w:rPr>
        <w:t>Health</w:t>
      </w:r>
      <w:r>
        <w:rPr>
          <w:spacing w:val="-8"/>
          <w:sz w:val="20"/>
          <w:vertAlign w:val="baseline"/>
        </w:rPr>
        <w:t> </w:t>
      </w:r>
      <w:r>
        <w:rPr>
          <w:sz w:val="20"/>
          <w:vertAlign w:val="baseline"/>
        </w:rPr>
        <w:t>Rankings</w:t>
      </w:r>
      <w:r>
        <w:rPr>
          <w:spacing w:val="-9"/>
          <w:sz w:val="20"/>
          <w:vertAlign w:val="baseline"/>
        </w:rPr>
        <w:t> </w:t>
      </w:r>
      <w:r>
        <w:rPr>
          <w:sz w:val="20"/>
          <w:vertAlign w:val="baseline"/>
        </w:rPr>
        <w:t>&amp;</w:t>
      </w:r>
      <w:r>
        <w:rPr>
          <w:spacing w:val="-7"/>
          <w:sz w:val="20"/>
          <w:vertAlign w:val="baseline"/>
        </w:rPr>
        <w:t> </w:t>
      </w:r>
      <w:r>
        <w:rPr>
          <w:sz w:val="20"/>
          <w:vertAlign w:val="baseline"/>
        </w:rPr>
        <w:t>Roadmaps,</w:t>
      </w:r>
      <w:r>
        <w:rPr>
          <w:spacing w:val="-8"/>
          <w:sz w:val="20"/>
          <w:vertAlign w:val="baseline"/>
        </w:rPr>
        <w:t> </w:t>
      </w:r>
      <w:r>
        <w:rPr>
          <w:spacing w:val="-4"/>
          <w:sz w:val="20"/>
          <w:vertAlign w:val="baseline"/>
        </w:rPr>
        <w:t>2025</w:t>
      </w:r>
    </w:p>
    <w:p>
      <w:pPr>
        <w:spacing w:after="0"/>
        <w:jc w:val="left"/>
        <w:rPr>
          <w:sz w:val="20"/>
        </w:rPr>
        <w:sectPr>
          <w:pgSz w:w="12240" w:h="15840"/>
          <w:pgMar w:header="161" w:footer="1223" w:top="1360" w:bottom="1420" w:left="0" w:right="0"/>
        </w:sectPr>
      </w:pPr>
    </w:p>
    <w:p>
      <w:pPr>
        <w:pStyle w:val="BodyText"/>
        <w:spacing w:line="259" w:lineRule="auto" w:before="64"/>
        <w:ind w:right="1467"/>
      </w:pPr>
      <w:r>
        <w:rPr/>
        <w:t>Monitoring and managing risk factors such as high blood sugar and blood pressure is crifical for addressing</w:t>
      </w:r>
      <w:r>
        <w:rPr>
          <w:spacing w:val="-5"/>
        </w:rPr>
        <w:t> </w:t>
      </w:r>
      <w:r>
        <w:rPr/>
        <w:t>chronic</w:t>
      </w:r>
      <w:r>
        <w:rPr>
          <w:spacing w:val="-5"/>
        </w:rPr>
        <w:t> </w:t>
      </w:r>
      <w:r>
        <w:rPr/>
        <w:t>disease</w:t>
      </w:r>
      <w:r>
        <w:rPr>
          <w:spacing w:val="-7"/>
        </w:rPr>
        <w:t> </w:t>
      </w:r>
      <w:r>
        <w:rPr/>
        <w:t>trends</w:t>
      </w:r>
      <w:r>
        <w:rPr>
          <w:spacing w:val="-5"/>
        </w:rPr>
        <w:t> </w:t>
      </w:r>
      <w:r>
        <w:rPr/>
        <w:t>in</w:t>
      </w:r>
      <w:r>
        <w:rPr>
          <w:spacing w:val="-6"/>
        </w:rPr>
        <w:t> </w:t>
      </w:r>
      <w:r>
        <w:rPr/>
        <w:t>Yates</w:t>
      </w:r>
      <w:r>
        <w:rPr>
          <w:spacing w:val="-7"/>
        </w:rPr>
        <w:t> </w:t>
      </w:r>
      <w:r>
        <w:rPr/>
        <w:t>County.</w:t>
      </w:r>
      <w:r>
        <w:rPr>
          <w:spacing w:val="-5"/>
        </w:rPr>
        <w:t> </w:t>
      </w:r>
      <w:r>
        <w:rPr/>
        <w:t>The</w:t>
      </w:r>
      <w:r>
        <w:rPr>
          <w:spacing w:val="-7"/>
        </w:rPr>
        <w:t> </w:t>
      </w:r>
      <w:r>
        <w:rPr/>
        <w:t>percentage</w:t>
      </w:r>
      <w:r>
        <w:rPr>
          <w:spacing w:val="-7"/>
        </w:rPr>
        <w:t> </w:t>
      </w:r>
      <w:r>
        <w:rPr/>
        <w:t>of</w:t>
      </w:r>
      <w:r>
        <w:rPr>
          <w:spacing w:val="-5"/>
        </w:rPr>
        <w:t> </w:t>
      </w:r>
      <w:r>
        <w:rPr/>
        <w:t>adults</w:t>
      </w:r>
      <w:r>
        <w:rPr>
          <w:spacing w:val="-5"/>
        </w:rPr>
        <w:t> </w:t>
      </w:r>
      <w:r>
        <w:rPr/>
        <w:t>aged</w:t>
      </w:r>
      <w:r>
        <w:rPr>
          <w:spacing w:val="-10"/>
        </w:rPr>
        <w:t> </w:t>
      </w:r>
      <w:r>
        <w:rPr/>
        <w:t>45+</w:t>
      </w:r>
      <w:r>
        <w:rPr>
          <w:spacing w:val="-7"/>
        </w:rPr>
        <w:t> </w:t>
      </w:r>
      <w:r>
        <w:rPr/>
        <w:t>who</w:t>
      </w:r>
      <w:r>
        <w:rPr>
          <w:spacing w:val="-4"/>
        </w:rPr>
        <w:t> </w:t>
      </w:r>
      <w:r>
        <w:rPr/>
        <w:t>had</w:t>
      </w:r>
      <w:r>
        <w:rPr>
          <w:spacing w:val="-6"/>
        </w:rPr>
        <w:t> </w:t>
      </w:r>
      <w:r>
        <w:rPr/>
        <w:t>a</w:t>
      </w:r>
      <w:r>
        <w:rPr>
          <w:spacing w:val="-7"/>
        </w:rPr>
        <w:t> </w:t>
      </w:r>
      <w:r>
        <w:rPr/>
        <w:t>test</w:t>
      </w:r>
      <w:r>
        <w:rPr>
          <w:spacing w:val="-7"/>
        </w:rPr>
        <w:t> </w:t>
      </w:r>
      <w:r>
        <w:rPr/>
        <w:t>for high</w:t>
      </w:r>
      <w:r>
        <w:rPr>
          <w:spacing w:val="-2"/>
        </w:rPr>
        <w:t> </w:t>
      </w:r>
      <w:r>
        <w:rPr/>
        <w:t>blood</w:t>
      </w:r>
      <w:r>
        <w:rPr>
          <w:spacing w:val="-2"/>
        </w:rPr>
        <w:t> </w:t>
      </w:r>
      <w:r>
        <w:rPr/>
        <w:t>sugar</w:t>
      </w:r>
      <w:r>
        <w:rPr>
          <w:spacing w:val="-3"/>
        </w:rPr>
        <w:t> </w:t>
      </w:r>
      <w:r>
        <w:rPr/>
        <w:t>or</w:t>
      </w:r>
      <w:r>
        <w:rPr>
          <w:spacing w:val="-1"/>
        </w:rPr>
        <w:t> </w:t>
      </w:r>
      <w:r>
        <w:rPr/>
        <w:t>diabetes</w:t>
      </w:r>
      <w:r>
        <w:rPr>
          <w:spacing w:val="-1"/>
        </w:rPr>
        <w:t> </w:t>
      </w:r>
      <w:r>
        <w:rPr/>
        <w:t>within</w:t>
      </w:r>
      <w:r>
        <w:rPr>
          <w:spacing w:val="-2"/>
        </w:rPr>
        <w:t> </w:t>
      </w:r>
      <w:r>
        <w:rPr/>
        <w:t>the past</w:t>
      </w:r>
      <w:r>
        <w:rPr>
          <w:spacing w:val="-3"/>
        </w:rPr>
        <w:t> </w:t>
      </w:r>
      <w:r>
        <w:rPr/>
        <w:t>three</w:t>
      </w:r>
      <w:r>
        <w:rPr>
          <w:spacing w:val="-3"/>
        </w:rPr>
        <w:t> </w:t>
      </w:r>
      <w:r>
        <w:rPr/>
        <w:t>years</w:t>
      </w:r>
      <w:r>
        <w:rPr>
          <w:spacing w:val="-1"/>
        </w:rPr>
        <w:t> </w:t>
      </w:r>
      <w:r>
        <w:rPr/>
        <w:t>increased</w:t>
      </w:r>
      <w:r>
        <w:rPr>
          <w:spacing w:val="-2"/>
        </w:rPr>
        <w:t> </w:t>
      </w:r>
      <w:r>
        <w:rPr/>
        <w:t>from</w:t>
      </w:r>
      <w:r>
        <w:rPr>
          <w:spacing w:val="-2"/>
        </w:rPr>
        <w:t> </w:t>
      </w:r>
      <w:r>
        <w:rPr/>
        <w:t>54.96% (2018)</w:t>
      </w:r>
      <w:r>
        <w:rPr>
          <w:spacing w:val="-1"/>
        </w:rPr>
        <w:t> </w:t>
      </w:r>
      <w:r>
        <w:rPr/>
        <w:t>to</w:t>
      </w:r>
      <w:r>
        <w:rPr>
          <w:spacing w:val="-2"/>
        </w:rPr>
        <w:t> </w:t>
      </w:r>
      <w:r>
        <w:rPr/>
        <w:t>69.6%</w:t>
      </w:r>
      <w:r>
        <w:rPr>
          <w:spacing w:val="-3"/>
        </w:rPr>
        <w:t> </w:t>
      </w:r>
      <w:r>
        <w:rPr/>
        <w:t>(2021), exceeding</w:t>
      </w:r>
      <w:r>
        <w:rPr>
          <w:spacing w:val="-4"/>
        </w:rPr>
        <w:t> </w:t>
      </w:r>
      <w:r>
        <w:rPr/>
        <w:t>the</w:t>
      </w:r>
      <w:r>
        <w:rPr>
          <w:spacing w:val="-5"/>
        </w:rPr>
        <w:t> </w:t>
      </w:r>
      <w:r>
        <w:rPr/>
        <w:t>state</w:t>
      </w:r>
      <w:r>
        <w:rPr>
          <w:spacing w:val="-2"/>
        </w:rPr>
        <w:t> </w:t>
      </w:r>
      <w:r>
        <w:rPr/>
        <w:t>average</w:t>
      </w:r>
      <w:r>
        <w:rPr>
          <w:spacing w:val="-2"/>
        </w:rPr>
        <w:t> </w:t>
      </w:r>
      <w:r>
        <w:rPr/>
        <w:t>of</w:t>
      </w:r>
      <w:r>
        <w:rPr>
          <w:spacing w:val="-5"/>
        </w:rPr>
        <w:t> </w:t>
      </w:r>
      <w:r>
        <w:rPr/>
        <w:t>63.8%.</w:t>
      </w:r>
      <w:r>
        <w:rPr>
          <w:spacing w:val="-3"/>
        </w:rPr>
        <w:t> </w:t>
      </w:r>
      <w:r>
        <w:rPr/>
        <w:t>Among</w:t>
      </w:r>
      <w:r>
        <w:rPr>
          <w:spacing w:val="-3"/>
        </w:rPr>
        <w:t> </w:t>
      </w:r>
      <w:r>
        <w:rPr/>
        <w:t>adults</w:t>
      </w:r>
      <w:r>
        <w:rPr>
          <w:spacing w:val="-5"/>
        </w:rPr>
        <w:t> </w:t>
      </w:r>
      <w:r>
        <w:rPr/>
        <w:t>aged</w:t>
      </w:r>
      <w:r>
        <w:rPr>
          <w:spacing w:val="-3"/>
        </w:rPr>
        <w:t> </w:t>
      </w:r>
      <w:r>
        <w:rPr/>
        <w:t>45+</w:t>
      </w:r>
      <w:r>
        <w:rPr>
          <w:spacing w:val="-2"/>
        </w:rPr>
        <w:t> </w:t>
      </w:r>
      <w:r>
        <w:rPr/>
        <w:t>with</w:t>
      </w:r>
      <w:r>
        <w:rPr>
          <w:spacing w:val="-3"/>
        </w:rPr>
        <w:t> </w:t>
      </w:r>
      <w:r>
        <w:rPr/>
        <w:t>a</w:t>
      </w:r>
      <w:r>
        <w:rPr>
          <w:spacing w:val="-3"/>
        </w:rPr>
        <w:t> </w:t>
      </w:r>
      <w:r>
        <w:rPr/>
        <w:t>household</w:t>
      </w:r>
      <w:r>
        <w:rPr>
          <w:spacing w:val="-4"/>
        </w:rPr>
        <w:t> </w:t>
      </w:r>
      <w:r>
        <w:rPr/>
        <w:t>income</w:t>
      </w:r>
      <w:r>
        <w:rPr>
          <w:spacing w:val="-2"/>
        </w:rPr>
        <w:t> </w:t>
      </w:r>
      <w:r>
        <w:rPr/>
        <w:t>below</w:t>
      </w:r>
      <w:r>
        <w:rPr>
          <w:spacing w:val="-2"/>
        </w:rPr>
        <w:t> </w:t>
      </w:r>
      <w:r>
        <w:rPr/>
        <w:t>$25,000, the percentage who had the same tests decreased from 58.9% in 2016 to 48.7% in 2018</w:t>
      </w:r>
      <w:hyperlink w:history="true" w:anchor="_bookmark38">
        <w:r>
          <w:rPr/>
          <w:t>.</w:t>
        </w:r>
        <w:r>
          <w:rPr>
            <w:vertAlign w:val="superscript"/>
          </w:rPr>
          <w:t>70</w:t>
        </w:r>
      </w:hyperlink>
      <w:r>
        <w:rPr>
          <w:vertAlign w:val="baseline"/>
        </w:rPr>
        <w:t> The prevalence of high blood pressure in adults 18+ increased 4% from 2017 to 30.1% in 2021.</w:t>
      </w:r>
      <w:r>
        <w:rPr>
          <w:vertAlign w:val="superscript"/>
        </w:rPr>
        <w:t>71</w:t>
      </w:r>
      <w:r>
        <w:rPr>
          <w:vertAlign w:val="baseline"/>
        </w:rPr>
        <w:t> These pafterns underscore the importance of expanding access to preventafive screening for chronic disease risk factors, parficularly for low-income adults who are less likely to receive regular screening.</w:t>
      </w:r>
    </w:p>
    <w:p>
      <w:pPr>
        <w:pStyle w:val="BodyText"/>
        <w:spacing w:line="259" w:lineRule="auto" w:before="159"/>
        <w:ind w:right="1467"/>
      </w:pPr>
      <w:r>
        <w:rPr/>
        <w:t>Mammograms and colorectal cancer screenings have also been shown</w:t>
      </w:r>
      <w:r>
        <w:rPr>
          <w:spacing w:val="-1"/>
        </w:rPr>
        <w:t> </w:t>
      </w:r>
      <w:r>
        <w:rPr/>
        <w:t>to be eﬀecfive preventafive care measures.</w:t>
      </w:r>
      <w:r>
        <w:rPr>
          <w:spacing w:val="-4"/>
        </w:rPr>
        <w:t> </w:t>
      </w:r>
      <w:r>
        <w:rPr/>
        <w:t>The</w:t>
      </w:r>
      <w:r>
        <w:rPr>
          <w:spacing w:val="-3"/>
        </w:rPr>
        <w:t> </w:t>
      </w:r>
      <w:r>
        <w:rPr/>
        <w:t>complefion</w:t>
      </w:r>
      <w:r>
        <w:rPr>
          <w:spacing w:val="-7"/>
        </w:rPr>
        <w:t> </w:t>
      </w:r>
      <w:r>
        <w:rPr/>
        <w:t>of</w:t>
      </w:r>
      <w:r>
        <w:rPr>
          <w:spacing w:val="-4"/>
        </w:rPr>
        <w:t> </w:t>
      </w:r>
      <w:r>
        <w:rPr/>
        <w:t>prevenfive</w:t>
      </w:r>
      <w:r>
        <w:rPr>
          <w:spacing w:val="-6"/>
        </w:rPr>
        <w:t> </w:t>
      </w:r>
      <w:r>
        <w:rPr/>
        <w:t>services</w:t>
      </w:r>
      <w:r>
        <w:rPr>
          <w:spacing w:val="-4"/>
        </w:rPr>
        <w:t> </w:t>
      </w:r>
      <w:r>
        <w:rPr/>
        <w:t>shows</w:t>
      </w:r>
      <w:r>
        <w:rPr>
          <w:spacing w:val="-4"/>
        </w:rPr>
        <w:t> </w:t>
      </w:r>
      <w:r>
        <w:rPr/>
        <w:t>mixed</w:t>
      </w:r>
      <w:r>
        <w:rPr>
          <w:spacing w:val="-5"/>
        </w:rPr>
        <w:t> </w:t>
      </w:r>
      <w:r>
        <w:rPr/>
        <w:t>trends</w:t>
      </w:r>
      <w:r>
        <w:rPr>
          <w:spacing w:val="-4"/>
        </w:rPr>
        <w:t> </w:t>
      </w:r>
      <w:r>
        <w:rPr/>
        <w:t>based</w:t>
      </w:r>
      <w:r>
        <w:rPr>
          <w:spacing w:val="-7"/>
        </w:rPr>
        <w:t> </w:t>
      </w:r>
      <w:r>
        <w:rPr/>
        <w:t>on</w:t>
      </w:r>
      <w:r>
        <w:rPr>
          <w:spacing w:val="-7"/>
        </w:rPr>
        <w:t> </w:t>
      </w:r>
      <w:r>
        <w:rPr/>
        <w:t>2022</w:t>
      </w:r>
      <w:r>
        <w:rPr>
          <w:spacing w:val="-3"/>
        </w:rPr>
        <w:t> </w:t>
      </w:r>
      <w:r>
        <w:rPr/>
        <w:t>data.</w:t>
      </w:r>
      <w:r>
        <w:rPr>
          <w:spacing w:val="-4"/>
        </w:rPr>
        <w:t> </w:t>
      </w:r>
      <w:r>
        <w:rPr/>
        <w:t>Mammogram rates among</w:t>
      </w:r>
      <w:r>
        <w:rPr>
          <w:spacing w:val="-1"/>
        </w:rPr>
        <w:t> </w:t>
      </w:r>
      <w:r>
        <w:rPr/>
        <w:t>women ages 50–74 have steadily increased from 73% in</w:t>
      </w:r>
      <w:r>
        <w:rPr>
          <w:spacing w:val="-1"/>
        </w:rPr>
        <w:t> </w:t>
      </w:r>
      <w:r>
        <w:rPr/>
        <w:t>2018 and 74.1% in</w:t>
      </w:r>
      <w:r>
        <w:rPr>
          <w:spacing w:val="-1"/>
        </w:rPr>
        <w:t> </w:t>
      </w:r>
      <w:r>
        <w:rPr/>
        <w:t>2020, to 75.5% currently. The percentage of female Medicare enrollees who receive a mammogram screening has also improved</w:t>
      </w:r>
      <w:r>
        <w:rPr>
          <w:spacing w:val="-4"/>
        </w:rPr>
        <w:t> </w:t>
      </w:r>
      <w:r>
        <w:rPr/>
        <w:t>since</w:t>
      </w:r>
      <w:r>
        <w:rPr>
          <w:spacing w:val="-4"/>
        </w:rPr>
        <w:t> </w:t>
      </w:r>
      <w:r>
        <w:rPr/>
        <w:t>2018,</w:t>
      </w:r>
      <w:r>
        <w:rPr>
          <w:spacing w:val="-5"/>
        </w:rPr>
        <w:t> </w:t>
      </w:r>
      <w:r>
        <w:rPr/>
        <w:t>increasing</w:t>
      </w:r>
      <w:r>
        <w:rPr>
          <w:spacing w:val="-3"/>
        </w:rPr>
        <w:t> </w:t>
      </w:r>
      <w:r>
        <w:rPr/>
        <w:t>from</w:t>
      </w:r>
      <w:r>
        <w:rPr>
          <w:spacing w:val="-4"/>
        </w:rPr>
        <w:t> </w:t>
      </w:r>
      <w:r>
        <w:rPr/>
        <w:t>52%</w:t>
      </w:r>
      <w:r>
        <w:rPr>
          <w:spacing w:val="-2"/>
        </w:rPr>
        <w:t> </w:t>
      </w:r>
      <w:r>
        <w:rPr/>
        <w:t>to</w:t>
      </w:r>
      <w:r>
        <w:rPr>
          <w:spacing w:val="-4"/>
        </w:rPr>
        <w:t> </w:t>
      </w:r>
      <w:r>
        <w:rPr/>
        <w:t>55%</w:t>
      </w:r>
      <w:r>
        <w:rPr>
          <w:spacing w:val="-2"/>
        </w:rPr>
        <w:t> </w:t>
      </w:r>
      <w:r>
        <w:rPr/>
        <w:t>in</w:t>
      </w:r>
      <w:r>
        <w:rPr>
          <w:spacing w:val="-6"/>
        </w:rPr>
        <w:t> </w:t>
      </w:r>
      <w:r>
        <w:rPr/>
        <w:t>2022.</w:t>
      </w:r>
      <w:r>
        <w:rPr>
          <w:spacing w:val="-3"/>
        </w:rPr>
        <w:t> </w:t>
      </w:r>
      <w:r>
        <w:rPr/>
        <w:t>However,</w:t>
      </w:r>
      <w:r>
        <w:rPr>
          <w:spacing w:val="-3"/>
        </w:rPr>
        <w:t> </w:t>
      </w:r>
      <w:r>
        <w:rPr/>
        <w:t>the</w:t>
      </w:r>
      <w:r>
        <w:rPr>
          <w:spacing w:val="-4"/>
        </w:rPr>
        <w:t> </w:t>
      </w:r>
      <w:r>
        <w:rPr/>
        <w:t>prevalence</w:t>
      </w:r>
      <w:r>
        <w:rPr>
          <w:spacing w:val="-5"/>
        </w:rPr>
        <w:t> </w:t>
      </w:r>
      <w:r>
        <w:rPr/>
        <w:t>of</w:t>
      </w:r>
      <w:r>
        <w:rPr>
          <w:spacing w:val="-3"/>
        </w:rPr>
        <w:t> </w:t>
      </w:r>
      <w:r>
        <w:rPr/>
        <w:t>colorectal</w:t>
      </w:r>
      <w:r>
        <w:rPr>
          <w:spacing w:val="-5"/>
        </w:rPr>
        <w:t> </w:t>
      </w:r>
      <w:r>
        <w:rPr/>
        <w:t>cancer screening</w:t>
      </w:r>
      <w:r>
        <w:rPr>
          <w:spacing w:val="-6"/>
        </w:rPr>
        <w:t> </w:t>
      </w:r>
      <w:r>
        <w:rPr/>
        <w:t>among</w:t>
      </w:r>
      <w:r>
        <w:rPr>
          <w:spacing w:val="-7"/>
        </w:rPr>
        <w:t> </w:t>
      </w:r>
      <w:r>
        <w:rPr/>
        <w:t>Yates</w:t>
      </w:r>
      <w:r>
        <w:rPr>
          <w:spacing w:val="-6"/>
        </w:rPr>
        <w:t> </w:t>
      </w:r>
      <w:r>
        <w:rPr/>
        <w:t>County</w:t>
      </w:r>
      <w:r>
        <w:rPr>
          <w:spacing w:val="-5"/>
        </w:rPr>
        <w:t> </w:t>
      </w:r>
      <w:r>
        <w:rPr/>
        <w:t>residents</w:t>
      </w:r>
      <w:r>
        <w:rPr>
          <w:spacing w:val="-6"/>
        </w:rPr>
        <w:t> </w:t>
      </w:r>
      <w:r>
        <w:rPr/>
        <w:t>has</w:t>
      </w:r>
      <w:r>
        <w:rPr>
          <w:spacing w:val="-5"/>
        </w:rPr>
        <w:t> </w:t>
      </w:r>
      <w:r>
        <w:rPr/>
        <w:t>decreased</w:t>
      </w:r>
      <w:r>
        <w:rPr>
          <w:spacing w:val="-6"/>
        </w:rPr>
        <w:t> </w:t>
      </w:r>
      <w:r>
        <w:rPr/>
        <w:t>by</w:t>
      </w:r>
      <w:r>
        <w:rPr>
          <w:spacing w:val="-7"/>
        </w:rPr>
        <w:t> </w:t>
      </w:r>
      <w:r>
        <w:rPr/>
        <w:t>13%</w:t>
      </w:r>
      <w:r>
        <w:rPr>
          <w:spacing w:val="-5"/>
        </w:rPr>
        <w:t> </w:t>
      </w:r>
      <w:r>
        <w:rPr/>
        <w:t>from</w:t>
      </w:r>
      <w:r>
        <w:rPr>
          <w:spacing w:val="-7"/>
        </w:rPr>
        <w:t> </w:t>
      </w:r>
      <w:r>
        <w:rPr/>
        <w:t>2020</w:t>
      </w:r>
      <w:r>
        <w:rPr>
          <w:spacing w:val="-7"/>
        </w:rPr>
        <w:t> </w:t>
      </w:r>
      <w:r>
        <w:rPr/>
        <w:t>to</w:t>
      </w:r>
      <w:r>
        <w:rPr>
          <w:spacing w:val="-7"/>
        </w:rPr>
        <w:t> </w:t>
      </w:r>
      <w:r>
        <w:rPr/>
        <w:t>2022,</w:t>
      </w:r>
      <w:r>
        <w:rPr>
          <w:spacing w:val="-6"/>
        </w:rPr>
        <w:t> </w:t>
      </w:r>
      <w:r>
        <w:rPr/>
        <w:t>dropping</w:t>
      </w:r>
      <w:r>
        <w:rPr>
          <w:spacing w:val="-7"/>
        </w:rPr>
        <w:t> </w:t>
      </w:r>
      <w:r>
        <w:rPr/>
        <w:t>from</w:t>
      </w:r>
      <w:r>
        <w:rPr>
          <w:spacing w:val="-4"/>
        </w:rPr>
        <w:t> </w:t>
      </w:r>
      <w:r>
        <w:rPr/>
        <w:t>72.3% to 63.2%</w:t>
      </w:r>
      <w:hyperlink w:history="true" w:anchor="_bookmark39">
        <w:r>
          <w:rPr/>
          <w:t>.</w:t>
        </w:r>
        <w:r>
          <w:rPr>
            <w:vertAlign w:val="superscript"/>
          </w:rPr>
          <w:t>71</w:t>
        </w:r>
      </w:hyperlink>
      <w:r>
        <w:rPr>
          <w:vertAlign w:val="baseline"/>
        </w:rPr>
        <w:t> These trends highlight the need for targeted intervenfions to promote complefion of preventafive measures and reduce long-term health risks.</w:t>
      </w:r>
    </w:p>
    <w:p>
      <w:pPr>
        <w:pStyle w:val="Heading4"/>
        <w:spacing w:before="156"/>
      </w:pPr>
      <w:r>
        <w:rPr/>
        <w:t>Priority:</w:t>
      </w:r>
      <w:r>
        <w:rPr>
          <w:spacing w:val="-5"/>
        </w:rPr>
        <w:t> </w:t>
      </w:r>
      <w:r>
        <w:rPr/>
        <w:t>Oral</w:t>
      </w:r>
      <w:r>
        <w:rPr>
          <w:spacing w:val="-6"/>
        </w:rPr>
        <w:t> </w:t>
      </w:r>
      <w:r>
        <w:rPr/>
        <w:t>Health</w:t>
      </w:r>
      <w:r>
        <w:rPr>
          <w:spacing w:val="-5"/>
        </w:rPr>
        <w:t> </w:t>
      </w:r>
      <w:r>
        <w:rPr>
          <w:spacing w:val="-4"/>
        </w:rPr>
        <w:t>Care</w:t>
      </w:r>
    </w:p>
    <w:p>
      <w:pPr>
        <w:pStyle w:val="BodyText"/>
        <w:spacing w:line="259" w:lineRule="auto" w:before="183"/>
        <w:ind w:right="1467"/>
      </w:pPr>
      <w:r>
        <w:rPr/>
        <w:t>According to County Health Rankings, Yates County has a denfist-to-populafion rafio of 2,220 to 1. In 2019,</w:t>
      </w:r>
      <w:r>
        <w:rPr>
          <w:spacing w:val="-5"/>
        </w:rPr>
        <w:t> </w:t>
      </w:r>
      <w:r>
        <w:rPr/>
        <w:t>62.6%</w:t>
      </w:r>
      <w:r>
        <w:rPr>
          <w:spacing w:val="-5"/>
        </w:rPr>
        <w:t> </w:t>
      </w:r>
      <w:r>
        <w:rPr/>
        <w:t>of</w:t>
      </w:r>
      <w:r>
        <w:rPr>
          <w:spacing w:val="-5"/>
        </w:rPr>
        <w:t> </w:t>
      </w:r>
      <w:r>
        <w:rPr/>
        <w:t>adults</w:t>
      </w:r>
      <w:r>
        <w:rPr>
          <w:spacing w:val="-3"/>
        </w:rPr>
        <w:t> </w:t>
      </w:r>
      <w:r>
        <w:rPr/>
        <w:t>had</w:t>
      </w:r>
      <w:r>
        <w:rPr>
          <w:spacing w:val="-6"/>
        </w:rPr>
        <w:t> </w:t>
      </w:r>
      <w:r>
        <w:rPr/>
        <w:t>a</w:t>
      </w:r>
      <w:r>
        <w:rPr>
          <w:spacing w:val="-3"/>
        </w:rPr>
        <w:t> </w:t>
      </w:r>
      <w:r>
        <w:rPr/>
        <w:t>dental</w:t>
      </w:r>
      <w:r>
        <w:rPr>
          <w:spacing w:val="-5"/>
        </w:rPr>
        <w:t> </w:t>
      </w:r>
      <w:r>
        <w:rPr/>
        <w:t>visit</w:t>
      </w:r>
      <w:r>
        <w:rPr>
          <w:spacing w:val="-3"/>
        </w:rPr>
        <w:t> </w:t>
      </w:r>
      <w:r>
        <w:rPr/>
        <w:t>in</w:t>
      </w:r>
      <w:r>
        <w:rPr>
          <w:spacing w:val="-6"/>
        </w:rPr>
        <w:t> </w:t>
      </w:r>
      <w:r>
        <w:rPr/>
        <w:t>the</w:t>
      </w:r>
      <w:r>
        <w:rPr>
          <w:spacing w:val="-2"/>
        </w:rPr>
        <w:t> </w:t>
      </w:r>
      <w:r>
        <w:rPr/>
        <w:t>past</w:t>
      </w:r>
      <w:r>
        <w:rPr>
          <w:spacing w:val="-5"/>
        </w:rPr>
        <w:t> </w:t>
      </w:r>
      <w:r>
        <w:rPr/>
        <w:t>year,</w:t>
      </w:r>
      <w:r>
        <w:rPr>
          <w:spacing w:val="-3"/>
        </w:rPr>
        <w:t> </w:t>
      </w:r>
      <w:r>
        <w:rPr/>
        <w:t>a</w:t>
      </w:r>
      <w:r>
        <w:rPr>
          <w:spacing w:val="-3"/>
        </w:rPr>
        <w:t> </w:t>
      </w:r>
      <w:r>
        <w:rPr/>
        <w:t>5%</w:t>
      </w:r>
      <w:r>
        <w:rPr>
          <w:spacing w:val="-2"/>
        </w:rPr>
        <w:t> </w:t>
      </w:r>
      <w:r>
        <w:rPr/>
        <w:t>decrease</w:t>
      </w:r>
      <w:r>
        <w:rPr>
          <w:spacing w:val="-2"/>
        </w:rPr>
        <w:t> </w:t>
      </w:r>
      <w:r>
        <w:rPr/>
        <w:t>since</w:t>
      </w:r>
      <w:r>
        <w:rPr>
          <w:spacing w:val="-2"/>
        </w:rPr>
        <w:t> </w:t>
      </w:r>
      <w:r>
        <w:rPr/>
        <w:t>2014</w:t>
      </w:r>
      <w:r>
        <w:rPr>
          <w:spacing w:val="-2"/>
        </w:rPr>
        <w:t> </w:t>
      </w:r>
      <w:r>
        <w:rPr/>
        <w:t>and</w:t>
      </w:r>
      <w:r>
        <w:rPr>
          <w:spacing w:val="-4"/>
        </w:rPr>
        <w:t> </w:t>
      </w:r>
      <w:r>
        <w:rPr/>
        <w:t>below</w:t>
      </w:r>
      <w:r>
        <w:rPr>
          <w:spacing w:val="-2"/>
        </w:rPr>
        <w:t> </w:t>
      </w:r>
      <w:r>
        <w:rPr/>
        <w:t>the</w:t>
      </w:r>
      <w:r>
        <w:rPr>
          <w:spacing w:val="-5"/>
        </w:rPr>
        <w:t> </w:t>
      </w:r>
      <w:r>
        <w:rPr/>
        <w:t>New York State average of 71.3%.</w:t>
      </w:r>
    </w:p>
    <w:p>
      <w:pPr>
        <w:pStyle w:val="BodyText"/>
        <w:spacing w:line="259" w:lineRule="auto" w:before="159"/>
        <w:ind w:right="1467"/>
      </w:pPr>
      <w:r>
        <w:rPr/>
        <w:t>Access to oral health care is even more limited for Medicaid enrollees. The only Medicaid-accepfing dental provider in</w:t>
      </w:r>
      <w:r>
        <w:rPr>
          <w:spacing w:val="-2"/>
        </w:rPr>
        <w:t> </w:t>
      </w:r>
      <w:r>
        <w:rPr/>
        <w:t>Yates</w:t>
      </w:r>
      <w:r>
        <w:rPr>
          <w:spacing w:val="-1"/>
        </w:rPr>
        <w:t> </w:t>
      </w:r>
      <w:r>
        <w:rPr/>
        <w:t>County is Finger Lakes</w:t>
      </w:r>
      <w:r>
        <w:rPr>
          <w:spacing w:val="-1"/>
        </w:rPr>
        <w:t> </w:t>
      </w:r>
      <w:r>
        <w:rPr/>
        <w:t>Community Health,</w:t>
      </w:r>
      <w:r>
        <w:rPr>
          <w:spacing w:val="-1"/>
        </w:rPr>
        <w:t> </w:t>
      </w:r>
      <w:r>
        <w:rPr/>
        <w:t>with</w:t>
      </w:r>
      <w:r>
        <w:rPr>
          <w:spacing w:val="-2"/>
        </w:rPr>
        <w:t> </w:t>
      </w:r>
      <w:r>
        <w:rPr/>
        <w:t>clinics in</w:t>
      </w:r>
      <w:r>
        <w:rPr>
          <w:spacing w:val="-2"/>
        </w:rPr>
        <w:t> </w:t>
      </w:r>
      <w:r>
        <w:rPr/>
        <w:t>Penn Yan and</w:t>
      </w:r>
      <w:r>
        <w:rPr>
          <w:spacing w:val="-2"/>
        </w:rPr>
        <w:t> </w:t>
      </w:r>
      <w:r>
        <w:rPr/>
        <w:t>Dundee. The percentage of</w:t>
      </w:r>
      <w:r>
        <w:rPr>
          <w:spacing w:val="-2"/>
        </w:rPr>
        <w:t> </w:t>
      </w:r>
      <w:r>
        <w:rPr/>
        <w:t>Medicaid-enrolled</w:t>
      </w:r>
      <w:r>
        <w:rPr>
          <w:spacing w:val="-2"/>
        </w:rPr>
        <w:t> </w:t>
      </w:r>
      <w:r>
        <w:rPr/>
        <w:t>adults with at least one dental</w:t>
      </w:r>
      <w:r>
        <w:rPr>
          <w:spacing w:val="-1"/>
        </w:rPr>
        <w:t> </w:t>
      </w:r>
      <w:r>
        <w:rPr/>
        <w:t>visit remained above 30% between 2014 and 2019. However, in 2020, this percentage dropped to 25.9%, a 23% diﬀerence from the year prior.</w:t>
      </w:r>
      <w:r>
        <w:rPr>
          <w:spacing w:val="-6"/>
        </w:rPr>
        <w:t> </w:t>
      </w:r>
      <w:r>
        <w:rPr/>
        <w:t>Since</w:t>
      </w:r>
      <w:r>
        <w:rPr>
          <w:spacing w:val="-6"/>
        </w:rPr>
        <w:t> </w:t>
      </w:r>
      <w:r>
        <w:rPr/>
        <w:t>2020,</w:t>
      </w:r>
      <w:r>
        <w:rPr>
          <w:spacing w:val="-5"/>
        </w:rPr>
        <w:t> </w:t>
      </w:r>
      <w:r>
        <w:rPr/>
        <w:t>the</w:t>
      </w:r>
      <w:r>
        <w:rPr>
          <w:spacing w:val="-4"/>
        </w:rPr>
        <w:t> </w:t>
      </w:r>
      <w:r>
        <w:rPr/>
        <w:t>percentage</w:t>
      </w:r>
      <w:r>
        <w:rPr>
          <w:spacing w:val="-4"/>
        </w:rPr>
        <w:t> </w:t>
      </w:r>
      <w:r>
        <w:rPr/>
        <w:t>of</w:t>
      </w:r>
      <w:r>
        <w:rPr>
          <w:spacing w:val="-5"/>
        </w:rPr>
        <w:t> </w:t>
      </w:r>
      <w:r>
        <w:rPr/>
        <w:t>dental</w:t>
      </w:r>
      <w:r>
        <w:rPr>
          <w:spacing w:val="-8"/>
        </w:rPr>
        <w:t> </w:t>
      </w:r>
      <w:r>
        <w:rPr/>
        <w:t>visits</w:t>
      </w:r>
      <w:r>
        <w:rPr>
          <w:spacing w:val="-5"/>
        </w:rPr>
        <w:t> </w:t>
      </w:r>
      <w:r>
        <w:rPr/>
        <w:t>for</w:t>
      </w:r>
      <w:r>
        <w:rPr>
          <w:spacing w:val="-5"/>
        </w:rPr>
        <w:t> </w:t>
      </w:r>
      <w:r>
        <w:rPr/>
        <w:t>adult</w:t>
      </w:r>
      <w:r>
        <w:rPr>
          <w:spacing w:val="-5"/>
        </w:rPr>
        <w:t> </w:t>
      </w:r>
      <w:r>
        <w:rPr/>
        <w:t>Medicaid</w:t>
      </w:r>
      <w:r>
        <w:rPr>
          <w:spacing w:val="-8"/>
        </w:rPr>
        <w:t> </w:t>
      </w:r>
      <w:r>
        <w:rPr/>
        <w:t>enrollees</w:t>
      </w:r>
      <w:r>
        <w:rPr>
          <w:spacing w:val="-5"/>
        </w:rPr>
        <w:t> </w:t>
      </w:r>
      <w:r>
        <w:rPr/>
        <w:t>has</w:t>
      </w:r>
      <w:r>
        <w:rPr>
          <w:spacing w:val="-7"/>
        </w:rPr>
        <w:t> </w:t>
      </w:r>
      <w:r>
        <w:rPr/>
        <w:t>confinued</w:t>
      </w:r>
      <w:r>
        <w:rPr>
          <w:spacing w:val="-5"/>
        </w:rPr>
        <w:t> </w:t>
      </w:r>
      <w:r>
        <w:rPr/>
        <w:t>to</w:t>
      </w:r>
      <w:r>
        <w:rPr>
          <w:spacing w:val="-6"/>
        </w:rPr>
        <w:t> </w:t>
      </w:r>
      <w:r>
        <w:rPr/>
        <w:t>fall</w:t>
      </w:r>
      <w:r>
        <w:rPr>
          <w:spacing w:val="-5"/>
        </w:rPr>
        <w:t> </w:t>
      </w:r>
      <w:r>
        <w:rPr/>
        <w:t>below the state average of 31.1%, underscoring concerns about oral health care availability.</w:t>
      </w:r>
    </w:p>
    <w:p>
      <w:pPr>
        <w:pStyle w:val="BodyText"/>
        <w:spacing w:line="259" w:lineRule="auto" w:before="158"/>
        <w:ind w:right="1602"/>
      </w:pPr>
      <w:r>
        <w:rPr/>
        <w:t>Access</w:t>
      </w:r>
      <w:r>
        <w:rPr>
          <w:spacing w:val="-6"/>
        </w:rPr>
        <w:t> </w:t>
      </w:r>
      <w:r>
        <w:rPr/>
        <w:t>to</w:t>
      </w:r>
      <w:r>
        <w:rPr>
          <w:spacing w:val="-2"/>
        </w:rPr>
        <w:t> </w:t>
      </w:r>
      <w:r>
        <w:rPr/>
        <w:t>dental</w:t>
      </w:r>
      <w:r>
        <w:rPr>
          <w:spacing w:val="-4"/>
        </w:rPr>
        <w:t> </w:t>
      </w:r>
      <w:r>
        <w:rPr/>
        <w:t>care</w:t>
      </w:r>
      <w:r>
        <w:rPr>
          <w:spacing w:val="-3"/>
        </w:rPr>
        <w:t> </w:t>
      </w:r>
      <w:r>
        <w:rPr/>
        <w:t>for</w:t>
      </w:r>
      <w:r>
        <w:rPr>
          <w:spacing w:val="-4"/>
        </w:rPr>
        <w:t> </w:t>
      </w:r>
      <w:r>
        <w:rPr/>
        <w:t>children</w:t>
      </w:r>
      <w:r>
        <w:rPr>
          <w:spacing w:val="-5"/>
        </w:rPr>
        <w:t> </w:t>
      </w:r>
      <w:r>
        <w:rPr/>
        <w:t>is</w:t>
      </w:r>
      <w:r>
        <w:rPr>
          <w:spacing w:val="-4"/>
        </w:rPr>
        <w:t> </w:t>
      </w:r>
      <w:r>
        <w:rPr/>
        <w:t>similarly</w:t>
      </w:r>
      <w:r>
        <w:rPr>
          <w:spacing w:val="-5"/>
        </w:rPr>
        <w:t> </w:t>
      </w:r>
      <w:r>
        <w:rPr/>
        <w:t>limited.</w:t>
      </w:r>
      <w:r>
        <w:rPr>
          <w:spacing w:val="-4"/>
        </w:rPr>
        <w:t> </w:t>
      </w:r>
      <w:r>
        <w:rPr/>
        <w:t>In</w:t>
      </w:r>
      <w:r>
        <w:rPr>
          <w:spacing w:val="-7"/>
        </w:rPr>
        <w:t> </w:t>
      </w:r>
      <w:r>
        <w:rPr/>
        <w:t>2023,</w:t>
      </w:r>
      <w:r>
        <w:rPr>
          <w:spacing w:val="-4"/>
        </w:rPr>
        <w:t> </w:t>
      </w:r>
      <w:r>
        <w:rPr/>
        <w:t>Finger</w:t>
      </w:r>
      <w:r>
        <w:rPr>
          <w:spacing w:val="-4"/>
        </w:rPr>
        <w:t> </w:t>
      </w:r>
      <w:r>
        <w:rPr/>
        <w:t>Lakes</w:t>
      </w:r>
      <w:r>
        <w:rPr>
          <w:spacing w:val="-6"/>
        </w:rPr>
        <w:t> </w:t>
      </w:r>
      <w:r>
        <w:rPr/>
        <w:t>Community</w:t>
      </w:r>
      <w:r>
        <w:rPr>
          <w:spacing w:val="-2"/>
        </w:rPr>
        <w:t> </w:t>
      </w:r>
      <w:r>
        <w:rPr/>
        <w:t>Health</w:t>
      </w:r>
      <w:r>
        <w:rPr>
          <w:spacing w:val="-7"/>
        </w:rPr>
        <w:t> </w:t>
      </w:r>
      <w:r>
        <w:rPr/>
        <w:t>opened</w:t>
      </w:r>
      <w:r>
        <w:rPr>
          <w:spacing w:val="-5"/>
        </w:rPr>
        <w:t> </w:t>
      </w:r>
      <w:r>
        <w:rPr/>
        <w:t>a school-based</w:t>
      </w:r>
      <w:r>
        <w:rPr>
          <w:spacing w:val="-2"/>
        </w:rPr>
        <w:t> </w:t>
      </w:r>
      <w:r>
        <w:rPr/>
        <w:t>dental</w:t>
      </w:r>
      <w:r>
        <w:rPr>
          <w:spacing w:val="-3"/>
        </w:rPr>
        <w:t> </w:t>
      </w:r>
      <w:r>
        <w:rPr/>
        <w:t>clinic</w:t>
      </w:r>
      <w:r>
        <w:rPr>
          <w:spacing w:val="-1"/>
        </w:rPr>
        <w:t> </w:t>
      </w:r>
      <w:r>
        <w:rPr/>
        <w:t>in</w:t>
      </w:r>
      <w:r>
        <w:rPr>
          <w:spacing w:val="-2"/>
        </w:rPr>
        <w:t> </w:t>
      </w:r>
      <w:r>
        <w:rPr/>
        <w:t>Penn</w:t>
      </w:r>
      <w:r>
        <w:rPr>
          <w:spacing w:val="-1"/>
        </w:rPr>
        <w:t> </w:t>
      </w:r>
      <w:r>
        <w:rPr/>
        <w:t>Yan,</w:t>
      </w:r>
      <w:r>
        <w:rPr>
          <w:spacing w:val="-3"/>
        </w:rPr>
        <w:t> </w:t>
      </w:r>
      <w:r>
        <w:rPr/>
        <w:t>providing</w:t>
      </w:r>
      <w:r>
        <w:rPr>
          <w:spacing w:val="-1"/>
        </w:rPr>
        <w:t> </w:t>
      </w:r>
      <w:r>
        <w:rPr/>
        <w:t>prevenfive dental</w:t>
      </w:r>
      <w:r>
        <w:rPr>
          <w:spacing w:val="-1"/>
        </w:rPr>
        <w:t> </w:t>
      </w:r>
      <w:r>
        <w:rPr/>
        <w:t>care.</w:t>
      </w:r>
      <w:r>
        <w:rPr>
          <w:spacing w:val="-1"/>
        </w:rPr>
        <w:t> </w:t>
      </w:r>
      <w:r>
        <w:rPr/>
        <w:t>Trends</w:t>
      </w:r>
      <w:r>
        <w:rPr>
          <w:spacing w:val="-1"/>
        </w:rPr>
        <w:t> </w:t>
      </w:r>
      <w:r>
        <w:rPr/>
        <w:t>for</w:t>
      </w:r>
      <w:r>
        <w:rPr>
          <w:spacing w:val="-4"/>
        </w:rPr>
        <w:t> </w:t>
      </w:r>
      <w:r>
        <w:rPr/>
        <w:t>Medicaid</w:t>
      </w:r>
      <w:r>
        <w:rPr>
          <w:spacing w:val="-2"/>
        </w:rPr>
        <w:t> </w:t>
      </w:r>
      <w:r>
        <w:rPr/>
        <w:t>enrollees aged 2-20 years who had at least one dental visit within the last year are similar to those of adults.</w:t>
      </w:r>
    </w:p>
    <w:p>
      <w:pPr>
        <w:pStyle w:val="BodyText"/>
        <w:spacing w:line="259" w:lineRule="auto"/>
        <w:ind w:right="1467"/>
      </w:pPr>
      <w:r>
        <w:rPr/>
        <w:t>Between 2015 and 2017, this percentage remained above state average, with 49% of Yates County Medicaid</w:t>
      </w:r>
      <w:r>
        <w:rPr>
          <w:spacing w:val="-5"/>
        </w:rPr>
        <w:t> </w:t>
      </w:r>
      <w:r>
        <w:rPr/>
        <w:t>enrollees</w:t>
      </w:r>
      <w:r>
        <w:rPr>
          <w:spacing w:val="-6"/>
        </w:rPr>
        <w:t> </w:t>
      </w:r>
      <w:r>
        <w:rPr/>
        <w:t>ages</w:t>
      </w:r>
      <w:r>
        <w:rPr>
          <w:spacing w:val="-6"/>
        </w:rPr>
        <w:t> </w:t>
      </w:r>
      <w:r>
        <w:rPr/>
        <w:t>2-20</w:t>
      </w:r>
      <w:r>
        <w:rPr>
          <w:spacing w:val="-3"/>
        </w:rPr>
        <w:t> </w:t>
      </w:r>
      <w:r>
        <w:rPr/>
        <w:t>complefing</w:t>
      </w:r>
      <w:r>
        <w:rPr>
          <w:spacing w:val="-4"/>
        </w:rPr>
        <w:t> </w:t>
      </w:r>
      <w:r>
        <w:rPr/>
        <w:t>at</w:t>
      </w:r>
      <w:r>
        <w:rPr>
          <w:spacing w:val="-3"/>
        </w:rPr>
        <w:t> </w:t>
      </w:r>
      <w:r>
        <w:rPr/>
        <w:t>least</w:t>
      </w:r>
      <w:r>
        <w:rPr>
          <w:spacing w:val="-6"/>
        </w:rPr>
        <w:t> </w:t>
      </w:r>
      <w:r>
        <w:rPr/>
        <w:t>one</w:t>
      </w:r>
      <w:r>
        <w:rPr>
          <w:spacing w:val="-6"/>
        </w:rPr>
        <w:t> </w:t>
      </w:r>
      <w:r>
        <w:rPr/>
        <w:t>dental</w:t>
      </w:r>
      <w:r>
        <w:rPr>
          <w:spacing w:val="-4"/>
        </w:rPr>
        <w:t> </w:t>
      </w:r>
      <w:r>
        <w:rPr/>
        <w:t>visit</w:t>
      </w:r>
      <w:r>
        <w:rPr>
          <w:spacing w:val="-4"/>
        </w:rPr>
        <w:t> </w:t>
      </w:r>
      <w:r>
        <w:rPr/>
        <w:t>in</w:t>
      </w:r>
      <w:r>
        <w:rPr>
          <w:spacing w:val="-5"/>
        </w:rPr>
        <w:t> </w:t>
      </w:r>
      <w:r>
        <w:rPr/>
        <w:t>2018.</w:t>
      </w:r>
      <w:r>
        <w:rPr>
          <w:spacing w:val="-7"/>
        </w:rPr>
        <w:t> </w:t>
      </w:r>
      <w:r>
        <w:rPr/>
        <w:t>The</w:t>
      </w:r>
      <w:r>
        <w:rPr>
          <w:spacing w:val="-3"/>
        </w:rPr>
        <w:t> </w:t>
      </w:r>
      <w:r>
        <w:rPr/>
        <w:t>rates</w:t>
      </w:r>
      <w:r>
        <w:rPr>
          <w:spacing w:val="-4"/>
        </w:rPr>
        <w:t> </w:t>
      </w:r>
      <w:r>
        <w:rPr/>
        <w:t>dropped</w:t>
      </w:r>
      <w:r>
        <w:rPr>
          <w:spacing w:val="-5"/>
        </w:rPr>
        <w:t> </w:t>
      </w:r>
      <w:r>
        <w:rPr/>
        <w:t>rapidly</w:t>
      </w:r>
      <w:r>
        <w:rPr>
          <w:spacing w:val="-3"/>
        </w:rPr>
        <w:t> </w:t>
      </w:r>
      <w:r>
        <w:rPr/>
        <w:t>in 2020, reaching 36.3%, before slowly increasing to 41.2% in 2023</w:t>
      </w:r>
      <w:hyperlink w:history="true" w:anchor="_bookmark40">
        <w:r>
          <w:rPr/>
          <w:t>.</w:t>
        </w:r>
        <w:r>
          <w:rPr>
            <w:vertAlign w:val="superscript"/>
          </w:rPr>
          <w:t>72</w:t>
        </w:r>
      </w:hyperlink>
    </w:p>
    <w:p>
      <w:pPr>
        <w:pStyle w:val="Heading4"/>
        <w:spacing w:before="159"/>
      </w:pPr>
      <w:r>
        <w:rPr/>
        <w:t>Priority:</w:t>
      </w:r>
      <w:r>
        <w:rPr>
          <w:spacing w:val="-5"/>
        </w:rPr>
        <w:t> </w:t>
      </w:r>
      <w:r>
        <w:rPr/>
        <w:t>Prevenfive</w:t>
      </w:r>
      <w:r>
        <w:rPr>
          <w:spacing w:val="-5"/>
        </w:rPr>
        <w:t> </w:t>
      </w:r>
      <w:r>
        <w:rPr/>
        <w:t>Services</w:t>
      </w:r>
      <w:r>
        <w:rPr>
          <w:spacing w:val="-4"/>
        </w:rPr>
        <w:t> </w:t>
      </w:r>
      <w:r>
        <w:rPr/>
        <w:t>–</w:t>
      </w:r>
      <w:r>
        <w:rPr>
          <w:spacing w:val="-6"/>
        </w:rPr>
        <w:t> </w:t>
      </w:r>
      <w:r>
        <w:rPr/>
        <w:t>Immunizafions</w:t>
      </w:r>
      <w:r>
        <w:rPr>
          <w:spacing w:val="-5"/>
        </w:rPr>
        <w:t> </w:t>
      </w:r>
      <w:r>
        <w:rPr/>
        <w:t>and</w:t>
      </w:r>
      <w:r>
        <w:rPr>
          <w:spacing w:val="-5"/>
        </w:rPr>
        <w:t> </w:t>
      </w:r>
      <w:r>
        <w:rPr>
          <w:spacing w:val="-4"/>
        </w:rPr>
        <w:t>Lead</w:t>
      </w:r>
    </w:p>
    <w:p>
      <w:pPr>
        <w:pStyle w:val="BodyText"/>
        <w:spacing w:line="259" w:lineRule="auto" w:before="182"/>
        <w:ind w:right="1436"/>
      </w:pPr>
      <w:r>
        <w:rPr/>
        <w:t>Yates County is classiﬁed as high risk for disease outbreak due to low vaccinafion rates. The complefion rate</w:t>
      </w:r>
      <w:r>
        <w:rPr>
          <w:spacing w:val="-7"/>
        </w:rPr>
        <w:t> </w:t>
      </w:r>
      <w:r>
        <w:rPr/>
        <w:t>target</w:t>
      </w:r>
      <w:r>
        <w:rPr>
          <w:spacing w:val="-11"/>
        </w:rPr>
        <w:t> </w:t>
      </w:r>
      <w:r>
        <w:rPr/>
        <w:t>value</w:t>
      </w:r>
      <w:r>
        <w:rPr>
          <w:spacing w:val="-9"/>
        </w:rPr>
        <w:t> </w:t>
      </w:r>
      <w:r>
        <w:rPr/>
        <w:t>of</w:t>
      </w:r>
      <w:r>
        <w:rPr>
          <w:spacing w:val="-9"/>
        </w:rPr>
        <w:t> </w:t>
      </w:r>
      <w:r>
        <w:rPr/>
        <w:t>4:3:1:3:3:1:4</w:t>
      </w:r>
      <w:r>
        <w:rPr>
          <w:spacing w:val="-7"/>
        </w:rPr>
        <w:t> </w:t>
      </w:r>
      <w:r>
        <w:rPr/>
        <w:t>series</w:t>
      </w:r>
      <w:r>
        <w:rPr>
          <w:spacing w:val="-7"/>
        </w:rPr>
        <w:t> </w:t>
      </w:r>
      <w:r>
        <w:rPr/>
        <w:t>(Table</w:t>
      </w:r>
      <w:r>
        <w:rPr>
          <w:spacing w:val="-9"/>
        </w:rPr>
        <w:t> </w:t>
      </w:r>
      <w:r>
        <w:rPr/>
        <w:t>Y4)</w:t>
      </w:r>
      <w:r>
        <w:rPr>
          <w:spacing w:val="-9"/>
        </w:rPr>
        <w:t> </w:t>
      </w:r>
      <w:r>
        <w:rPr/>
        <w:t>is</w:t>
      </w:r>
      <w:r>
        <w:rPr>
          <w:spacing w:val="-9"/>
        </w:rPr>
        <w:t> </w:t>
      </w:r>
      <w:r>
        <w:rPr/>
        <w:t>80%</w:t>
      </w:r>
      <w:r>
        <w:rPr>
          <w:spacing w:val="-7"/>
        </w:rPr>
        <w:t> </w:t>
      </w:r>
      <w:r>
        <w:rPr/>
        <w:t>in</w:t>
      </w:r>
      <w:r>
        <w:rPr>
          <w:spacing w:val="-8"/>
        </w:rPr>
        <w:t> </w:t>
      </w:r>
      <w:r>
        <w:rPr/>
        <w:t>NYS.</w:t>
      </w:r>
      <w:r>
        <w:rPr>
          <w:spacing w:val="-7"/>
        </w:rPr>
        <w:t> </w:t>
      </w:r>
      <w:r>
        <w:rPr/>
        <w:t>However,</w:t>
      </w:r>
      <w:r>
        <w:rPr>
          <w:spacing w:val="-7"/>
        </w:rPr>
        <w:t> </w:t>
      </w:r>
      <w:r>
        <w:rPr/>
        <w:t>in</w:t>
      </w:r>
      <w:r>
        <w:rPr>
          <w:spacing w:val="-8"/>
        </w:rPr>
        <w:t> </w:t>
      </w:r>
      <w:r>
        <w:rPr/>
        <w:t>Yates</w:t>
      </w:r>
      <w:r>
        <w:rPr>
          <w:spacing w:val="-9"/>
        </w:rPr>
        <w:t> </w:t>
      </w:r>
      <w:r>
        <w:rPr/>
        <w:t>County</w:t>
      </w:r>
      <w:r>
        <w:rPr>
          <w:spacing w:val="-8"/>
        </w:rPr>
        <w:t> </w:t>
      </w:r>
      <w:r>
        <w:rPr/>
        <w:t>the</w:t>
      </w:r>
      <w:r>
        <w:rPr>
          <w:spacing w:val="-7"/>
        </w:rPr>
        <w:t> </w:t>
      </w:r>
      <w:r>
        <w:rPr/>
        <w:t>percentage of children</w:t>
      </w:r>
      <w:r>
        <w:rPr>
          <w:spacing w:val="-2"/>
        </w:rPr>
        <w:t> </w:t>
      </w:r>
      <w:r>
        <w:rPr/>
        <w:t>who have received this immunizafion series</w:t>
      </w:r>
      <w:r>
        <w:rPr>
          <w:spacing w:val="-1"/>
        </w:rPr>
        <w:t> </w:t>
      </w:r>
      <w:r>
        <w:rPr/>
        <w:t>by two years</w:t>
      </w:r>
      <w:r>
        <w:rPr>
          <w:spacing w:val="-1"/>
        </w:rPr>
        <w:t> </w:t>
      </w:r>
      <w:r>
        <w:rPr/>
        <w:t>of age is</w:t>
      </w:r>
      <w:r>
        <w:rPr>
          <w:spacing w:val="-1"/>
        </w:rPr>
        <w:t> </w:t>
      </w:r>
      <w:r>
        <w:rPr/>
        <w:t>44.8% in 2025, an</w:t>
      </w:r>
      <w:r>
        <w:rPr>
          <w:spacing w:val="-2"/>
        </w:rPr>
        <w:t> </w:t>
      </w:r>
      <w:r>
        <w:rPr/>
        <w:t>increase</w:t>
      </w:r>
    </w:p>
    <w:p>
      <w:pPr>
        <w:pStyle w:val="BodyText"/>
        <w:spacing w:before="180"/>
        <w:ind w:left="0"/>
        <w:rPr>
          <w:sz w:val="20"/>
        </w:rPr>
      </w:pPr>
      <w:r>
        <w:rPr>
          <w:sz w:val="20"/>
        </w:rPr>
        <mc:AlternateContent>
          <mc:Choice Requires="wps">
            <w:drawing>
              <wp:anchor distT="0" distB="0" distL="0" distR="0" allowOverlap="1" layoutInCell="1" locked="0" behindDoc="1" simplePos="0" relativeHeight="487608320">
                <wp:simplePos x="0" y="0"/>
                <wp:positionH relativeFrom="page">
                  <wp:posOffset>914400</wp:posOffset>
                </wp:positionH>
                <wp:positionV relativeFrom="paragraph">
                  <wp:posOffset>284964</wp:posOffset>
                </wp:positionV>
                <wp:extent cx="1828800" cy="9525"/>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22.438114pt;width:144pt;height:.71pt;mso-position-horizontal-relative:page;mso-position-vertical-relative:paragraph;z-index:-15708160;mso-wrap-distance-left:0;mso-wrap-distance-right:0" id="docshape75" filled="true" fillcolor="#000000" stroked="false">
                <v:fill type="solid"/>
                <w10:wrap type="topAndBottom"/>
              </v:rect>
            </w:pict>
          </mc:Fallback>
        </mc:AlternateContent>
      </w:r>
    </w:p>
    <w:p>
      <w:pPr>
        <w:spacing w:line="243" w:lineRule="exact" w:before="102"/>
        <w:ind w:left="1440" w:right="0" w:firstLine="0"/>
        <w:jc w:val="left"/>
        <w:rPr>
          <w:sz w:val="20"/>
        </w:rPr>
      </w:pPr>
      <w:r>
        <w:rPr>
          <w:sz w:val="20"/>
          <w:vertAlign w:val="superscript"/>
        </w:rPr>
        <w:t>70</w:t>
      </w:r>
      <w:r>
        <w:rPr>
          <w:spacing w:val="-12"/>
          <w:sz w:val="20"/>
          <w:vertAlign w:val="baseline"/>
        </w:rPr>
        <w:t> </w:t>
      </w:r>
      <w:bookmarkStart w:name="_bookmark38" w:id="39"/>
      <w:bookmarkEnd w:id="39"/>
      <w:r>
        <w:rPr>
          <w:sz w:val="20"/>
          <w:vertAlign w:val="baseline"/>
        </w:rPr>
        <w:t>S</w:t>
      </w:r>
      <w:r>
        <w:rPr>
          <w:sz w:val="20"/>
          <w:vertAlign w:val="baseline"/>
        </w:rPr>
        <w:t>ource:</w:t>
      </w:r>
      <w:r>
        <w:rPr>
          <w:spacing w:val="-11"/>
          <w:sz w:val="20"/>
          <w:vertAlign w:val="baseline"/>
        </w:rPr>
        <w:t> </w:t>
      </w:r>
      <w:r>
        <w:rPr>
          <w:sz w:val="20"/>
          <w:vertAlign w:val="baseline"/>
        </w:rPr>
        <w:t>Behavior</w:t>
      </w:r>
      <w:r>
        <w:rPr>
          <w:spacing w:val="-9"/>
          <w:sz w:val="20"/>
          <w:vertAlign w:val="baseline"/>
        </w:rPr>
        <w:t> </w:t>
      </w:r>
      <w:r>
        <w:rPr>
          <w:sz w:val="20"/>
          <w:vertAlign w:val="baseline"/>
        </w:rPr>
        <w:t>Risk</w:t>
      </w:r>
      <w:r>
        <w:rPr>
          <w:spacing w:val="-11"/>
          <w:sz w:val="20"/>
          <w:vertAlign w:val="baseline"/>
        </w:rPr>
        <w:t> </w:t>
      </w:r>
      <w:r>
        <w:rPr>
          <w:sz w:val="20"/>
          <w:vertAlign w:val="baseline"/>
        </w:rPr>
        <w:t>Factor</w:t>
      </w:r>
      <w:r>
        <w:rPr>
          <w:spacing w:val="-9"/>
          <w:sz w:val="20"/>
          <w:vertAlign w:val="baseline"/>
        </w:rPr>
        <w:t> </w:t>
      </w:r>
      <w:r>
        <w:rPr>
          <w:sz w:val="20"/>
          <w:vertAlign w:val="baseline"/>
        </w:rPr>
        <w:t>Surveillance</w:t>
      </w:r>
      <w:r>
        <w:rPr>
          <w:spacing w:val="-11"/>
          <w:sz w:val="20"/>
          <w:vertAlign w:val="baseline"/>
        </w:rPr>
        <w:t> </w:t>
      </w:r>
      <w:r>
        <w:rPr>
          <w:sz w:val="20"/>
          <w:vertAlign w:val="baseline"/>
        </w:rPr>
        <w:t>System</w:t>
      </w:r>
      <w:r>
        <w:rPr>
          <w:spacing w:val="-12"/>
          <w:sz w:val="20"/>
          <w:vertAlign w:val="baseline"/>
        </w:rPr>
        <w:t> </w:t>
      </w:r>
      <w:r>
        <w:rPr>
          <w:sz w:val="20"/>
          <w:vertAlign w:val="baseline"/>
        </w:rPr>
        <w:t>(BRFSS),</w:t>
      </w:r>
      <w:r>
        <w:rPr>
          <w:spacing w:val="-10"/>
          <w:sz w:val="20"/>
          <w:vertAlign w:val="baseline"/>
        </w:rPr>
        <w:t> </w:t>
      </w:r>
      <w:r>
        <w:rPr>
          <w:spacing w:val="-4"/>
          <w:sz w:val="20"/>
          <w:vertAlign w:val="baseline"/>
        </w:rPr>
        <w:t>2022</w:t>
      </w:r>
    </w:p>
    <w:p>
      <w:pPr>
        <w:spacing w:line="243" w:lineRule="exact" w:before="0"/>
        <w:ind w:left="1440" w:right="0" w:firstLine="0"/>
        <w:jc w:val="left"/>
        <w:rPr>
          <w:sz w:val="20"/>
        </w:rPr>
      </w:pPr>
      <w:r>
        <w:rPr>
          <w:sz w:val="20"/>
          <w:vertAlign w:val="superscript"/>
        </w:rPr>
        <w:t>71</w:t>
      </w:r>
      <w:r>
        <w:rPr>
          <w:spacing w:val="-10"/>
          <w:sz w:val="20"/>
          <w:vertAlign w:val="baseline"/>
        </w:rPr>
        <w:t> </w:t>
      </w:r>
      <w:bookmarkStart w:name="_bookmark39" w:id="40"/>
      <w:bookmarkEnd w:id="40"/>
      <w:r>
        <w:rPr>
          <w:sz w:val="20"/>
          <w:vertAlign w:val="baseline"/>
        </w:rPr>
        <w:t>S</w:t>
      </w:r>
      <w:r>
        <w:rPr>
          <w:sz w:val="20"/>
          <w:vertAlign w:val="baseline"/>
        </w:rPr>
        <w:t>ource:</w:t>
      </w:r>
      <w:r>
        <w:rPr>
          <w:spacing w:val="-10"/>
          <w:sz w:val="20"/>
          <w:vertAlign w:val="baseline"/>
        </w:rPr>
        <w:t> </w:t>
      </w:r>
      <w:r>
        <w:rPr>
          <w:sz w:val="20"/>
          <w:vertAlign w:val="baseline"/>
        </w:rPr>
        <w:t>Centers</w:t>
      </w:r>
      <w:r>
        <w:rPr>
          <w:spacing w:val="-8"/>
          <w:sz w:val="20"/>
          <w:vertAlign w:val="baseline"/>
        </w:rPr>
        <w:t> </w:t>
      </w:r>
      <w:r>
        <w:rPr>
          <w:sz w:val="20"/>
          <w:vertAlign w:val="baseline"/>
        </w:rPr>
        <w:t>for</w:t>
      </w:r>
      <w:r>
        <w:rPr>
          <w:spacing w:val="-9"/>
          <w:sz w:val="20"/>
          <w:vertAlign w:val="baseline"/>
        </w:rPr>
        <w:t> </w:t>
      </w:r>
      <w:r>
        <w:rPr>
          <w:sz w:val="20"/>
          <w:vertAlign w:val="baseline"/>
        </w:rPr>
        <w:t>Disease</w:t>
      </w:r>
      <w:r>
        <w:rPr>
          <w:spacing w:val="-10"/>
          <w:sz w:val="20"/>
          <w:vertAlign w:val="baseline"/>
        </w:rPr>
        <w:t> </w:t>
      </w:r>
      <w:r>
        <w:rPr>
          <w:sz w:val="20"/>
          <w:vertAlign w:val="baseline"/>
        </w:rPr>
        <w:t>Control</w:t>
      </w:r>
      <w:r>
        <w:rPr>
          <w:spacing w:val="-9"/>
          <w:sz w:val="20"/>
          <w:vertAlign w:val="baseline"/>
        </w:rPr>
        <w:t> </w:t>
      </w:r>
      <w:r>
        <w:rPr>
          <w:sz w:val="20"/>
          <w:vertAlign w:val="baseline"/>
        </w:rPr>
        <w:t>and</w:t>
      </w:r>
      <w:r>
        <w:rPr>
          <w:spacing w:val="-8"/>
          <w:sz w:val="20"/>
          <w:vertAlign w:val="baseline"/>
        </w:rPr>
        <w:t> </w:t>
      </w:r>
      <w:r>
        <w:rPr>
          <w:sz w:val="20"/>
          <w:vertAlign w:val="baseline"/>
        </w:rPr>
        <w:t>Prevenfion</w:t>
      </w:r>
      <w:r>
        <w:rPr>
          <w:spacing w:val="-9"/>
          <w:sz w:val="20"/>
          <w:vertAlign w:val="baseline"/>
        </w:rPr>
        <w:t> </w:t>
      </w:r>
      <w:r>
        <w:rPr>
          <w:sz w:val="20"/>
          <w:vertAlign w:val="baseline"/>
        </w:rPr>
        <w:t>(CDC),</w:t>
      </w:r>
      <w:r>
        <w:rPr>
          <w:spacing w:val="-6"/>
          <w:sz w:val="20"/>
          <w:vertAlign w:val="baseline"/>
        </w:rPr>
        <w:t> </w:t>
      </w:r>
      <w:r>
        <w:rPr>
          <w:spacing w:val="-4"/>
          <w:sz w:val="20"/>
          <w:vertAlign w:val="baseline"/>
        </w:rPr>
        <w:t>2022</w:t>
      </w:r>
    </w:p>
    <w:p>
      <w:pPr>
        <w:spacing w:before="1"/>
        <w:ind w:left="1440" w:right="0" w:firstLine="0"/>
        <w:jc w:val="left"/>
        <w:rPr>
          <w:sz w:val="20"/>
        </w:rPr>
      </w:pPr>
      <w:bookmarkStart w:name="_bookmark40" w:id="41"/>
      <w:bookmarkEnd w:id="41"/>
      <w:r>
        <w:rPr/>
      </w:r>
      <w:r>
        <w:rPr>
          <w:sz w:val="20"/>
          <w:vertAlign w:val="superscript"/>
        </w:rPr>
        <w:t>73</w:t>
      </w:r>
      <w:r>
        <w:rPr>
          <w:spacing w:val="-8"/>
          <w:sz w:val="20"/>
          <w:vertAlign w:val="baseline"/>
        </w:rPr>
        <w:t> </w:t>
      </w:r>
      <w:r>
        <w:rPr>
          <w:sz w:val="20"/>
          <w:vertAlign w:val="baseline"/>
        </w:rPr>
        <w:t>Source:</w:t>
      </w:r>
      <w:r>
        <w:rPr>
          <w:spacing w:val="-7"/>
          <w:sz w:val="20"/>
          <w:vertAlign w:val="baseline"/>
        </w:rPr>
        <w:t> </w:t>
      </w:r>
      <w:r>
        <w:rPr>
          <w:sz w:val="20"/>
          <w:vertAlign w:val="baseline"/>
        </w:rPr>
        <w:t>U.S.</w:t>
      </w:r>
      <w:r>
        <w:rPr>
          <w:spacing w:val="-7"/>
          <w:sz w:val="20"/>
          <w:vertAlign w:val="baseline"/>
        </w:rPr>
        <w:t> </w:t>
      </w:r>
      <w:r>
        <w:rPr>
          <w:sz w:val="20"/>
          <w:vertAlign w:val="baseline"/>
        </w:rPr>
        <w:t>Census</w:t>
      </w:r>
      <w:r>
        <w:rPr>
          <w:spacing w:val="-8"/>
          <w:sz w:val="20"/>
          <w:vertAlign w:val="baseline"/>
        </w:rPr>
        <w:t> </w:t>
      </w:r>
      <w:r>
        <w:rPr>
          <w:sz w:val="20"/>
          <w:vertAlign w:val="baseline"/>
        </w:rPr>
        <w:t>and</w:t>
      </w:r>
      <w:r>
        <w:rPr>
          <w:spacing w:val="-6"/>
          <w:sz w:val="20"/>
          <w:vertAlign w:val="baseline"/>
        </w:rPr>
        <w:t> </w:t>
      </w:r>
      <w:r>
        <w:rPr>
          <w:sz w:val="20"/>
          <w:vertAlign w:val="baseline"/>
        </w:rPr>
        <w:t>2023</w:t>
      </w:r>
      <w:r>
        <w:rPr>
          <w:spacing w:val="-5"/>
          <w:sz w:val="20"/>
          <w:vertAlign w:val="baseline"/>
        </w:rPr>
        <w:t> </w:t>
      </w:r>
      <w:r>
        <w:rPr>
          <w:sz w:val="20"/>
          <w:vertAlign w:val="baseline"/>
        </w:rPr>
        <w:t>American</w:t>
      </w:r>
      <w:r>
        <w:rPr>
          <w:spacing w:val="-6"/>
          <w:sz w:val="20"/>
          <w:vertAlign w:val="baseline"/>
        </w:rPr>
        <w:t> </w:t>
      </w:r>
      <w:r>
        <w:rPr>
          <w:sz w:val="20"/>
          <w:vertAlign w:val="baseline"/>
        </w:rPr>
        <w:t>Community</w:t>
      </w:r>
      <w:r>
        <w:rPr>
          <w:spacing w:val="-6"/>
          <w:sz w:val="20"/>
          <w:vertAlign w:val="baseline"/>
        </w:rPr>
        <w:t> </w:t>
      </w:r>
      <w:r>
        <w:rPr>
          <w:spacing w:val="-2"/>
          <w:sz w:val="20"/>
          <w:vertAlign w:val="baseline"/>
        </w:rPr>
        <w:t>Survey</w:t>
      </w:r>
    </w:p>
    <w:p>
      <w:pPr>
        <w:spacing w:after="0"/>
        <w:jc w:val="left"/>
        <w:rPr>
          <w:sz w:val="20"/>
        </w:rPr>
        <w:sectPr>
          <w:pgSz w:w="12240" w:h="15840"/>
          <w:pgMar w:header="161" w:footer="1223" w:top="1360" w:bottom="1420" w:left="0" w:right="0"/>
        </w:sectPr>
      </w:pPr>
    </w:p>
    <w:p>
      <w:pPr>
        <w:pStyle w:val="BodyText"/>
        <w:spacing w:before="64"/>
      </w:pPr>
      <w:r>
        <w:rPr/>
        <w:t>of</w:t>
      </w:r>
      <w:r>
        <w:rPr>
          <w:spacing w:val="-6"/>
        </w:rPr>
        <w:t> </w:t>
      </w:r>
      <w:r>
        <w:rPr/>
        <w:t>15%</w:t>
      </w:r>
      <w:r>
        <w:rPr>
          <w:spacing w:val="-7"/>
        </w:rPr>
        <w:t> </w:t>
      </w:r>
      <w:r>
        <w:rPr/>
        <w:t>from</w:t>
      </w:r>
      <w:r>
        <w:rPr>
          <w:spacing w:val="-6"/>
        </w:rPr>
        <w:t> </w:t>
      </w:r>
      <w:r>
        <w:rPr/>
        <w:t>2016.</w:t>
      </w:r>
      <w:r>
        <w:rPr>
          <w:spacing w:val="-8"/>
        </w:rPr>
        <w:t> </w:t>
      </w:r>
      <w:r>
        <w:rPr/>
        <w:t>The</w:t>
      </w:r>
      <w:r>
        <w:rPr>
          <w:spacing w:val="-4"/>
        </w:rPr>
        <w:t> </w:t>
      </w:r>
      <w:r>
        <w:rPr/>
        <w:t>rate</w:t>
      </w:r>
      <w:r>
        <w:rPr>
          <w:spacing w:val="-7"/>
        </w:rPr>
        <w:t> </w:t>
      </w:r>
      <w:r>
        <w:rPr/>
        <w:t>of</w:t>
      </w:r>
      <w:r>
        <w:rPr>
          <w:spacing w:val="-5"/>
        </w:rPr>
        <w:t> </w:t>
      </w:r>
      <w:r>
        <w:rPr/>
        <w:t>immunizafion</w:t>
      </w:r>
      <w:r>
        <w:rPr>
          <w:spacing w:val="-6"/>
        </w:rPr>
        <w:t> </w:t>
      </w:r>
      <w:r>
        <w:rPr/>
        <w:t>complefion</w:t>
      </w:r>
      <w:r>
        <w:rPr>
          <w:spacing w:val="-6"/>
        </w:rPr>
        <w:t> </w:t>
      </w:r>
      <w:r>
        <w:rPr/>
        <w:t>remained</w:t>
      </w:r>
      <w:r>
        <w:rPr>
          <w:spacing w:val="-5"/>
        </w:rPr>
        <w:t> </w:t>
      </w:r>
      <w:r>
        <w:rPr/>
        <w:t>relafively</w:t>
      </w:r>
      <w:r>
        <w:rPr>
          <w:spacing w:val="-5"/>
        </w:rPr>
        <w:t> </w:t>
      </w:r>
      <w:r>
        <w:rPr/>
        <w:t>stable</w:t>
      </w:r>
      <w:r>
        <w:rPr>
          <w:spacing w:val="-4"/>
        </w:rPr>
        <w:t> </w:t>
      </w:r>
      <w:r>
        <w:rPr/>
        <w:t>between</w:t>
      </w:r>
      <w:r>
        <w:rPr>
          <w:spacing w:val="-6"/>
        </w:rPr>
        <w:t> </w:t>
      </w:r>
      <w:r>
        <w:rPr/>
        <w:t>2019</w:t>
      </w:r>
      <w:r>
        <w:rPr>
          <w:spacing w:val="-4"/>
        </w:rPr>
        <w:t> </w:t>
      </w:r>
      <w:r>
        <w:rPr>
          <w:spacing w:val="-5"/>
        </w:rPr>
        <w:t>and</w:t>
      </w:r>
    </w:p>
    <w:p>
      <w:pPr>
        <w:pStyle w:val="BodyText"/>
        <w:spacing w:before="22"/>
      </w:pPr>
      <w:r>
        <w:rPr/>
        <w:t>2025,</w:t>
      </w:r>
      <w:r>
        <w:rPr>
          <w:spacing w:val="-5"/>
        </w:rPr>
        <w:t> </w:t>
      </w:r>
      <w:r>
        <w:rPr/>
        <w:t>increasing</w:t>
      </w:r>
      <w:r>
        <w:rPr>
          <w:spacing w:val="-6"/>
        </w:rPr>
        <w:t> </w:t>
      </w:r>
      <w:r>
        <w:rPr/>
        <w:t>by</w:t>
      </w:r>
      <w:r>
        <w:rPr>
          <w:spacing w:val="-4"/>
        </w:rPr>
        <w:t> </w:t>
      </w:r>
      <w:r>
        <w:rPr/>
        <w:t>only</w:t>
      </w:r>
      <w:r>
        <w:rPr>
          <w:spacing w:val="-4"/>
        </w:rPr>
        <w:t> </w:t>
      </w:r>
      <w:r>
        <w:rPr>
          <w:spacing w:val="-2"/>
        </w:rPr>
        <w:t>0.22%.</w:t>
      </w:r>
    </w:p>
    <w:p>
      <w:pPr>
        <w:spacing w:before="180"/>
        <w:ind w:left="1440" w:right="0" w:firstLine="0"/>
        <w:jc w:val="left"/>
        <w:rPr>
          <w:i/>
          <w:sz w:val="18"/>
        </w:rPr>
      </w:pPr>
      <w:r>
        <w:rPr>
          <w:i/>
          <w:sz w:val="18"/>
        </w:rPr>
        <w:t>Table</w:t>
      </w:r>
      <w:r>
        <w:rPr>
          <w:i/>
          <w:spacing w:val="-6"/>
          <w:sz w:val="18"/>
        </w:rPr>
        <w:t> </w:t>
      </w:r>
      <w:r>
        <w:rPr>
          <w:i/>
          <w:sz w:val="18"/>
        </w:rPr>
        <w:t>Y5.</w:t>
      </w:r>
      <w:r>
        <w:rPr>
          <w:i/>
          <w:spacing w:val="31"/>
          <w:sz w:val="18"/>
        </w:rPr>
        <w:t> </w:t>
      </w:r>
      <w:r>
        <w:rPr>
          <w:i/>
          <w:sz w:val="18"/>
        </w:rPr>
        <w:t>4:3:1:3:3:1:4</w:t>
      </w:r>
      <w:r>
        <w:rPr>
          <w:i/>
          <w:spacing w:val="-6"/>
          <w:sz w:val="18"/>
        </w:rPr>
        <w:t> </w:t>
      </w:r>
      <w:r>
        <w:rPr>
          <w:i/>
          <w:spacing w:val="-2"/>
          <w:sz w:val="18"/>
        </w:rPr>
        <w:t>Schedule</w:t>
      </w:r>
    </w:p>
    <w:p>
      <w:pPr>
        <w:pStyle w:val="BodyText"/>
        <w:spacing w:before="8"/>
        <w:ind w:left="0"/>
        <w:rPr>
          <w:i/>
          <w:sz w:val="14"/>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75"/>
        <w:gridCol w:w="4675"/>
      </w:tblGrid>
      <w:tr>
        <w:trPr>
          <w:trHeight w:val="299" w:hRule="atLeast"/>
        </w:trPr>
        <w:tc>
          <w:tcPr>
            <w:tcW w:w="4675" w:type="dxa"/>
            <w:shd w:val="clear" w:color="auto" w:fill="145F82"/>
          </w:tcPr>
          <w:p>
            <w:pPr>
              <w:pStyle w:val="TableParagraph"/>
              <w:spacing w:line="266" w:lineRule="exact" w:before="13"/>
              <w:ind w:left="11" w:right="1"/>
              <w:jc w:val="center"/>
              <w:rPr>
                <w:b/>
                <w:sz w:val="22"/>
              </w:rPr>
            </w:pPr>
            <w:r>
              <w:rPr>
                <w:b/>
                <w:color w:val="FFFFFF"/>
                <w:spacing w:val="-2"/>
                <w:sz w:val="22"/>
              </w:rPr>
              <w:t>Vaccine</w:t>
            </w:r>
            <w:r>
              <w:rPr>
                <w:b/>
                <w:color w:val="FFFFFF"/>
                <w:spacing w:val="-4"/>
                <w:sz w:val="22"/>
              </w:rPr>
              <w:t> Type</w:t>
            </w:r>
          </w:p>
        </w:tc>
        <w:tc>
          <w:tcPr>
            <w:tcW w:w="4675" w:type="dxa"/>
            <w:shd w:val="clear" w:color="auto" w:fill="145F82"/>
          </w:tcPr>
          <w:p>
            <w:pPr>
              <w:pStyle w:val="TableParagraph"/>
              <w:spacing w:line="266" w:lineRule="exact" w:before="13"/>
              <w:ind w:left="11"/>
              <w:jc w:val="center"/>
              <w:rPr>
                <w:b/>
                <w:sz w:val="22"/>
              </w:rPr>
            </w:pPr>
            <w:r>
              <w:rPr>
                <w:b/>
                <w:color w:val="FFFFFF"/>
                <w:sz w:val="22"/>
              </w:rPr>
              <w:t>Number</w:t>
            </w:r>
            <w:r>
              <w:rPr>
                <w:b/>
                <w:color w:val="FFFFFF"/>
                <w:spacing w:val="-4"/>
                <w:sz w:val="22"/>
              </w:rPr>
              <w:t> </w:t>
            </w:r>
            <w:r>
              <w:rPr>
                <w:b/>
                <w:color w:val="FFFFFF"/>
                <w:sz w:val="22"/>
              </w:rPr>
              <w:t>of</w:t>
            </w:r>
            <w:r>
              <w:rPr>
                <w:b/>
                <w:color w:val="FFFFFF"/>
                <w:spacing w:val="-1"/>
                <w:sz w:val="22"/>
              </w:rPr>
              <w:t> </w:t>
            </w:r>
            <w:r>
              <w:rPr>
                <w:b/>
                <w:color w:val="FFFFFF"/>
                <w:spacing w:val="-4"/>
                <w:sz w:val="22"/>
              </w:rPr>
              <w:t>Doses</w:t>
            </w:r>
          </w:p>
        </w:tc>
      </w:tr>
      <w:tr>
        <w:trPr>
          <w:trHeight w:val="299" w:hRule="atLeast"/>
        </w:trPr>
        <w:tc>
          <w:tcPr>
            <w:tcW w:w="4675" w:type="dxa"/>
          </w:tcPr>
          <w:p>
            <w:pPr>
              <w:pStyle w:val="TableParagraph"/>
              <w:spacing w:line="266" w:lineRule="exact" w:before="13"/>
              <w:ind w:left="11" w:right="3"/>
              <w:jc w:val="center"/>
              <w:rPr>
                <w:sz w:val="22"/>
              </w:rPr>
            </w:pPr>
            <w:r>
              <w:rPr>
                <w:spacing w:val="-2"/>
                <w:sz w:val="22"/>
              </w:rPr>
              <w:t>Diphtheria,</w:t>
            </w:r>
            <w:r>
              <w:rPr>
                <w:spacing w:val="1"/>
                <w:sz w:val="22"/>
              </w:rPr>
              <w:t> </w:t>
            </w:r>
            <w:r>
              <w:rPr>
                <w:spacing w:val="-2"/>
                <w:sz w:val="22"/>
              </w:rPr>
              <w:t>Tetanus,</w:t>
            </w:r>
            <w:r>
              <w:rPr>
                <w:spacing w:val="4"/>
                <w:sz w:val="22"/>
              </w:rPr>
              <w:t> </w:t>
            </w:r>
            <w:r>
              <w:rPr>
                <w:spacing w:val="-2"/>
                <w:sz w:val="22"/>
              </w:rPr>
              <w:t>and</w:t>
            </w:r>
            <w:r>
              <w:rPr>
                <w:sz w:val="22"/>
              </w:rPr>
              <w:t> </w:t>
            </w:r>
            <w:r>
              <w:rPr>
                <w:spacing w:val="-2"/>
                <w:sz w:val="22"/>
              </w:rPr>
              <w:t>Pertussis</w:t>
            </w:r>
            <w:r>
              <w:rPr>
                <w:spacing w:val="4"/>
                <w:sz w:val="22"/>
              </w:rPr>
              <w:t> </w:t>
            </w:r>
            <w:r>
              <w:rPr>
                <w:spacing w:val="-2"/>
                <w:sz w:val="22"/>
              </w:rPr>
              <w:t>(DTaP)</w:t>
            </w:r>
          </w:p>
        </w:tc>
        <w:tc>
          <w:tcPr>
            <w:tcW w:w="4675" w:type="dxa"/>
          </w:tcPr>
          <w:p>
            <w:pPr>
              <w:pStyle w:val="TableParagraph"/>
              <w:spacing w:line="266" w:lineRule="exact" w:before="13"/>
              <w:ind w:left="11"/>
              <w:jc w:val="center"/>
              <w:rPr>
                <w:sz w:val="22"/>
              </w:rPr>
            </w:pPr>
            <w:r>
              <w:rPr>
                <w:spacing w:val="-10"/>
                <w:sz w:val="22"/>
              </w:rPr>
              <w:t>4</w:t>
            </w:r>
          </w:p>
        </w:tc>
      </w:tr>
      <w:tr>
        <w:trPr>
          <w:trHeight w:val="299" w:hRule="atLeast"/>
        </w:trPr>
        <w:tc>
          <w:tcPr>
            <w:tcW w:w="4675" w:type="dxa"/>
          </w:tcPr>
          <w:p>
            <w:pPr>
              <w:pStyle w:val="TableParagraph"/>
              <w:spacing w:line="264" w:lineRule="exact" w:before="16"/>
              <w:ind w:left="11" w:right="2"/>
              <w:jc w:val="center"/>
              <w:rPr>
                <w:sz w:val="22"/>
              </w:rPr>
            </w:pPr>
            <w:r>
              <w:rPr>
                <w:sz w:val="22"/>
              </w:rPr>
              <w:t>Polio</w:t>
            </w:r>
            <w:r>
              <w:rPr>
                <w:spacing w:val="-5"/>
                <w:sz w:val="22"/>
              </w:rPr>
              <w:t> </w:t>
            </w:r>
            <w:r>
              <w:rPr>
                <w:spacing w:val="-2"/>
                <w:sz w:val="22"/>
              </w:rPr>
              <w:t>(IPV)</w:t>
            </w:r>
          </w:p>
        </w:tc>
        <w:tc>
          <w:tcPr>
            <w:tcW w:w="4675" w:type="dxa"/>
          </w:tcPr>
          <w:p>
            <w:pPr>
              <w:pStyle w:val="TableParagraph"/>
              <w:spacing w:line="264" w:lineRule="exact" w:before="16"/>
              <w:ind w:left="11"/>
              <w:jc w:val="center"/>
              <w:rPr>
                <w:sz w:val="22"/>
              </w:rPr>
            </w:pPr>
            <w:r>
              <w:rPr>
                <w:spacing w:val="-10"/>
                <w:sz w:val="22"/>
              </w:rPr>
              <w:t>3</w:t>
            </w:r>
          </w:p>
        </w:tc>
      </w:tr>
      <w:tr>
        <w:trPr>
          <w:trHeight w:val="299" w:hRule="atLeast"/>
        </w:trPr>
        <w:tc>
          <w:tcPr>
            <w:tcW w:w="4675" w:type="dxa"/>
          </w:tcPr>
          <w:p>
            <w:pPr>
              <w:pStyle w:val="TableParagraph"/>
              <w:spacing w:line="264" w:lineRule="exact" w:before="15"/>
              <w:ind w:left="11" w:right="2"/>
              <w:jc w:val="center"/>
              <w:rPr>
                <w:sz w:val="22"/>
              </w:rPr>
            </w:pPr>
            <w:r>
              <w:rPr>
                <w:sz w:val="22"/>
              </w:rPr>
              <w:t>Measles,</w:t>
            </w:r>
            <w:r>
              <w:rPr>
                <w:spacing w:val="-6"/>
                <w:sz w:val="22"/>
              </w:rPr>
              <w:t> </w:t>
            </w:r>
            <w:r>
              <w:rPr>
                <w:sz w:val="22"/>
              </w:rPr>
              <w:t>Mumps,</w:t>
            </w:r>
            <w:r>
              <w:rPr>
                <w:spacing w:val="-3"/>
                <w:sz w:val="22"/>
              </w:rPr>
              <w:t> </w:t>
            </w:r>
            <w:r>
              <w:rPr>
                <w:sz w:val="22"/>
              </w:rPr>
              <w:t>Rubella</w:t>
            </w:r>
            <w:r>
              <w:rPr>
                <w:spacing w:val="-5"/>
                <w:sz w:val="22"/>
              </w:rPr>
              <w:t> </w:t>
            </w:r>
            <w:r>
              <w:rPr>
                <w:spacing w:val="-4"/>
                <w:sz w:val="22"/>
              </w:rPr>
              <w:t>(MMR)</w:t>
            </w:r>
          </w:p>
        </w:tc>
        <w:tc>
          <w:tcPr>
            <w:tcW w:w="4675" w:type="dxa"/>
          </w:tcPr>
          <w:p>
            <w:pPr>
              <w:pStyle w:val="TableParagraph"/>
              <w:spacing w:line="264" w:lineRule="exact" w:before="15"/>
              <w:ind w:left="11"/>
              <w:jc w:val="center"/>
              <w:rPr>
                <w:sz w:val="22"/>
              </w:rPr>
            </w:pPr>
            <w:r>
              <w:rPr>
                <w:spacing w:val="-10"/>
                <w:sz w:val="22"/>
              </w:rPr>
              <w:t>1</w:t>
            </w:r>
          </w:p>
        </w:tc>
      </w:tr>
      <w:tr>
        <w:trPr>
          <w:trHeight w:val="299" w:hRule="atLeast"/>
        </w:trPr>
        <w:tc>
          <w:tcPr>
            <w:tcW w:w="4675" w:type="dxa"/>
          </w:tcPr>
          <w:p>
            <w:pPr>
              <w:pStyle w:val="TableParagraph"/>
              <w:spacing w:line="264" w:lineRule="exact" w:before="15"/>
              <w:ind w:left="11" w:right="5"/>
              <w:jc w:val="center"/>
              <w:rPr>
                <w:sz w:val="22"/>
              </w:rPr>
            </w:pPr>
            <w:r>
              <w:rPr>
                <w:sz w:val="22"/>
              </w:rPr>
              <w:t>Hepafifis</w:t>
            </w:r>
            <w:r>
              <w:rPr>
                <w:spacing w:val="2"/>
                <w:sz w:val="22"/>
              </w:rPr>
              <w:t> </w:t>
            </w:r>
            <w:r>
              <w:rPr>
                <w:spacing w:val="-10"/>
                <w:sz w:val="22"/>
              </w:rPr>
              <w:t>B</w:t>
            </w:r>
          </w:p>
        </w:tc>
        <w:tc>
          <w:tcPr>
            <w:tcW w:w="4675" w:type="dxa"/>
          </w:tcPr>
          <w:p>
            <w:pPr>
              <w:pStyle w:val="TableParagraph"/>
              <w:spacing w:line="264" w:lineRule="exact" w:before="15"/>
              <w:ind w:left="11"/>
              <w:jc w:val="center"/>
              <w:rPr>
                <w:sz w:val="22"/>
              </w:rPr>
            </w:pPr>
            <w:r>
              <w:rPr>
                <w:spacing w:val="-10"/>
                <w:sz w:val="22"/>
              </w:rPr>
              <w:t>3</w:t>
            </w:r>
          </w:p>
        </w:tc>
      </w:tr>
      <w:tr>
        <w:trPr>
          <w:trHeight w:val="301" w:hRule="atLeast"/>
        </w:trPr>
        <w:tc>
          <w:tcPr>
            <w:tcW w:w="4675" w:type="dxa"/>
          </w:tcPr>
          <w:p>
            <w:pPr>
              <w:pStyle w:val="TableParagraph"/>
              <w:spacing w:line="266" w:lineRule="exact" w:before="15"/>
              <w:ind w:left="11"/>
              <w:jc w:val="center"/>
              <w:rPr>
                <w:sz w:val="22"/>
              </w:rPr>
            </w:pPr>
            <w:r>
              <w:rPr>
                <w:sz w:val="22"/>
              </w:rPr>
              <w:t>Haemophilus</w:t>
            </w:r>
            <w:r>
              <w:rPr>
                <w:spacing w:val="-7"/>
                <w:sz w:val="22"/>
              </w:rPr>
              <w:t> </w:t>
            </w:r>
            <w:r>
              <w:rPr>
                <w:sz w:val="22"/>
              </w:rPr>
              <w:t>infuenzae</w:t>
            </w:r>
            <w:r>
              <w:rPr>
                <w:spacing w:val="-5"/>
                <w:sz w:val="22"/>
              </w:rPr>
              <w:t> </w:t>
            </w:r>
            <w:r>
              <w:rPr>
                <w:sz w:val="22"/>
              </w:rPr>
              <w:t>type</w:t>
            </w:r>
            <w:r>
              <w:rPr>
                <w:spacing w:val="-6"/>
                <w:sz w:val="22"/>
              </w:rPr>
              <w:t> </w:t>
            </w:r>
            <w:r>
              <w:rPr>
                <w:sz w:val="22"/>
              </w:rPr>
              <w:t>B</w:t>
            </w:r>
            <w:r>
              <w:rPr>
                <w:spacing w:val="-6"/>
                <w:sz w:val="22"/>
              </w:rPr>
              <w:t> </w:t>
            </w:r>
            <w:r>
              <w:rPr>
                <w:spacing w:val="-2"/>
                <w:sz w:val="22"/>
              </w:rPr>
              <w:t>(Hib)</w:t>
            </w:r>
          </w:p>
        </w:tc>
        <w:tc>
          <w:tcPr>
            <w:tcW w:w="4675" w:type="dxa"/>
          </w:tcPr>
          <w:p>
            <w:pPr>
              <w:pStyle w:val="TableParagraph"/>
              <w:spacing w:line="266" w:lineRule="exact" w:before="15"/>
              <w:ind w:left="11"/>
              <w:jc w:val="center"/>
              <w:rPr>
                <w:sz w:val="22"/>
              </w:rPr>
            </w:pPr>
            <w:r>
              <w:rPr>
                <w:spacing w:val="-10"/>
                <w:sz w:val="22"/>
              </w:rPr>
              <w:t>3</w:t>
            </w:r>
          </w:p>
        </w:tc>
      </w:tr>
      <w:tr>
        <w:trPr>
          <w:trHeight w:val="299" w:hRule="atLeast"/>
        </w:trPr>
        <w:tc>
          <w:tcPr>
            <w:tcW w:w="4675" w:type="dxa"/>
          </w:tcPr>
          <w:p>
            <w:pPr>
              <w:pStyle w:val="TableParagraph"/>
              <w:spacing w:line="266" w:lineRule="exact" w:before="13"/>
              <w:ind w:left="11"/>
              <w:jc w:val="center"/>
              <w:rPr>
                <w:sz w:val="22"/>
              </w:rPr>
            </w:pPr>
            <w:r>
              <w:rPr>
                <w:spacing w:val="-2"/>
                <w:sz w:val="22"/>
              </w:rPr>
              <w:t>Varicella</w:t>
            </w:r>
          </w:p>
        </w:tc>
        <w:tc>
          <w:tcPr>
            <w:tcW w:w="4675" w:type="dxa"/>
          </w:tcPr>
          <w:p>
            <w:pPr>
              <w:pStyle w:val="TableParagraph"/>
              <w:spacing w:line="266" w:lineRule="exact" w:before="13"/>
              <w:ind w:left="11"/>
              <w:jc w:val="center"/>
              <w:rPr>
                <w:sz w:val="22"/>
              </w:rPr>
            </w:pPr>
            <w:r>
              <w:rPr>
                <w:spacing w:val="-10"/>
                <w:sz w:val="22"/>
              </w:rPr>
              <w:t>1</w:t>
            </w:r>
          </w:p>
        </w:tc>
      </w:tr>
      <w:tr>
        <w:trPr>
          <w:trHeight w:val="299" w:hRule="atLeast"/>
        </w:trPr>
        <w:tc>
          <w:tcPr>
            <w:tcW w:w="4675" w:type="dxa"/>
          </w:tcPr>
          <w:p>
            <w:pPr>
              <w:pStyle w:val="TableParagraph"/>
              <w:spacing w:line="266" w:lineRule="exact" w:before="13"/>
              <w:ind w:left="11"/>
              <w:jc w:val="center"/>
              <w:rPr>
                <w:sz w:val="22"/>
              </w:rPr>
            </w:pPr>
            <w:r>
              <w:rPr>
                <w:spacing w:val="-2"/>
                <w:sz w:val="22"/>
              </w:rPr>
              <w:t>Pneumococcal</w:t>
            </w:r>
            <w:r>
              <w:rPr>
                <w:spacing w:val="3"/>
                <w:sz w:val="22"/>
              </w:rPr>
              <w:t> </w:t>
            </w:r>
            <w:r>
              <w:rPr>
                <w:spacing w:val="-2"/>
                <w:sz w:val="22"/>
              </w:rPr>
              <w:t>Conjugate</w:t>
            </w:r>
            <w:r>
              <w:rPr>
                <w:spacing w:val="5"/>
                <w:sz w:val="22"/>
              </w:rPr>
              <w:t> </w:t>
            </w:r>
            <w:r>
              <w:rPr>
                <w:spacing w:val="-2"/>
                <w:sz w:val="22"/>
              </w:rPr>
              <w:t>Vaccine</w:t>
            </w:r>
            <w:r>
              <w:rPr>
                <w:spacing w:val="6"/>
                <w:sz w:val="22"/>
              </w:rPr>
              <w:t> </w:t>
            </w:r>
            <w:r>
              <w:rPr>
                <w:spacing w:val="-4"/>
                <w:sz w:val="22"/>
              </w:rPr>
              <w:t>(PCV)</w:t>
            </w:r>
          </w:p>
        </w:tc>
        <w:tc>
          <w:tcPr>
            <w:tcW w:w="4675" w:type="dxa"/>
          </w:tcPr>
          <w:p>
            <w:pPr>
              <w:pStyle w:val="TableParagraph"/>
              <w:spacing w:line="266" w:lineRule="exact" w:before="13"/>
              <w:ind w:left="11"/>
              <w:jc w:val="center"/>
              <w:rPr>
                <w:sz w:val="22"/>
              </w:rPr>
            </w:pPr>
            <w:r>
              <w:rPr>
                <w:spacing w:val="-10"/>
                <w:sz w:val="22"/>
              </w:rPr>
              <w:t>4</w:t>
            </w:r>
          </w:p>
        </w:tc>
      </w:tr>
    </w:tbl>
    <w:p>
      <w:pPr>
        <w:pStyle w:val="BodyText"/>
        <w:ind w:left="0"/>
        <w:rPr>
          <w:i/>
          <w:sz w:val="18"/>
        </w:rPr>
      </w:pPr>
    </w:p>
    <w:p>
      <w:pPr>
        <w:pStyle w:val="BodyText"/>
        <w:spacing w:before="16"/>
        <w:ind w:left="0"/>
        <w:rPr>
          <w:i/>
          <w:sz w:val="18"/>
        </w:rPr>
      </w:pPr>
    </w:p>
    <w:p>
      <w:pPr>
        <w:pStyle w:val="BodyText"/>
        <w:spacing w:line="259" w:lineRule="auto"/>
        <w:ind w:right="1467"/>
      </w:pPr>
      <w:r>
        <w:rPr/>
        <w:t>As of January 1, 2025, Yates County’s MMR (Measles, Mumps, Rubella) vaccinafion rate is the worst in the</w:t>
      </w:r>
      <w:r>
        <w:rPr>
          <w:spacing w:val="-3"/>
        </w:rPr>
        <w:t> </w:t>
      </w:r>
      <w:r>
        <w:rPr/>
        <w:t>state</w:t>
      </w:r>
      <w:r>
        <w:rPr>
          <w:spacing w:val="-6"/>
        </w:rPr>
        <w:t> </w:t>
      </w:r>
      <w:r>
        <w:rPr/>
        <w:t>with</w:t>
      </w:r>
      <w:r>
        <w:rPr>
          <w:spacing w:val="-7"/>
        </w:rPr>
        <w:t> </w:t>
      </w:r>
      <w:r>
        <w:rPr/>
        <w:t>only</w:t>
      </w:r>
      <w:r>
        <w:rPr>
          <w:spacing w:val="-5"/>
        </w:rPr>
        <w:t> </w:t>
      </w:r>
      <w:r>
        <w:rPr/>
        <w:t>55.8%</w:t>
      </w:r>
      <w:r>
        <w:rPr>
          <w:spacing w:val="-6"/>
        </w:rPr>
        <w:t> </w:t>
      </w:r>
      <w:r>
        <w:rPr/>
        <w:t>of</w:t>
      </w:r>
      <w:r>
        <w:rPr>
          <w:spacing w:val="-4"/>
        </w:rPr>
        <w:t> </w:t>
      </w:r>
      <w:r>
        <w:rPr/>
        <w:t>residence</w:t>
      </w:r>
      <w:r>
        <w:rPr>
          <w:spacing w:val="-3"/>
        </w:rPr>
        <w:t> </w:t>
      </w:r>
      <w:r>
        <w:rPr/>
        <w:t>receiving</w:t>
      </w:r>
      <w:r>
        <w:rPr>
          <w:spacing w:val="-4"/>
        </w:rPr>
        <w:t> </w:t>
      </w:r>
      <w:r>
        <w:rPr/>
        <w:t>one</w:t>
      </w:r>
      <w:r>
        <w:rPr>
          <w:spacing w:val="-6"/>
        </w:rPr>
        <w:t> </w:t>
      </w:r>
      <w:r>
        <w:rPr/>
        <w:t>MMR</w:t>
      </w:r>
      <w:r>
        <w:rPr>
          <w:spacing w:val="-6"/>
        </w:rPr>
        <w:t> </w:t>
      </w:r>
      <w:r>
        <w:rPr/>
        <w:t>dose</w:t>
      </w:r>
      <w:r>
        <w:rPr>
          <w:spacing w:val="-3"/>
        </w:rPr>
        <w:t> </w:t>
      </w:r>
      <w:r>
        <w:rPr/>
        <w:t>by</w:t>
      </w:r>
      <w:r>
        <w:rPr>
          <w:spacing w:val="-5"/>
        </w:rPr>
        <w:t> </w:t>
      </w:r>
      <w:r>
        <w:rPr/>
        <w:t>2</w:t>
      </w:r>
      <w:r>
        <w:rPr>
          <w:spacing w:val="-5"/>
        </w:rPr>
        <w:t> </w:t>
      </w:r>
      <w:r>
        <w:rPr/>
        <w:t>years</w:t>
      </w:r>
      <w:r>
        <w:rPr>
          <w:spacing w:val="-6"/>
        </w:rPr>
        <w:t> </w:t>
      </w:r>
      <w:r>
        <w:rPr/>
        <w:t>of</w:t>
      </w:r>
      <w:r>
        <w:rPr>
          <w:spacing w:val="-4"/>
        </w:rPr>
        <w:t> </w:t>
      </w:r>
      <w:r>
        <w:rPr/>
        <w:t>age,</w:t>
      </w:r>
      <w:r>
        <w:rPr>
          <w:spacing w:val="-4"/>
        </w:rPr>
        <w:t> </w:t>
      </w:r>
      <w:r>
        <w:rPr/>
        <w:t>compared</w:t>
      </w:r>
      <w:r>
        <w:rPr>
          <w:spacing w:val="-4"/>
        </w:rPr>
        <w:t> </w:t>
      </w:r>
      <w:r>
        <w:rPr/>
        <w:t>to</w:t>
      </w:r>
      <w:r>
        <w:rPr>
          <w:spacing w:val="-3"/>
        </w:rPr>
        <w:t> </w:t>
      </w:r>
      <w:r>
        <w:rPr/>
        <w:t>the</w:t>
      </w:r>
      <w:r>
        <w:rPr>
          <w:spacing w:val="-3"/>
        </w:rPr>
        <w:t> </w:t>
      </w:r>
      <w:r>
        <w:rPr/>
        <w:t>state average</w:t>
      </w:r>
      <w:r>
        <w:rPr>
          <w:spacing w:val="-1"/>
        </w:rPr>
        <w:t> </w:t>
      </w:r>
      <w:r>
        <w:rPr/>
        <w:t>of</w:t>
      </w:r>
      <w:r>
        <w:rPr>
          <w:spacing w:val="-5"/>
        </w:rPr>
        <w:t> </w:t>
      </w:r>
      <w:r>
        <w:rPr/>
        <w:t>81.2%</w:t>
      </w:r>
      <w:r>
        <w:rPr>
          <w:spacing w:val="-1"/>
        </w:rPr>
        <w:t> </w:t>
      </w:r>
      <w:r>
        <w:rPr/>
        <w:t>and</w:t>
      </w:r>
      <w:r>
        <w:rPr>
          <w:spacing w:val="-3"/>
        </w:rPr>
        <w:t> </w:t>
      </w:r>
      <w:r>
        <w:rPr/>
        <w:t>below</w:t>
      </w:r>
      <w:r>
        <w:rPr>
          <w:spacing w:val="-1"/>
        </w:rPr>
        <w:t> </w:t>
      </w:r>
      <w:r>
        <w:rPr/>
        <w:t>the</w:t>
      </w:r>
      <w:r>
        <w:rPr>
          <w:spacing w:val="-4"/>
        </w:rPr>
        <w:t> </w:t>
      </w:r>
      <w:r>
        <w:rPr/>
        <w:t>95%</w:t>
      </w:r>
      <w:r>
        <w:rPr>
          <w:spacing w:val="-4"/>
        </w:rPr>
        <w:t> </w:t>
      </w:r>
      <w:r>
        <w:rPr/>
        <w:t>threshold</w:t>
      </w:r>
      <w:r>
        <w:rPr>
          <w:spacing w:val="-3"/>
        </w:rPr>
        <w:t> </w:t>
      </w:r>
      <w:r>
        <w:rPr/>
        <w:t>to achieve</w:t>
      </w:r>
      <w:r>
        <w:rPr>
          <w:spacing w:val="-1"/>
        </w:rPr>
        <w:t> </w:t>
      </w:r>
      <w:r>
        <w:rPr/>
        <w:t>herd</w:t>
      </w:r>
      <w:r>
        <w:rPr>
          <w:spacing w:val="-5"/>
        </w:rPr>
        <w:t> </w:t>
      </w:r>
      <w:r>
        <w:rPr/>
        <w:t>immunity.</w:t>
      </w:r>
      <w:r>
        <w:rPr>
          <w:spacing w:val="-2"/>
        </w:rPr>
        <w:t> </w:t>
      </w:r>
      <w:r>
        <w:rPr/>
        <w:t>The</w:t>
      </w:r>
      <w:r>
        <w:rPr>
          <w:spacing w:val="-4"/>
        </w:rPr>
        <w:t> </w:t>
      </w:r>
      <w:r>
        <w:rPr/>
        <w:t>recommended</w:t>
      </w:r>
      <w:r>
        <w:rPr>
          <w:spacing w:val="-2"/>
        </w:rPr>
        <w:t> </w:t>
      </w:r>
      <w:r>
        <w:rPr/>
        <w:t>childhood vaccinafion schedule indicates that the ﬁrst dose of the MMR vaccine be administered between 12 and 15 months and their second dosage between 4 to 6 years, prior to starfing Kindergarten.</w:t>
      </w:r>
    </w:p>
    <w:p>
      <w:pPr>
        <w:pStyle w:val="BodyText"/>
        <w:spacing w:line="259" w:lineRule="auto" w:before="157"/>
        <w:ind w:right="1467"/>
      </w:pPr>
      <w:r>
        <w:rPr/>
        <w:t>Similarly, the number of children who completed the Human Papillomavirus (HPV) vaccine series increased from 15% in 2016 to 21.5% in 2025, but the overall change since 2017 is only 0.5%. HPV immunizafion</w:t>
      </w:r>
      <w:r>
        <w:rPr>
          <w:spacing w:val="-5"/>
        </w:rPr>
        <w:t> </w:t>
      </w:r>
      <w:r>
        <w:rPr/>
        <w:t>rates</w:t>
      </w:r>
      <w:r>
        <w:rPr>
          <w:spacing w:val="-4"/>
        </w:rPr>
        <w:t> </w:t>
      </w:r>
      <w:r>
        <w:rPr/>
        <w:t>fall</w:t>
      </w:r>
      <w:r>
        <w:rPr>
          <w:spacing w:val="-4"/>
        </w:rPr>
        <w:t> </w:t>
      </w:r>
      <w:r>
        <w:rPr/>
        <w:t>below</w:t>
      </w:r>
      <w:r>
        <w:rPr>
          <w:spacing w:val="-6"/>
        </w:rPr>
        <w:t> </w:t>
      </w:r>
      <w:r>
        <w:rPr/>
        <w:t>the</w:t>
      </w:r>
      <w:r>
        <w:rPr>
          <w:spacing w:val="-6"/>
        </w:rPr>
        <w:t> </w:t>
      </w:r>
      <w:r>
        <w:rPr/>
        <w:t>NYS</w:t>
      </w:r>
      <w:r>
        <w:rPr>
          <w:spacing w:val="-4"/>
        </w:rPr>
        <w:t> </w:t>
      </w:r>
      <w:r>
        <w:rPr/>
        <w:t>average</w:t>
      </w:r>
      <w:r>
        <w:rPr>
          <w:spacing w:val="-6"/>
        </w:rPr>
        <w:t> </w:t>
      </w:r>
      <w:r>
        <w:rPr/>
        <w:t>of</w:t>
      </w:r>
      <w:r>
        <w:rPr>
          <w:spacing w:val="-7"/>
        </w:rPr>
        <w:t> </w:t>
      </w:r>
      <w:r>
        <w:rPr/>
        <w:t>63.6%</w:t>
      </w:r>
      <w:r>
        <w:rPr>
          <w:spacing w:val="-4"/>
        </w:rPr>
        <w:t> </w:t>
      </w:r>
      <w:r>
        <w:rPr/>
        <w:t>and</w:t>
      </w:r>
      <w:r>
        <w:rPr>
          <w:spacing w:val="-5"/>
        </w:rPr>
        <w:t> </w:t>
      </w:r>
      <w:r>
        <w:rPr/>
        <w:t>well</w:t>
      </w:r>
      <w:r>
        <w:rPr>
          <w:spacing w:val="-7"/>
        </w:rPr>
        <w:t> </w:t>
      </w:r>
      <w:r>
        <w:rPr/>
        <w:t>below</w:t>
      </w:r>
      <w:r>
        <w:rPr>
          <w:spacing w:val="-6"/>
        </w:rPr>
        <w:t> </w:t>
      </w:r>
      <w:r>
        <w:rPr/>
        <w:t>the</w:t>
      </w:r>
      <w:r>
        <w:rPr>
          <w:spacing w:val="-5"/>
        </w:rPr>
        <w:t> </w:t>
      </w:r>
      <w:r>
        <w:rPr/>
        <w:t>state</w:t>
      </w:r>
      <w:r>
        <w:rPr>
          <w:spacing w:val="-5"/>
        </w:rPr>
        <w:t> </w:t>
      </w:r>
      <w:r>
        <w:rPr/>
        <w:t>target</w:t>
      </w:r>
      <w:r>
        <w:rPr>
          <w:spacing w:val="-6"/>
        </w:rPr>
        <w:t> </w:t>
      </w:r>
      <w:r>
        <w:rPr/>
        <w:t>value</w:t>
      </w:r>
      <w:r>
        <w:rPr>
          <w:spacing w:val="-6"/>
        </w:rPr>
        <w:t> </w:t>
      </w:r>
      <w:r>
        <w:rPr/>
        <w:t>of</w:t>
      </w:r>
      <w:r>
        <w:rPr>
          <w:spacing w:val="-7"/>
        </w:rPr>
        <w:t> </w:t>
      </w:r>
      <w:r>
        <w:rPr/>
        <w:t>80% (Figure Y7).</w:t>
      </w:r>
    </w:p>
    <w:p>
      <w:pPr>
        <w:spacing w:before="160"/>
        <w:ind w:left="1440" w:right="0" w:firstLine="0"/>
        <w:jc w:val="left"/>
        <w:rPr>
          <w:i/>
          <w:sz w:val="18"/>
        </w:rPr>
      </w:pPr>
      <w:r>
        <w:rPr>
          <w:i/>
          <w:sz w:val="18"/>
        </w:rPr>
        <mc:AlternateContent>
          <mc:Choice Requires="wps">
            <w:drawing>
              <wp:anchor distT="0" distB="0" distL="0" distR="0" allowOverlap="1" layoutInCell="1" locked="0" behindDoc="0" simplePos="0" relativeHeight="15749632">
                <wp:simplePos x="0" y="0"/>
                <wp:positionH relativeFrom="page">
                  <wp:posOffset>908240</wp:posOffset>
                </wp:positionH>
                <wp:positionV relativeFrom="paragraph">
                  <wp:posOffset>344739</wp:posOffset>
                </wp:positionV>
                <wp:extent cx="5905500" cy="283146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905500" cy="2831465"/>
                          <a:chExt cx="5905500" cy="2831465"/>
                        </a:xfrm>
                      </wpg:grpSpPr>
                      <wps:wsp>
                        <wps:cNvPr id="97" name="Graphic 97"/>
                        <wps:cNvSpPr/>
                        <wps:spPr>
                          <a:xfrm>
                            <a:off x="577659" y="2046668"/>
                            <a:ext cx="2181225" cy="1270"/>
                          </a:xfrm>
                          <a:custGeom>
                            <a:avLst/>
                            <a:gdLst/>
                            <a:ahLst/>
                            <a:cxnLst/>
                            <a:rect l="l" t="t" r="r" b="b"/>
                            <a:pathLst>
                              <a:path w="2181225" h="0">
                                <a:moveTo>
                                  <a:pt x="0" y="0"/>
                                </a:moveTo>
                                <a:lnTo>
                                  <a:pt x="452627" y="0"/>
                                </a:lnTo>
                              </a:path>
                              <a:path w="2181225" h="0">
                                <a:moveTo>
                                  <a:pt x="1276857" y="0"/>
                                </a:moveTo>
                                <a:lnTo>
                                  <a:pt x="2180716" y="0"/>
                                </a:lnTo>
                              </a:path>
                            </a:pathLst>
                          </a:custGeom>
                          <a:ln w="9016">
                            <a:solidFill>
                              <a:srgbClr val="D8D8D8"/>
                            </a:solidFill>
                            <a:prstDash val="solid"/>
                          </a:ln>
                        </wps:spPr>
                        <wps:bodyPr wrap="square" lIns="0" tIns="0" rIns="0" bIns="0" rtlCol="0">
                          <a:prstTxWarp prst="textNoShape">
                            <a:avLst/>
                          </a:prstTxWarp>
                          <a:noAutofit/>
                        </wps:bodyPr>
                      </wps:wsp>
                      <wps:wsp>
                        <wps:cNvPr id="98" name="Graphic 98"/>
                        <wps:cNvSpPr/>
                        <wps:spPr>
                          <a:xfrm>
                            <a:off x="3168395" y="2042160"/>
                            <a:ext cx="1270" cy="9525"/>
                          </a:xfrm>
                          <a:custGeom>
                            <a:avLst/>
                            <a:gdLst/>
                            <a:ahLst/>
                            <a:cxnLst/>
                            <a:rect l="l" t="t" r="r" b="b"/>
                            <a:pathLst>
                              <a:path w="0" h="9525">
                                <a:moveTo>
                                  <a:pt x="0" y="0"/>
                                </a:moveTo>
                                <a:lnTo>
                                  <a:pt x="0" y="9016"/>
                                </a:lnTo>
                              </a:path>
                            </a:pathLst>
                          </a:custGeom>
                          <a:ln w="127">
                            <a:solidFill>
                              <a:srgbClr val="D8D8D8"/>
                            </a:solidFill>
                            <a:prstDash val="solid"/>
                          </a:ln>
                        </wps:spPr>
                        <wps:bodyPr wrap="square" lIns="0" tIns="0" rIns="0" bIns="0" rtlCol="0">
                          <a:prstTxWarp prst="textNoShape">
                            <a:avLst/>
                          </a:prstTxWarp>
                          <a:noAutofit/>
                        </wps:bodyPr>
                      </wps:wsp>
                      <wps:wsp>
                        <wps:cNvPr id="99" name="Graphic 99"/>
                        <wps:cNvSpPr/>
                        <wps:spPr>
                          <a:xfrm>
                            <a:off x="3581336" y="2046668"/>
                            <a:ext cx="902335" cy="1270"/>
                          </a:xfrm>
                          <a:custGeom>
                            <a:avLst/>
                            <a:gdLst/>
                            <a:ahLst/>
                            <a:cxnLst/>
                            <a:rect l="l" t="t" r="r" b="b"/>
                            <a:pathLst>
                              <a:path w="902335" h="0">
                                <a:moveTo>
                                  <a:pt x="0" y="0"/>
                                </a:moveTo>
                                <a:lnTo>
                                  <a:pt x="902207" y="0"/>
                                </a:lnTo>
                              </a:path>
                            </a:pathLst>
                          </a:custGeom>
                          <a:ln w="9016">
                            <a:solidFill>
                              <a:srgbClr val="D8D8D8"/>
                            </a:solidFill>
                            <a:prstDash val="solid"/>
                          </a:ln>
                        </wps:spPr>
                        <wps:bodyPr wrap="square" lIns="0" tIns="0" rIns="0" bIns="0" rtlCol="0">
                          <a:prstTxWarp prst="textNoShape">
                            <a:avLst/>
                          </a:prstTxWarp>
                          <a:noAutofit/>
                        </wps:bodyPr>
                      </wps:wsp>
                      <wps:wsp>
                        <wps:cNvPr id="100" name="Graphic 100"/>
                        <wps:cNvSpPr/>
                        <wps:spPr>
                          <a:xfrm>
                            <a:off x="4896484" y="2042160"/>
                            <a:ext cx="1270" cy="9525"/>
                          </a:xfrm>
                          <a:custGeom>
                            <a:avLst/>
                            <a:gdLst/>
                            <a:ahLst/>
                            <a:cxnLst/>
                            <a:rect l="l" t="t" r="r" b="b"/>
                            <a:pathLst>
                              <a:path w="0" h="9525">
                                <a:moveTo>
                                  <a:pt x="0" y="0"/>
                                </a:moveTo>
                                <a:lnTo>
                                  <a:pt x="0" y="9016"/>
                                </a:lnTo>
                              </a:path>
                            </a:pathLst>
                          </a:custGeom>
                          <a:ln w="127">
                            <a:solidFill>
                              <a:srgbClr val="D8D8D8"/>
                            </a:solidFill>
                            <a:prstDash val="solid"/>
                          </a:ln>
                        </wps:spPr>
                        <wps:bodyPr wrap="square" lIns="0" tIns="0" rIns="0" bIns="0" rtlCol="0">
                          <a:prstTxWarp prst="textNoShape">
                            <a:avLst/>
                          </a:prstTxWarp>
                          <a:noAutofit/>
                        </wps:bodyPr>
                      </wps:wsp>
                      <wps:wsp>
                        <wps:cNvPr id="101" name="Graphic 101"/>
                        <wps:cNvSpPr/>
                        <wps:spPr>
                          <a:xfrm>
                            <a:off x="577659" y="1850072"/>
                            <a:ext cx="5183505" cy="196850"/>
                          </a:xfrm>
                          <a:custGeom>
                            <a:avLst/>
                            <a:gdLst/>
                            <a:ahLst/>
                            <a:cxnLst/>
                            <a:rect l="l" t="t" r="r" b="b"/>
                            <a:pathLst>
                              <a:path w="5183505" h="196850">
                                <a:moveTo>
                                  <a:pt x="4731893" y="196595"/>
                                </a:moveTo>
                                <a:lnTo>
                                  <a:pt x="5183123" y="196595"/>
                                </a:lnTo>
                              </a:path>
                              <a:path w="5183505" h="196850">
                                <a:moveTo>
                                  <a:pt x="0" y="0"/>
                                </a:moveTo>
                                <a:lnTo>
                                  <a:pt x="452627" y="0"/>
                                </a:lnTo>
                              </a:path>
                              <a:path w="5183505" h="196850">
                                <a:moveTo>
                                  <a:pt x="1276857" y="0"/>
                                </a:moveTo>
                                <a:lnTo>
                                  <a:pt x="2180716" y="0"/>
                                </a:lnTo>
                              </a:path>
                            </a:pathLst>
                          </a:custGeom>
                          <a:ln w="9016">
                            <a:solidFill>
                              <a:srgbClr val="D8D8D8"/>
                            </a:solidFill>
                            <a:prstDash val="solid"/>
                          </a:ln>
                        </wps:spPr>
                        <wps:bodyPr wrap="square" lIns="0" tIns="0" rIns="0" bIns="0" rtlCol="0">
                          <a:prstTxWarp prst="textNoShape">
                            <a:avLst/>
                          </a:prstTxWarp>
                          <a:noAutofit/>
                        </wps:bodyPr>
                      </wps:wsp>
                      <wps:wsp>
                        <wps:cNvPr id="102" name="Graphic 102"/>
                        <wps:cNvSpPr/>
                        <wps:spPr>
                          <a:xfrm>
                            <a:off x="3168395" y="1845564"/>
                            <a:ext cx="1270" cy="9525"/>
                          </a:xfrm>
                          <a:custGeom>
                            <a:avLst/>
                            <a:gdLst/>
                            <a:ahLst/>
                            <a:cxnLst/>
                            <a:rect l="l" t="t" r="r" b="b"/>
                            <a:pathLst>
                              <a:path w="0" h="9525">
                                <a:moveTo>
                                  <a:pt x="0" y="0"/>
                                </a:moveTo>
                                <a:lnTo>
                                  <a:pt x="0" y="9017"/>
                                </a:lnTo>
                              </a:path>
                            </a:pathLst>
                          </a:custGeom>
                          <a:ln w="127">
                            <a:solidFill>
                              <a:srgbClr val="D8D8D8"/>
                            </a:solidFill>
                            <a:prstDash val="solid"/>
                          </a:ln>
                        </wps:spPr>
                        <wps:bodyPr wrap="square" lIns="0" tIns="0" rIns="0" bIns="0" rtlCol="0">
                          <a:prstTxWarp prst="textNoShape">
                            <a:avLst/>
                          </a:prstTxWarp>
                          <a:noAutofit/>
                        </wps:bodyPr>
                      </wps:wsp>
                      <wps:wsp>
                        <wps:cNvPr id="103" name="Graphic 103"/>
                        <wps:cNvSpPr/>
                        <wps:spPr>
                          <a:xfrm>
                            <a:off x="3581336" y="1850072"/>
                            <a:ext cx="902335" cy="1270"/>
                          </a:xfrm>
                          <a:custGeom>
                            <a:avLst/>
                            <a:gdLst/>
                            <a:ahLst/>
                            <a:cxnLst/>
                            <a:rect l="l" t="t" r="r" b="b"/>
                            <a:pathLst>
                              <a:path w="902335" h="0">
                                <a:moveTo>
                                  <a:pt x="0" y="0"/>
                                </a:moveTo>
                                <a:lnTo>
                                  <a:pt x="902207" y="0"/>
                                </a:lnTo>
                              </a:path>
                            </a:pathLst>
                          </a:custGeom>
                          <a:ln w="9016">
                            <a:solidFill>
                              <a:srgbClr val="D8D8D8"/>
                            </a:solidFill>
                            <a:prstDash val="solid"/>
                          </a:ln>
                        </wps:spPr>
                        <wps:bodyPr wrap="square" lIns="0" tIns="0" rIns="0" bIns="0" rtlCol="0">
                          <a:prstTxWarp prst="textNoShape">
                            <a:avLst/>
                          </a:prstTxWarp>
                          <a:noAutofit/>
                        </wps:bodyPr>
                      </wps:wsp>
                      <wps:wsp>
                        <wps:cNvPr id="104" name="Graphic 104"/>
                        <wps:cNvSpPr/>
                        <wps:spPr>
                          <a:xfrm>
                            <a:off x="4896484" y="1845564"/>
                            <a:ext cx="1270" cy="9525"/>
                          </a:xfrm>
                          <a:custGeom>
                            <a:avLst/>
                            <a:gdLst/>
                            <a:ahLst/>
                            <a:cxnLst/>
                            <a:rect l="l" t="t" r="r" b="b"/>
                            <a:pathLst>
                              <a:path w="0" h="9525">
                                <a:moveTo>
                                  <a:pt x="0" y="0"/>
                                </a:moveTo>
                                <a:lnTo>
                                  <a:pt x="0" y="9017"/>
                                </a:lnTo>
                              </a:path>
                            </a:pathLst>
                          </a:custGeom>
                          <a:ln w="127">
                            <a:solidFill>
                              <a:srgbClr val="D8D8D8"/>
                            </a:solidFill>
                            <a:prstDash val="solid"/>
                          </a:ln>
                        </wps:spPr>
                        <wps:bodyPr wrap="square" lIns="0" tIns="0" rIns="0" bIns="0" rtlCol="0">
                          <a:prstTxWarp prst="textNoShape">
                            <a:avLst/>
                          </a:prstTxWarp>
                          <a:noAutofit/>
                        </wps:bodyPr>
                      </wps:wsp>
                      <wps:wsp>
                        <wps:cNvPr id="105" name="Graphic 105"/>
                        <wps:cNvSpPr/>
                        <wps:spPr>
                          <a:xfrm>
                            <a:off x="577659" y="1653476"/>
                            <a:ext cx="5183505" cy="196850"/>
                          </a:xfrm>
                          <a:custGeom>
                            <a:avLst/>
                            <a:gdLst/>
                            <a:ahLst/>
                            <a:cxnLst/>
                            <a:rect l="l" t="t" r="r" b="b"/>
                            <a:pathLst>
                              <a:path w="5183505" h="196850">
                                <a:moveTo>
                                  <a:pt x="4731893" y="196596"/>
                                </a:moveTo>
                                <a:lnTo>
                                  <a:pt x="5183123" y="196596"/>
                                </a:lnTo>
                              </a:path>
                              <a:path w="5183505" h="196850">
                                <a:moveTo>
                                  <a:pt x="0" y="0"/>
                                </a:moveTo>
                                <a:lnTo>
                                  <a:pt x="2180716" y="0"/>
                                </a:lnTo>
                              </a:path>
                            </a:pathLst>
                          </a:custGeom>
                          <a:ln w="9016">
                            <a:solidFill>
                              <a:srgbClr val="D8D8D8"/>
                            </a:solidFill>
                            <a:prstDash val="solid"/>
                          </a:ln>
                        </wps:spPr>
                        <wps:bodyPr wrap="square" lIns="0" tIns="0" rIns="0" bIns="0" rtlCol="0">
                          <a:prstTxWarp prst="textNoShape">
                            <a:avLst/>
                          </a:prstTxWarp>
                          <a:noAutofit/>
                        </wps:bodyPr>
                      </wps:wsp>
                      <wps:wsp>
                        <wps:cNvPr id="106" name="Graphic 106"/>
                        <wps:cNvSpPr/>
                        <wps:spPr>
                          <a:xfrm>
                            <a:off x="3168395" y="1648967"/>
                            <a:ext cx="1270" cy="9525"/>
                          </a:xfrm>
                          <a:custGeom>
                            <a:avLst/>
                            <a:gdLst/>
                            <a:ahLst/>
                            <a:cxnLst/>
                            <a:rect l="l" t="t" r="r" b="b"/>
                            <a:pathLst>
                              <a:path w="0" h="9525">
                                <a:moveTo>
                                  <a:pt x="0" y="0"/>
                                </a:moveTo>
                                <a:lnTo>
                                  <a:pt x="0" y="9016"/>
                                </a:lnTo>
                              </a:path>
                            </a:pathLst>
                          </a:custGeom>
                          <a:ln w="127">
                            <a:solidFill>
                              <a:srgbClr val="D8D8D8"/>
                            </a:solidFill>
                            <a:prstDash val="solid"/>
                          </a:ln>
                        </wps:spPr>
                        <wps:bodyPr wrap="square" lIns="0" tIns="0" rIns="0" bIns="0" rtlCol="0">
                          <a:prstTxWarp prst="textNoShape">
                            <a:avLst/>
                          </a:prstTxWarp>
                          <a:noAutofit/>
                        </wps:bodyPr>
                      </wps:wsp>
                      <wps:wsp>
                        <wps:cNvPr id="107" name="Graphic 107"/>
                        <wps:cNvSpPr/>
                        <wps:spPr>
                          <a:xfrm>
                            <a:off x="3581336" y="1653476"/>
                            <a:ext cx="902335" cy="1270"/>
                          </a:xfrm>
                          <a:custGeom>
                            <a:avLst/>
                            <a:gdLst/>
                            <a:ahLst/>
                            <a:cxnLst/>
                            <a:rect l="l" t="t" r="r" b="b"/>
                            <a:pathLst>
                              <a:path w="902335" h="0">
                                <a:moveTo>
                                  <a:pt x="0" y="0"/>
                                </a:moveTo>
                                <a:lnTo>
                                  <a:pt x="902207" y="0"/>
                                </a:lnTo>
                              </a:path>
                            </a:pathLst>
                          </a:custGeom>
                          <a:ln w="9016">
                            <a:solidFill>
                              <a:srgbClr val="D8D8D8"/>
                            </a:solidFill>
                            <a:prstDash val="solid"/>
                          </a:ln>
                        </wps:spPr>
                        <wps:bodyPr wrap="square" lIns="0" tIns="0" rIns="0" bIns="0" rtlCol="0">
                          <a:prstTxWarp prst="textNoShape">
                            <a:avLst/>
                          </a:prstTxWarp>
                          <a:noAutofit/>
                        </wps:bodyPr>
                      </wps:wsp>
                      <wps:wsp>
                        <wps:cNvPr id="108" name="Graphic 108"/>
                        <wps:cNvSpPr/>
                        <wps:spPr>
                          <a:xfrm>
                            <a:off x="4896484" y="1648967"/>
                            <a:ext cx="1270" cy="9525"/>
                          </a:xfrm>
                          <a:custGeom>
                            <a:avLst/>
                            <a:gdLst/>
                            <a:ahLst/>
                            <a:cxnLst/>
                            <a:rect l="l" t="t" r="r" b="b"/>
                            <a:pathLst>
                              <a:path w="0" h="9525">
                                <a:moveTo>
                                  <a:pt x="0" y="0"/>
                                </a:moveTo>
                                <a:lnTo>
                                  <a:pt x="0" y="9016"/>
                                </a:lnTo>
                              </a:path>
                            </a:pathLst>
                          </a:custGeom>
                          <a:ln w="127">
                            <a:solidFill>
                              <a:srgbClr val="D8D8D8"/>
                            </a:solidFill>
                            <a:prstDash val="solid"/>
                          </a:ln>
                        </wps:spPr>
                        <wps:bodyPr wrap="square" lIns="0" tIns="0" rIns="0" bIns="0" rtlCol="0">
                          <a:prstTxWarp prst="textNoShape">
                            <a:avLst/>
                          </a:prstTxWarp>
                          <a:noAutofit/>
                        </wps:bodyPr>
                      </wps:wsp>
                      <wps:wsp>
                        <wps:cNvPr id="109" name="Graphic 109"/>
                        <wps:cNvSpPr/>
                        <wps:spPr>
                          <a:xfrm>
                            <a:off x="577659" y="1456880"/>
                            <a:ext cx="5183505" cy="196850"/>
                          </a:xfrm>
                          <a:custGeom>
                            <a:avLst/>
                            <a:gdLst/>
                            <a:ahLst/>
                            <a:cxnLst/>
                            <a:rect l="l" t="t" r="r" b="b"/>
                            <a:pathLst>
                              <a:path w="5183505" h="196850">
                                <a:moveTo>
                                  <a:pt x="4731893" y="196595"/>
                                </a:moveTo>
                                <a:lnTo>
                                  <a:pt x="5183123" y="196595"/>
                                </a:lnTo>
                              </a:path>
                              <a:path w="5183505" h="196850">
                                <a:moveTo>
                                  <a:pt x="0" y="0"/>
                                </a:moveTo>
                                <a:lnTo>
                                  <a:pt x="2180716" y="0"/>
                                </a:lnTo>
                              </a:path>
                            </a:pathLst>
                          </a:custGeom>
                          <a:ln w="9016">
                            <a:solidFill>
                              <a:srgbClr val="D8D8D8"/>
                            </a:solidFill>
                            <a:prstDash val="solid"/>
                          </a:ln>
                        </wps:spPr>
                        <wps:bodyPr wrap="square" lIns="0" tIns="0" rIns="0" bIns="0" rtlCol="0">
                          <a:prstTxWarp prst="textNoShape">
                            <a:avLst/>
                          </a:prstTxWarp>
                          <a:noAutofit/>
                        </wps:bodyPr>
                      </wps:wsp>
                      <wps:wsp>
                        <wps:cNvPr id="110" name="Graphic 110"/>
                        <wps:cNvSpPr/>
                        <wps:spPr>
                          <a:xfrm>
                            <a:off x="3168395" y="1452372"/>
                            <a:ext cx="1270" cy="9525"/>
                          </a:xfrm>
                          <a:custGeom>
                            <a:avLst/>
                            <a:gdLst/>
                            <a:ahLst/>
                            <a:cxnLst/>
                            <a:rect l="l" t="t" r="r" b="b"/>
                            <a:pathLst>
                              <a:path w="0" h="9525">
                                <a:moveTo>
                                  <a:pt x="0" y="0"/>
                                </a:moveTo>
                                <a:lnTo>
                                  <a:pt x="0" y="9017"/>
                                </a:lnTo>
                              </a:path>
                            </a:pathLst>
                          </a:custGeom>
                          <a:ln w="127">
                            <a:solidFill>
                              <a:srgbClr val="D8D8D8"/>
                            </a:solidFill>
                            <a:prstDash val="solid"/>
                          </a:ln>
                        </wps:spPr>
                        <wps:bodyPr wrap="square" lIns="0" tIns="0" rIns="0" bIns="0" rtlCol="0">
                          <a:prstTxWarp prst="textNoShape">
                            <a:avLst/>
                          </a:prstTxWarp>
                          <a:noAutofit/>
                        </wps:bodyPr>
                      </wps:wsp>
                      <wps:wsp>
                        <wps:cNvPr id="111" name="Graphic 111"/>
                        <wps:cNvSpPr/>
                        <wps:spPr>
                          <a:xfrm>
                            <a:off x="3581336" y="1456880"/>
                            <a:ext cx="902335" cy="1270"/>
                          </a:xfrm>
                          <a:custGeom>
                            <a:avLst/>
                            <a:gdLst/>
                            <a:ahLst/>
                            <a:cxnLst/>
                            <a:rect l="l" t="t" r="r" b="b"/>
                            <a:pathLst>
                              <a:path w="902335" h="0">
                                <a:moveTo>
                                  <a:pt x="0" y="0"/>
                                </a:moveTo>
                                <a:lnTo>
                                  <a:pt x="902207" y="0"/>
                                </a:lnTo>
                              </a:path>
                            </a:pathLst>
                          </a:custGeom>
                          <a:ln w="9016">
                            <a:solidFill>
                              <a:srgbClr val="D8D8D8"/>
                            </a:solidFill>
                            <a:prstDash val="solid"/>
                          </a:ln>
                        </wps:spPr>
                        <wps:bodyPr wrap="square" lIns="0" tIns="0" rIns="0" bIns="0" rtlCol="0">
                          <a:prstTxWarp prst="textNoShape">
                            <a:avLst/>
                          </a:prstTxWarp>
                          <a:noAutofit/>
                        </wps:bodyPr>
                      </wps:wsp>
                      <wps:wsp>
                        <wps:cNvPr id="112" name="Graphic 112"/>
                        <wps:cNvSpPr/>
                        <wps:spPr>
                          <a:xfrm>
                            <a:off x="4896484" y="1452372"/>
                            <a:ext cx="1270" cy="9525"/>
                          </a:xfrm>
                          <a:custGeom>
                            <a:avLst/>
                            <a:gdLst/>
                            <a:ahLst/>
                            <a:cxnLst/>
                            <a:rect l="l" t="t" r="r" b="b"/>
                            <a:pathLst>
                              <a:path w="0" h="9525">
                                <a:moveTo>
                                  <a:pt x="0" y="0"/>
                                </a:moveTo>
                                <a:lnTo>
                                  <a:pt x="0" y="9017"/>
                                </a:lnTo>
                              </a:path>
                            </a:pathLst>
                          </a:custGeom>
                          <a:ln w="127">
                            <a:solidFill>
                              <a:srgbClr val="D8D8D8"/>
                            </a:solidFill>
                            <a:prstDash val="solid"/>
                          </a:ln>
                        </wps:spPr>
                        <wps:bodyPr wrap="square" lIns="0" tIns="0" rIns="0" bIns="0" rtlCol="0">
                          <a:prstTxWarp prst="textNoShape">
                            <a:avLst/>
                          </a:prstTxWarp>
                          <a:noAutofit/>
                        </wps:bodyPr>
                      </wps:wsp>
                      <wps:wsp>
                        <wps:cNvPr id="113" name="Graphic 113"/>
                        <wps:cNvSpPr/>
                        <wps:spPr>
                          <a:xfrm>
                            <a:off x="3581336" y="1261808"/>
                            <a:ext cx="2179955" cy="195580"/>
                          </a:xfrm>
                          <a:custGeom>
                            <a:avLst/>
                            <a:gdLst/>
                            <a:ahLst/>
                            <a:cxnLst/>
                            <a:rect l="l" t="t" r="r" b="b"/>
                            <a:pathLst>
                              <a:path w="2179955" h="195580">
                                <a:moveTo>
                                  <a:pt x="1728216" y="195072"/>
                                </a:moveTo>
                                <a:lnTo>
                                  <a:pt x="2179446" y="195072"/>
                                </a:lnTo>
                              </a:path>
                              <a:path w="2179955" h="195580">
                                <a:moveTo>
                                  <a:pt x="0" y="0"/>
                                </a:moveTo>
                                <a:lnTo>
                                  <a:pt x="902207" y="0"/>
                                </a:lnTo>
                              </a:path>
                            </a:pathLst>
                          </a:custGeom>
                          <a:ln w="9016">
                            <a:solidFill>
                              <a:srgbClr val="D8D8D8"/>
                            </a:solidFill>
                            <a:prstDash val="solid"/>
                          </a:ln>
                        </wps:spPr>
                        <wps:bodyPr wrap="square" lIns="0" tIns="0" rIns="0" bIns="0" rtlCol="0">
                          <a:prstTxWarp prst="textNoShape">
                            <a:avLst/>
                          </a:prstTxWarp>
                          <a:noAutofit/>
                        </wps:bodyPr>
                      </wps:wsp>
                      <wps:wsp>
                        <wps:cNvPr id="114" name="Graphic 114"/>
                        <wps:cNvSpPr/>
                        <wps:spPr>
                          <a:xfrm>
                            <a:off x="4896484" y="1257300"/>
                            <a:ext cx="1270" cy="9525"/>
                          </a:xfrm>
                          <a:custGeom>
                            <a:avLst/>
                            <a:gdLst/>
                            <a:ahLst/>
                            <a:cxnLst/>
                            <a:rect l="l" t="t" r="r" b="b"/>
                            <a:pathLst>
                              <a:path w="0" h="9525">
                                <a:moveTo>
                                  <a:pt x="0" y="0"/>
                                </a:moveTo>
                                <a:lnTo>
                                  <a:pt x="0" y="9017"/>
                                </a:lnTo>
                              </a:path>
                            </a:pathLst>
                          </a:custGeom>
                          <a:ln w="127">
                            <a:solidFill>
                              <a:srgbClr val="D8D8D8"/>
                            </a:solidFill>
                            <a:prstDash val="solid"/>
                          </a:ln>
                        </wps:spPr>
                        <wps:bodyPr wrap="square" lIns="0" tIns="0" rIns="0" bIns="0" rtlCol="0">
                          <a:prstTxWarp prst="textNoShape">
                            <a:avLst/>
                          </a:prstTxWarp>
                          <a:noAutofit/>
                        </wps:bodyPr>
                      </wps:wsp>
                      <wps:wsp>
                        <wps:cNvPr id="115" name="Graphic 115"/>
                        <wps:cNvSpPr/>
                        <wps:spPr>
                          <a:xfrm>
                            <a:off x="577659" y="1261808"/>
                            <a:ext cx="5183505" cy="1270"/>
                          </a:xfrm>
                          <a:custGeom>
                            <a:avLst/>
                            <a:gdLst/>
                            <a:ahLst/>
                            <a:cxnLst/>
                            <a:rect l="l" t="t" r="r" b="b"/>
                            <a:pathLst>
                              <a:path w="5183505" h="0">
                                <a:moveTo>
                                  <a:pt x="0" y="0"/>
                                </a:moveTo>
                                <a:lnTo>
                                  <a:pt x="2590800" y="0"/>
                                </a:lnTo>
                              </a:path>
                              <a:path w="5183505" h="0">
                                <a:moveTo>
                                  <a:pt x="4731893" y="0"/>
                                </a:moveTo>
                                <a:lnTo>
                                  <a:pt x="5183123" y="0"/>
                                </a:lnTo>
                              </a:path>
                            </a:pathLst>
                          </a:custGeom>
                          <a:ln w="9016">
                            <a:solidFill>
                              <a:srgbClr val="D8D8D8"/>
                            </a:solidFill>
                            <a:prstDash val="solid"/>
                          </a:ln>
                        </wps:spPr>
                        <wps:bodyPr wrap="square" lIns="0" tIns="0" rIns="0" bIns="0" rtlCol="0">
                          <a:prstTxWarp prst="textNoShape">
                            <a:avLst/>
                          </a:prstTxWarp>
                          <a:noAutofit/>
                        </wps:bodyPr>
                      </wps:wsp>
                      <wps:wsp>
                        <wps:cNvPr id="116" name="Graphic 116"/>
                        <wps:cNvSpPr/>
                        <wps:spPr>
                          <a:xfrm>
                            <a:off x="577659" y="672147"/>
                            <a:ext cx="5183505" cy="393065"/>
                          </a:xfrm>
                          <a:custGeom>
                            <a:avLst/>
                            <a:gdLst/>
                            <a:ahLst/>
                            <a:cxnLst/>
                            <a:rect l="l" t="t" r="r" b="b"/>
                            <a:pathLst>
                              <a:path w="5183505" h="393065">
                                <a:moveTo>
                                  <a:pt x="0" y="393065"/>
                                </a:moveTo>
                                <a:lnTo>
                                  <a:pt x="2590800" y="393065"/>
                                </a:lnTo>
                              </a:path>
                              <a:path w="5183505" h="393065">
                                <a:moveTo>
                                  <a:pt x="3003676" y="393065"/>
                                </a:moveTo>
                                <a:lnTo>
                                  <a:pt x="4318889" y="393065"/>
                                </a:lnTo>
                              </a:path>
                              <a:path w="5183505" h="393065">
                                <a:moveTo>
                                  <a:pt x="4731893" y="393065"/>
                                </a:moveTo>
                                <a:lnTo>
                                  <a:pt x="5183123" y="393065"/>
                                </a:lnTo>
                              </a:path>
                              <a:path w="5183505" h="393065">
                                <a:moveTo>
                                  <a:pt x="0" y="196596"/>
                                </a:moveTo>
                                <a:lnTo>
                                  <a:pt x="4318889" y="196596"/>
                                </a:lnTo>
                              </a:path>
                              <a:path w="5183505" h="393065">
                                <a:moveTo>
                                  <a:pt x="4731893" y="196596"/>
                                </a:moveTo>
                                <a:lnTo>
                                  <a:pt x="5183123" y="196596"/>
                                </a:lnTo>
                              </a:path>
                              <a:path w="5183505" h="393065">
                                <a:moveTo>
                                  <a:pt x="0" y="0"/>
                                </a:moveTo>
                                <a:lnTo>
                                  <a:pt x="4318889" y="0"/>
                                </a:lnTo>
                              </a:path>
                              <a:path w="5183505" h="393065">
                                <a:moveTo>
                                  <a:pt x="4731893" y="0"/>
                                </a:moveTo>
                                <a:lnTo>
                                  <a:pt x="5183123" y="0"/>
                                </a:lnTo>
                              </a:path>
                            </a:pathLst>
                          </a:custGeom>
                          <a:ln w="9017">
                            <a:solidFill>
                              <a:srgbClr val="D8D8D8"/>
                            </a:solidFill>
                            <a:prstDash val="solid"/>
                          </a:ln>
                        </wps:spPr>
                        <wps:bodyPr wrap="square" lIns="0" tIns="0" rIns="0" bIns="0" rtlCol="0">
                          <a:prstTxWarp prst="textNoShape">
                            <a:avLst/>
                          </a:prstTxWarp>
                          <a:noAutofit/>
                        </wps:bodyPr>
                      </wps:wsp>
                      <wps:wsp>
                        <wps:cNvPr id="117" name="Graphic 117"/>
                        <wps:cNvSpPr/>
                        <wps:spPr>
                          <a:xfrm>
                            <a:off x="577659" y="475551"/>
                            <a:ext cx="5183505" cy="1270"/>
                          </a:xfrm>
                          <a:custGeom>
                            <a:avLst/>
                            <a:gdLst/>
                            <a:ahLst/>
                            <a:cxnLst/>
                            <a:rect l="l" t="t" r="r" b="b"/>
                            <a:pathLst>
                              <a:path w="5183505" h="0">
                                <a:moveTo>
                                  <a:pt x="0" y="0"/>
                                </a:moveTo>
                                <a:lnTo>
                                  <a:pt x="5183123" y="0"/>
                                </a:lnTo>
                              </a:path>
                            </a:pathLst>
                          </a:custGeom>
                          <a:ln w="9017">
                            <a:solidFill>
                              <a:srgbClr val="D8D8D8"/>
                            </a:solidFill>
                            <a:prstDash val="solid"/>
                          </a:ln>
                        </wps:spPr>
                        <wps:bodyPr wrap="square" lIns="0" tIns="0" rIns="0" bIns="0" rtlCol="0">
                          <a:prstTxWarp prst="textNoShape">
                            <a:avLst/>
                          </a:prstTxWarp>
                          <a:noAutofit/>
                        </wps:bodyPr>
                      </wps:wsp>
                      <wps:wsp>
                        <wps:cNvPr id="118" name="Graphic 118"/>
                        <wps:cNvSpPr/>
                        <wps:spPr>
                          <a:xfrm>
                            <a:off x="1030274" y="1147519"/>
                            <a:ext cx="3866515" cy="1096010"/>
                          </a:xfrm>
                          <a:custGeom>
                            <a:avLst/>
                            <a:gdLst/>
                            <a:ahLst/>
                            <a:cxnLst/>
                            <a:rect l="l" t="t" r="r" b="b"/>
                            <a:pathLst>
                              <a:path w="3866515" h="1096010">
                                <a:moveTo>
                                  <a:pt x="411353" y="672198"/>
                                </a:moveTo>
                                <a:lnTo>
                                  <a:pt x="0" y="672198"/>
                                </a:lnTo>
                                <a:lnTo>
                                  <a:pt x="0" y="1095743"/>
                                </a:lnTo>
                                <a:lnTo>
                                  <a:pt x="411353" y="1095743"/>
                                </a:lnTo>
                                <a:lnTo>
                                  <a:pt x="411353" y="672198"/>
                                </a:lnTo>
                                <a:close/>
                              </a:path>
                              <a:path w="3866515" h="1096010">
                                <a:moveTo>
                                  <a:pt x="2138045" y="216535"/>
                                </a:moveTo>
                                <a:lnTo>
                                  <a:pt x="1728089" y="216535"/>
                                </a:lnTo>
                                <a:lnTo>
                                  <a:pt x="1728089" y="1095756"/>
                                </a:lnTo>
                                <a:lnTo>
                                  <a:pt x="2138045" y="1095756"/>
                                </a:lnTo>
                                <a:lnTo>
                                  <a:pt x="2138045" y="216535"/>
                                </a:lnTo>
                                <a:close/>
                              </a:path>
                              <a:path w="3866515" h="1096010">
                                <a:moveTo>
                                  <a:pt x="3866134" y="0"/>
                                </a:moveTo>
                                <a:lnTo>
                                  <a:pt x="3453257" y="0"/>
                                </a:lnTo>
                                <a:lnTo>
                                  <a:pt x="3453257" y="1095743"/>
                                </a:lnTo>
                                <a:lnTo>
                                  <a:pt x="3866134" y="1095743"/>
                                </a:lnTo>
                                <a:lnTo>
                                  <a:pt x="3866134" y="0"/>
                                </a:lnTo>
                                <a:close/>
                              </a:path>
                            </a:pathLst>
                          </a:custGeom>
                          <a:solidFill>
                            <a:srgbClr val="145F82"/>
                          </a:solidFill>
                        </wps:spPr>
                        <wps:bodyPr wrap="square" lIns="0" tIns="0" rIns="0" bIns="0" rtlCol="0">
                          <a:prstTxWarp prst="textNoShape">
                            <a:avLst/>
                          </a:prstTxWarp>
                          <a:noAutofit/>
                        </wps:bodyPr>
                      </wps:wsp>
                      <wps:wsp>
                        <wps:cNvPr id="119" name="Graphic 119"/>
                        <wps:cNvSpPr/>
                        <wps:spPr>
                          <a:xfrm>
                            <a:off x="1441627" y="649286"/>
                            <a:ext cx="3868420" cy="1594485"/>
                          </a:xfrm>
                          <a:custGeom>
                            <a:avLst/>
                            <a:gdLst/>
                            <a:ahLst/>
                            <a:cxnLst/>
                            <a:rect l="l" t="t" r="r" b="b"/>
                            <a:pathLst>
                              <a:path w="3868420" h="1594485">
                                <a:moveTo>
                                  <a:pt x="412877" y="1129157"/>
                                </a:moveTo>
                                <a:lnTo>
                                  <a:pt x="0" y="1129157"/>
                                </a:lnTo>
                                <a:lnTo>
                                  <a:pt x="0" y="1593977"/>
                                </a:lnTo>
                                <a:lnTo>
                                  <a:pt x="412877" y="1593977"/>
                                </a:lnTo>
                                <a:lnTo>
                                  <a:pt x="412877" y="1129157"/>
                                </a:lnTo>
                                <a:close/>
                              </a:path>
                              <a:path w="3868420" h="1594485">
                                <a:moveTo>
                                  <a:pt x="2139696" y="342900"/>
                                </a:moveTo>
                                <a:lnTo>
                                  <a:pt x="1726831" y="342900"/>
                                </a:lnTo>
                                <a:lnTo>
                                  <a:pt x="1726831" y="1593977"/>
                                </a:lnTo>
                                <a:lnTo>
                                  <a:pt x="2139696" y="1593977"/>
                                </a:lnTo>
                                <a:lnTo>
                                  <a:pt x="2139696" y="342900"/>
                                </a:lnTo>
                                <a:close/>
                              </a:path>
                              <a:path w="3868420" h="1594485">
                                <a:moveTo>
                                  <a:pt x="3867924" y="0"/>
                                </a:moveTo>
                                <a:lnTo>
                                  <a:pt x="3454920" y="0"/>
                                </a:lnTo>
                                <a:lnTo>
                                  <a:pt x="3454920" y="1593977"/>
                                </a:lnTo>
                                <a:lnTo>
                                  <a:pt x="3867924" y="1593977"/>
                                </a:lnTo>
                                <a:lnTo>
                                  <a:pt x="3867924" y="0"/>
                                </a:lnTo>
                                <a:close/>
                              </a:path>
                            </a:pathLst>
                          </a:custGeom>
                          <a:solidFill>
                            <a:srgbClr val="E97031"/>
                          </a:solidFill>
                        </wps:spPr>
                        <wps:bodyPr wrap="square" lIns="0" tIns="0" rIns="0" bIns="0" rtlCol="0">
                          <a:prstTxWarp prst="textNoShape">
                            <a:avLst/>
                          </a:prstTxWarp>
                          <a:noAutofit/>
                        </wps:bodyPr>
                      </wps:wsp>
                      <wps:wsp>
                        <wps:cNvPr id="120" name="Graphic 120"/>
                        <wps:cNvSpPr/>
                        <wps:spPr>
                          <a:xfrm>
                            <a:off x="577659" y="2243263"/>
                            <a:ext cx="5183505" cy="1270"/>
                          </a:xfrm>
                          <a:custGeom>
                            <a:avLst/>
                            <a:gdLst/>
                            <a:ahLst/>
                            <a:cxnLst/>
                            <a:rect l="l" t="t" r="r" b="b"/>
                            <a:pathLst>
                              <a:path w="5183505" h="0">
                                <a:moveTo>
                                  <a:pt x="0" y="0"/>
                                </a:moveTo>
                                <a:lnTo>
                                  <a:pt x="5183123" y="0"/>
                                </a:lnTo>
                              </a:path>
                            </a:pathLst>
                          </a:custGeom>
                          <a:ln w="9017">
                            <a:solidFill>
                              <a:srgbClr val="D8D8D8"/>
                            </a:solidFill>
                            <a:prstDash val="solid"/>
                          </a:ln>
                        </wps:spPr>
                        <wps:bodyPr wrap="square" lIns="0" tIns="0" rIns="0" bIns="0" rtlCol="0">
                          <a:prstTxWarp prst="textNoShape">
                            <a:avLst/>
                          </a:prstTxWarp>
                          <a:noAutofit/>
                        </wps:bodyPr>
                      </wps:wsp>
                      <wps:wsp>
                        <wps:cNvPr id="121" name="Graphic 121"/>
                        <wps:cNvSpPr/>
                        <wps:spPr>
                          <a:xfrm>
                            <a:off x="1429448" y="659954"/>
                            <a:ext cx="3476625" cy="24765"/>
                          </a:xfrm>
                          <a:custGeom>
                            <a:avLst/>
                            <a:gdLst/>
                            <a:ahLst/>
                            <a:cxnLst/>
                            <a:rect l="l" t="t" r="r" b="b"/>
                            <a:pathLst>
                              <a:path w="3476625" h="24765">
                                <a:moveTo>
                                  <a:pt x="96138" y="0"/>
                                </a:moveTo>
                                <a:lnTo>
                                  <a:pt x="6096" y="0"/>
                                </a:lnTo>
                                <a:lnTo>
                                  <a:pt x="0" y="4445"/>
                                </a:lnTo>
                                <a:lnTo>
                                  <a:pt x="0" y="19685"/>
                                </a:lnTo>
                                <a:lnTo>
                                  <a:pt x="6096" y="24257"/>
                                </a:lnTo>
                                <a:lnTo>
                                  <a:pt x="96138" y="24257"/>
                                </a:lnTo>
                                <a:lnTo>
                                  <a:pt x="102234" y="19685"/>
                                </a:lnTo>
                                <a:lnTo>
                                  <a:pt x="102234" y="4445"/>
                                </a:lnTo>
                                <a:lnTo>
                                  <a:pt x="96138" y="0"/>
                                </a:lnTo>
                                <a:close/>
                              </a:path>
                              <a:path w="3476625" h="24765">
                                <a:moveTo>
                                  <a:pt x="272796" y="0"/>
                                </a:moveTo>
                                <a:lnTo>
                                  <a:pt x="183006" y="0"/>
                                </a:lnTo>
                                <a:lnTo>
                                  <a:pt x="176911" y="4445"/>
                                </a:lnTo>
                                <a:lnTo>
                                  <a:pt x="176911" y="19685"/>
                                </a:lnTo>
                                <a:lnTo>
                                  <a:pt x="183006" y="24257"/>
                                </a:lnTo>
                                <a:lnTo>
                                  <a:pt x="272796" y="24257"/>
                                </a:lnTo>
                                <a:lnTo>
                                  <a:pt x="278891" y="19685"/>
                                </a:lnTo>
                                <a:lnTo>
                                  <a:pt x="278891" y="4445"/>
                                </a:lnTo>
                                <a:lnTo>
                                  <a:pt x="272796" y="0"/>
                                </a:lnTo>
                                <a:close/>
                              </a:path>
                              <a:path w="3476625" h="24765">
                                <a:moveTo>
                                  <a:pt x="451231" y="0"/>
                                </a:moveTo>
                                <a:lnTo>
                                  <a:pt x="361187" y="0"/>
                                </a:lnTo>
                                <a:lnTo>
                                  <a:pt x="355091" y="4445"/>
                                </a:lnTo>
                                <a:lnTo>
                                  <a:pt x="355091" y="19685"/>
                                </a:lnTo>
                                <a:lnTo>
                                  <a:pt x="361187" y="24257"/>
                                </a:lnTo>
                                <a:lnTo>
                                  <a:pt x="451231" y="24257"/>
                                </a:lnTo>
                                <a:lnTo>
                                  <a:pt x="457200" y="19685"/>
                                </a:lnTo>
                                <a:lnTo>
                                  <a:pt x="457200" y="4445"/>
                                </a:lnTo>
                                <a:lnTo>
                                  <a:pt x="451231" y="0"/>
                                </a:lnTo>
                                <a:close/>
                              </a:path>
                              <a:path w="3476625" h="24765">
                                <a:moveTo>
                                  <a:pt x="627887" y="0"/>
                                </a:moveTo>
                                <a:lnTo>
                                  <a:pt x="538099" y="0"/>
                                </a:lnTo>
                                <a:lnTo>
                                  <a:pt x="533400" y="4445"/>
                                </a:lnTo>
                                <a:lnTo>
                                  <a:pt x="533400" y="19685"/>
                                </a:lnTo>
                                <a:lnTo>
                                  <a:pt x="538099" y="24257"/>
                                </a:lnTo>
                                <a:lnTo>
                                  <a:pt x="627887" y="24257"/>
                                </a:lnTo>
                                <a:lnTo>
                                  <a:pt x="634111" y="19685"/>
                                </a:lnTo>
                                <a:lnTo>
                                  <a:pt x="634111" y="4445"/>
                                </a:lnTo>
                                <a:lnTo>
                                  <a:pt x="627887" y="0"/>
                                </a:lnTo>
                                <a:close/>
                              </a:path>
                              <a:path w="3476625" h="24765">
                                <a:moveTo>
                                  <a:pt x="806196" y="0"/>
                                </a:moveTo>
                                <a:lnTo>
                                  <a:pt x="716406" y="0"/>
                                </a:lnTo>
                                <a:lnTo>
                                  <a:pt x="710311" y="4445"/>
                                </a:lnTo>
                                <a:lnTo>
                                  <a:pt x="710311" y="19685"/>
                                </a:lnTo>
                                <a:lnTo>
                                  <a:pt x="716406" y="24257"/>
                                </a:lnTo>
                                <a:lnTo>
                                  <a:pt x="806196" y="24257"/>
                                </a:lnTo>
                                <a:lnTo>
                                  <a:pt x="812291" y="19685"/>
                                </a:lnTo>
                                <a:lnTo>
                                  <a:pt x="812291" y="4445"/>
                                </a:lnTo>
                                <a:lnTo>
                                  <a:pt x="806196" y="0"/>
                                </a:lnTo>
                                <a:close/>
                              </a:path>
                              <a:path w="3476625" h="24765">
                                <a:moveTo>
                                  <a:pt x="984631" y="0"/>
                                </a:moveTo>
                                <a:lnTo>
                                  <a:pt x="893063" y="0"/>
                                </a:lnTo>
                                <a:lnTo>
                                  <a:pt x="888491" y="4445"/>
                                </a:lnTo>
                                <a:lnTo>
                                  <a:pt x="888491" y="19685"/>
                                </a:lnTo>
                                <a:lnTo>
                                  <a:pt x="893063" y="24257"/>
                                </a:lnTo>
                                <a:lnTo>
                                  <a:pt x="984631" y="24257"/>
                                </a:lnTo>
                                <a:lnTo>
                                  <a:pt x="989202" y="19685"/>
                                </a:lnTo>
                                <a:lnTo>
                                  <a:pt x="989202" y="4445"/>
                                </a:lnTo>
                                <a:lnTo>
                                  <a:pt x="984631" y="0"/>
                                </a:lnTo>
                                <a:close/>
                              </a:path>
                              <a:path w="3476625" h="24765">
                                <a:moveTo>
                                  <a:pt x="1161288" y="0"/>
                                </a:moveTo>
                                <a:lnTo>
                                  <a:pt x="1071499" y="0"/>
                                </a:lnTo>
                                <a:lnTo>
                                  <a:pt x="1065402" y="4445"/>
                                </a:lnTo>
                                <a:lnTo>
                                  <a:pt x="1065402" y="19685"/>
                                </a:lnTo>
                                <a:lnTo>
                                  <a:pt x="1071499" y="24257"/>
                                </a:lnTo>
                                <a:lnTo>
                                  <a:pt x="1161288" y="24257"/>
                                </a:lnTo>
                                <a:lnTo>
                                  <a:pt x="1167511" y="19685"/>
                                </a:lnTo>
                                <a:lnTo>
                                  <a:pt x="1167511" y="4445"/>
                                </a:lnTo>
                                <a:lnTo>
                                  <a:pt x="1161288" y="0"/>
                                </a:lnTo>
                                <a:close/>
                              </a:path>
                              <a:path w="3476625" h="24765">
                                <a:moveTo>
                                  <a:pt x="1339595" y="0"/>
                                </a:moveTo>
                                <a:lnTo>
                                  <a:pt x="1249807" y="0"/>
                                </a:lnTo>
                                <a:lnTo>
                                  <a:pt x="1243711" y="4445"/>
                                </a:lnTo>
                                <a:lnTo>
                                  <a:pt x="1243711" y="19685"/>
                                </a:lnTo>
                                <a:lnTo>
                                  <a:pt x="1249807" y="24257"/>
                                </a:lnTo>
                                <a:lnTo>
                                  <a:pt x="1339595" y="24257"/>
                                </a:lnTo>
                                <a:lnTo>
                                  <a:pt x="1344295" y="19685"/>
                                </a:lnTo>
                                <a:lnTo>
                                  <a:pt x="1344295" y="4445"/>
                                </a:lnTo>
                                <a:lnTo>
                                  <a:pt x="1339595" y="0"/>
                                </a:lnTo>
                                <a:close/>
                              </a:path>
                              <a:path w="3476625" h="24765">
                                <a:moveTo>
                                  <a:pt x="1516507" y="0"/>
                                </a:moveTo>
                                <a:lnTo>
                                  <a:pt x="1426464" y="0"/>
                                </a:lnTo>
                                <a:lnTo>
                                  <a:pt x="1420495" y="4445"/>
                                </a:lnTo>
                                <a:lnTo>
                                  <a:pt x="1420495" y="19685"/>
                                </a:lnTo>
                                <a:lnTo>
                                  <a:pt x="1426464" y="24257"/>
                                </a:lnTo>
                                <a:lnTo>
                                  <a:pt x="1516507" y="24257"/>
                                </a:lnTo>
                                <a:lnTo>
                                  <a:pt x="1522602" y="19685"/>
                                </a:lnTo>
                                <a:lnTo>
                                  <a:pt x="1522602" y="4445"/>
                                </a:lnTo>
                                <a:lnTo>
                                  <a:pt x="1516507" y="0"/>
                                </a:lnTo>
                                <a:close/>
                              </a:path>
                              <a:path w="3476625" h="24765">
                                <a:moveTo>
                                  <a:pt x="1694688" y="0"/>
                                </a:moveTo>
                                <a:lnTo>
                                  <a:pt x="1604899" y="0"/>
                                </a:lnTo>
                                <a:lnTo>
                                  <a:pt x="1598802" y="4445"/>
                                </a:lnTo>
                                <a:lnTo>
                                  <a:pt x="1598802" y="19685"/>
                                </a:lnTo>
                                <a:lnTo>
                                  <a:pt x="1604899" y="24257"/>
                                </a:lnTo>
                                <a:lnTo>
                                  <a:pt x="1694688" y="24257"/>
                                </a:lnTo>
                                <a:lnTo>
                                  <a:pt x="1699259" y="19685"/>
                                </a:lnTo>
                                <a:lnTo>
                                  <a:pt x="1699259" y="4445"/>
                                </a:lnTo>
                                <a:lnTo>
                                  <a:pt x="1694688" y="0"/>
                                </a:lnTo>
                                <a:close/>
                              </a:path>
                              <a:path w="3476625" h="24765">
                                <a:moveTo>
                                  <a:pt x="1871599" y="0"/>
                                </a:moveTo>
                                <a:lnTo>
                                  <a:pt x="1781556" y="0"/>
                                </a:lnTo>
                                <a:lnTo>
                                  <a:pt x="1775459" y="4445"/>
                                </a:lnTo>
                                <a:lnTo>
                                  <a:pt x="1775459" y="19685"/>
                                </a:lnTo>
                                <a:lnTo>
                                  <a:pt x="1781556" y="24257"/>
                                </a:lnTo>
                                <a:lnTo>
                                  <a:pt x="1871599" y="24257"/>
                                </a:lnTo>
                                <a:lnTo>
                                  <a:pt x="1877695" y="19685"/>
                                </a:lnTo>
                                <a:lnTo>
                                  <a:pt x="1877695" y="4445"/>
                                </a:lnTo>
                                <a:lnTo>
                                  <a:pt x="1871599" y="0"/>
                                </a:lnTo>
                                <a:close/>
                              </a:path>
                              <a:path w="3476625" h="24765">
                                <a:moveTo>
                                  <a:pt x="2049907" y="0"/>
                                </a:moveTo>
                                <a:lnTo>
                                  <a:pt x="1959864" y="0"/>
                                </a:lnTo>
                                <a:lnTo>
                                  <a:pt x="1953895" y="4445"/>
                                </a:lnTo>
                                <a:lnTo>
                                  <a:pt x="1953895" y="19685"/>
                                </a:lnTo>
                                <a:lnTo>
                                  <a:pt x="1959864" y="24257"/>
                                </a:lnTo>
                                <a:lnTo>
                                  <a:pt x="2049907" y="24257"/>
                                </a:lnTo>
                                <a:lnTo>
                                  <a:pt x="2056002" y="19685"/>
                                </a:lnTo>
                                <a:lnTo>
                                  <a:pt x="2056002" y="4445"/>
                                </a:lnTo>
                                <a:lnTo>
                                  <a:pt x="2049907" y="0"/>
                                </a:lnTo>
                                <a:close/>
                              </a:path>
                              <a:path w="3476625" h="24765">
                                <a:moveTo>
                                  <a:pt x="2226564" y="0"/>
                                </a:moveTo>
                                <a:lnTo>
                                  <a:pt x="2136775" y="0"/>
                                </a:lnTo>
                                <a:lnTo>
                                  <a:pt x="2132202" y="4445"/>
                                </a:lnTo>
                                <a:lnTo>
                                  <a:pt x="2132202" y="19685"/>
                                </a:lnTo>
                                <a:lnTo>
                                  <a:pt x="2136775" y="24257"/>
                                </a:lnTo>
                                <a:lnTo>
                                  <a:pt x="2226564" y="24257"/>
                                </a:lnTo>
                                <a:lnTo>
                                  <a:pt x="2232659" y="19685"/>
                                </a:lnTo>
                                <a:lnTo>
                                  <a:pt x="2232659" y="4445"/>
                                </a:lnTo>
                                <a:lnTo>
                                  <a:pt x="2226564" y="0"/>
                                </a:lnTo>
                                <a:close/>
                              </a:path>
                              <a:path w="3476625" h="24765">
                                <a:moveTo>
                                  <a:pt x="2404999" y="0"/>
                                </a:moveTo>
                                <a:lnTo>
                                  <a:pt x="2314956" y="0"/>
                                </a:lnTo>
                                <a:lnTo>
                                  <a:pt x="2308859" y="4445"/>
                                </a:lnTo>
                                <a:lnTo>
                                  <a:pt x="2308859" y="19685"/>
                                </a:lnTo>
                                <a:lnTo>
                                  <a:pt x="2314956" y="24257"/>
                                </a:lnTo>
                                <a:lnTo>
                                  <a:pt x="2404999" y="24257"/>
                                </a:lnTo>
                                <a:lnTo>
                                  <a:pt x="2411095" y="19685"/>
                                </a:lnTo>
                                <a:lnTo>
                                  <a:pt x="2411095" y="4445"/>
                                </a:lnTo>
                                <a:lnTo>
                                  <a:pt x="2404999" y="0"/>
                                </a:lnTo>
                                <a:close/>
                              </a:path>
                              <a:path w="3476625" h="24765">
                                <a:moveTo>
                                  <a:pt x="2583307" y="0"/>
                                </a:moveTo>
                                <a:lnTo>
                                  <a:pt x="2491866" y="0"/>
                                </a:lnTo>
                                <a:lnTo>
                                  <a:pt x="2487295" y="4445"/>
                                </a:lnTo>
                                <a:lnTo>
                                  <a:pt x="2487295" y="19685"/>
                                </a:lnTo>
                                <a:lnTo>
                                  <a:pt x="2491866" y="24257"/>
                                </a:lnTo>
                                <a:lnTo>
                                  <a:pt x="2583307" y="24257"/>
                                </a:lnTo>
                                <a:lnTo>
                                  <a:pt x="2587751" y="19685"/>
                                </a:lnTo>
                                <a:lnTo>
                                  <a:pt x="2587751" y="4445"/>
                                </a:lnTo>
                                <a:lnTo>
                                  <a:pt x="2583307" y="0"/>
                                </a:lnTo>
                                <a:close/>
                              </a:path>
                              <a:path w="3476625" h="24765">
                                <a:moveTo>
                                  <a:pt x="2759964" y="0"/>
                                </a:moveTo>
                                <a:lnTo>
                                  <a:pt x="2670175" y="0"/>
                                </a:lnTo>
                                <a:lnTo>
                                  <a:pt x="2663951" y="4445"/>
                                </a:lnTo>
                                <a:lnTo>
                                  <a:pt x="2663951" y="19685"/>
                                </a:lnTo>
                                <a:lnTo>
                                  <a:pt x="2670175" y="24257"/>
                                </a:lnTo>
                                <a:lnTo>
                                  <a:pt x="2759964" y="24257"/>
                                </a:lnTo>
                                <a:lnTo>
                                  <a:pt x="2766059" y="19685"/>
                                </a:lnTo>
                                <a:lnTo>
                                  <a:pt x="2766059" y="4445"/>
                                </a:lnTo>
                                <a:lnTo>
                                  <a:pt x="2759964" y="0"/>
                                </a:lnTo>
                                <a:close/>
                              </a:path>
                              <a:path w="3476625" h="24765">
                                <a:moveTo>
                                  <a:pt x="2938399" y="0"/>
                                </a:moveTo>
                                <a:lnTo>
                                  <a:pt x="2846832" y="0"/>
                                </a:lnTo>
                                <a:lnTo>
                                  <a:pt x="2842259" y="4445"/>
                                </a:lnTo>
                                <a:lnTo>
                                  <a:pt x="2842259" y="19685"/>
                                </a:lnTo>
                                <a:lnTo>
                                  <a:pt x="2846832" y="24257"/>
                                </a:lnTo>
                                <a:lnTo>
                                  <a:pt x="2938399" y="24257"/>
                                </a:lnTo>
                                <a:lnTo>
                                  <a:pt x="2942970" y="19685"/>
                                </a:lnTo>
                                <a:lnTo>
                                  <a:pt x="2942970" y="4445"/>
                                </a:lnTo>
                                <a:lnTo>
                                  <a:pt x="2938399" y="0"/>
                                </a:lnTo>
                                <a:close/>
                              </a:path>
                              <a:path w="3476625" h="24765">
                                <a:moveTo>
                                  <a:pt x="3115056" y="0"/>
                                </a:moveTo>
                                <a:lnTo>
                                  <a:pt x="3025266" y="0"/>
                                </a:lnTo>
                                <a:lnTo>
                                  <a:pt x="3019170" y="4445"/>
                                </a:lnTo>
                                <a:lnTo>
                                  <a:pt x="3019170" y="19685"/>
                                </a:lnTo>
                                <a:lnTo>
                                  <a:pt x="3025266" y="24257"/>
                                </a:lnTo>
                                <a:lnTo>
                                  <a:pt x="3115056" y="24257"/>
                                </a:lnTo>
                                <a:lnTo>
                                  <a:pt x="3121151" y="19685"/>
                                </a:lnTo>
                                <a:lnTo>
                                  <a:pt x="3121151" y="4445"/>
                                </a:lnTo>
                                <a:lnTo>
                                  <a:pt x="3115056" y="0"/>
                                </a:lnTo>
                                <a:close/>
                              </a:path>
                              <a:path w="3476625" h="24765">
                                <a:moveTo>
                                  <a:pt x="3293364" y="0"/>
                                </a:moveTo>
                                <a:lnTo>
                                  <a:pt x="3203575" y="0"/>
                                </a:lnTo>
                                <a:lnTo>
                                  <a:pt x="3197351" y="4445"/>
                                </a:lnTo>
                                <a:lnTo>
                                  <a:pt x="3197351" y="19685"/>
                                </a:lnTo>
                                <a:lnTo>
                                  <a:pt x="3203575" y="24257"/>
                                </a:lnTo>
                                <a:lnTo>
                                  <a:pt x="3293364" y="24257"/>
                                </a:lnTo>
                                <a:lnTo>
                                  <a:pt x="3298063" y="19685"/>
                                </a:lnTo>
                                <a:lnTo>
                                  <a:pt x="3298063" y="4445"/>
                                </a:lnTo>
                                <a:lnTo>
                                  <a:pt x="3293364" y="0"/>
                                </a:lnTo>
                                <a:close/>
                              </a:path>
                              <a:path w="3476625" h="24765">
                                <a:moveTo>
                                  <a:pt x="3470275" y="0"/>
                                </a:moveTo>
                                <a:lnTo>
                                  <a:pt x="3380232" y="0"/>
                                </a:lnTo>
                                <a:lnTo>
                                  <a:pt x="3374263" y="4445"/>
                                </a:lnTo>
                                <a:lnTo>
                                  <a:pt x="3374263" y="19685"/>
                                </a:lnTo>
                                <a:lnTo>
                                  <a:pt x="3380232" y="24257"/>
                                </a:lnTo>
                                <a:lnTo>
                                  <a:pt x="3470275" y="24257"/>
                                </a:lnTo>
                                <a:lnTo>
                                  <a:pt x="3476370" y="19685"/>
                                </a:lnTo>
                                <a:lnTo>
                                  <a:pt x="3476370" y="4445"/>
                                </a:lnTo>
                                <a:lnTo>
                                  <a:pt x="3470275" y="0"/>
                                </a:lnTo>
                                <a:close/>
                              </a:path>
                            </a:pathLst>
                          </a:custGeom>
                          <a:solidFill>
                            <a:srgbClr val="C00000"/>
                          </a:solidFill>
                        </wps:spPr>
                        <wps:bodyPr wrap="square" lIns="0" tIns="0" rIns="0" bIns="0" rtlCol="0">
                          <a:prstTxWarp prst="textNoShape">
                            <a:avLst/>
                          </a:prstTxWarp>
                          <a:noAutofit/>
                        </wps:bodyPr>
                      </wps:wsp>
                      <wps:wsp>
                        <wps:cNvPr id="122" name="Graphic 122"/>
                        <wps:cNvSpPr/>
                        <wps:spPr>
                          <a:xfrm>
                            <a:off x="1941512" y="2612071"/>
                            <a:ext cx="318770" cy="64135"/>
                          </a:xfrm>
                          <a:custGeom>
                            <a:avLst/>
                            <a:gdLst/>
                            <a:ahLst/>
                            <a:cxnLst/>
                            <a:rect l="l" t="t" r="r" b="b"/>
                            <a:pathLst>
                              <a:path w="318770" h="64135">
                                <a:moveTo>
                                  <a:pt x="318516" y="0"/>
                                </a:moveTo>
                                <a:lnTo>
                                  <a:pt x="0" y="0"/>
                                </a:lnTo>
                                <a:lnTo>
                                  <a:pt x="0" y="63880"/>
                                </a:lnTo>
                                <a:lnTo>
                                  <a:pt x="318516" y="63880"/>
                                </a:lnTo>
                                <a:lnTo>
                                  <a:pt x="318516" y="0"/>
                                </a:lnTo>
                                <a:close/>
                              </a:path>
                            </a:pathLst>
                          </a:custGeom>
                          <a:solidFill>
                            <a:srgbClr val="145F82"/>
                          </a:solidFill>
                        </wps:spPr>
                        <wps:bodyPr wrap="square" lIns="0" tIns="0" rIns="0" bIns="0" rtlCol="0">
                          <a:prstTxWarp prst="textNoShape">
                            <a:avLst/>
                          </a:prstTxWarp>
                          <a:noAutofit/>
                        </wps:bodyPr>
                      </wps:wsp>
                      <wps:wsp>
                        <wps:cNvPr id="123" name="Graphic 123"/>
                        <wps:cNvSpPr/>
                        <wps:spPr>
                          <a:xfrm>
                            <a:off x="2686748" y="2612071"/>
                            <a:ext cx="320040" cy="64135"/>
                          </a:xfrm>
                          <a:custGeom>
                            <a:avLst/>
                            <a:gdLst/>
                            <a:ahLst/>
                            <a:cxnLst/>
                            <a:rect l="l" t="t" r="r" b="b"/>
                            <a:pathLst>
                              <a:path w="320040" h="64135">
                                <a:moveTo>
                                  <a:pt x="320039" y="0"/>
                                </a:moveTo>
                                <a:lnTo>
                                  <a:pt x="0" y="0"/>
                                </a:lnTo>
                                <a:lnTo>
                                  <a:pt x="0" y="63880"/>
                                </a:lnTo>
                                <a:lnTo>
                                  <a:pt x="320039" y="63880"/>
                                </a:lnTo>
                                <a:lnTo>
                                  <a:pt x="320039" y="0"/>
                                </a:lnTo>
                                <a:close/>
                              </a:path>
                            </a:pathLst>
                          </a:custGeom>
                          <a:solidFill>
                            <a:srgbClr val="E97031"/>
                          </a:solidFill>
                        </wps:spPr>
                        <wps:bodyPr wrap="square" lIns="0" tIns="0" rIns="0" bIns="0" rtlCol="0">
                          <a:prstTxWarp prst="textNoShape">
                            <a:avLst/>
                          </a:prstTxWarp>
                          <a:noAutofit/>
                        </wps:bodyPr>
                      </wps:wsp>
                      <wps:wsp>
                        <wps:cNvPr id="124" name="Graphic 124"/>
                        <wps:cNvSpPr/>
                        <wps:spPr>
                          <a:xfrm>
                            <a:off x="3352736" y="2632010"/>
                            <a:ext cx="279400" cy="24765"/>
                          </a:xfrm>
                          <a:custGeom>
                            <a:avLst/>
                            <a:gdLst/>
                            <a:ahLst/>
                            <a:cxnLst/>
                            <a:rect l="l" t="t" r="r" b="b"/>
                            <a:pathLst>
                              <a:path w="279400" h="24765">
                                <a:moveTo>
                                  <a:pt x="96012" y="0"/>
                                </a:moveTo>
                                <a:lnTo>
                                  <a:pt x="4571" y="0"/>
                                </a:lnTo>
                                <a:lnTo>
                                  <a:pt x="0" y="4572"/>
                                </a:lnTo>
                                <a:lnTo>
                                  <a:pt x="0" y="19811"/>
                                </a:lnTo>
                                <a:lnTo>
                                  <a:pt x="4571" y="24256"/>
                                </a:lnTo>
                                <a:lnTo>
                                  <a:pt x="96012" y="24256"/>
                                </a:lnTo>
                                <a:lnTo>
                                  <a:pt x="100711" y="19811"/>
                                </a:lnTo>
                                <a:lnTo>
                                  <a:pt x="100711" y="4572"/>
                                </a:lnTo>
                                <a:lnTo>
                                  <a:pt x="96012" y="0"/>
                                </a:lnTo>
                                <a:close/>
                              </a:path>
                              <a:path w="279400" h="24765">
                                <a:moveTo>
                                  <a:pt x="272923" y="0"/>
                                </a:moveTo>
                                <a:lnTo>
                                  <a:pt x="183007" y="0"/>
                                </a:lnTo>
                                <a:lnTo>
                                  <a:pt x="176911" y="4572"/>
                                </a:lnTo>
                                <a:lnTo>
                                  <a:pt x="176911" y="19811"/>
                                </a:lnTo>
                                <a:lnTo>
                                  <a:pt x="183007" y="24256"/>
                                </a:lnTo>
                                <a:lnTo>
                                  <a:pt x="272923" y="24256"/>
                                </a:lnTo>
                                <a:lnTo>
                                  <a:pt x="279019" y="19811"/>
                                </a:lnTo>
                                <a:lnTo>
                                  <a:pt x="279019" y="4572"/>
                                </a:lnTo>
                                <a:lnTo>
                                  <a:pt x="272923" y="0"/>
                                </a:lnTo>
                                <a:close/>
                              </a:path>
                            </a:pathLst>
                          </a:custGeom>
                          <a:solidFill>
                            <a:srgbClr val="C00000"/>
                          </a:solidFill>
                        </wps:spPr>
                        <wps:bodyPr wrap="square" lIns="0" tIns="0" rIns="0" bIns="0" rtlCol="0">
                          <a:prstTxWarp prst="textNoShape">
                            <a:avLst/>
                          </a:prstTxWarp>
                          <a:noAutofit/>
                        </wps:bodyPr>
                      </wps:wsp>
                      <wps:wsp>
                        <wps:cNvPr id="125" name="Graphic 125"/>
                        <wps:cNvSpPr/>
                        <wps:spPr>
                          <a:xfrm>
                            <a:off x="4508" y="4508"/>
                            <a:ext cx="5896610" cy="2822575"/>
                          </a:xfrm>
                          <a:custGeom>
                            <a:avLst/>
                            <a:gdLst/>
                            <a:ahLst/>
                            <a:cxnLst/>
                            <a:rect l="l" t="t" r="r" b="b"/>
                            <a:pathLst>
                              <a:path w="5896610" h="2822575">
                                <a:moveTo>
                                  <a:pt x="0" y="0"/>
                                </a:moveTo>
                                <a:lnTo>
                                  <a:pt x="5896355" y="0"/>
                                </a:lnTo>
                                <a:lnTo>
                                  <a:pt x="5896355" y="2822448"/>
                                </a:lnTo>
                                <a:lnTo>
                                  <a:pt x="0" y="2822448"/>
                                </a:lnTo>
                                <a:lnTo>
                                  <a:pt x="0" y="0"/>
                                </a:lnTo>
                                <a:close/>
                              </a:path>
                            </a:pathLst>
                          </a:custGeom>
                          <a:ln w="9017">
                            <a:solidFill>
                              <a:srgbClr val="D8D8D8"/>
                            </a:solidFill>
                            <a:prstDash val="solid"/>
                          </a:ln>
                        </wps:spPr>
                        <wps:bodyPr wrap="square" lIns="0" tIns="0" rIns="0" bIns="0" rtlCol="0">
                          <a:prstTxWarp prst="textNoShape">
                            <a:avLst/>
                          </a:prstTxWarp>
                          <a:noAutofit/>
                        </wps:bodyPr>
                      </wps:wsp>
                      <wps:wsp>
                        <wps:cNvPr id="126" name="Textbox 126"/>
                        <wps:cNvSpPr txBox="1"/>
                        <wps:spPr>
                          <a:xfrm>
                            <a:off x="2240342" y="140757"/>
                            <a:ext cx="1444625" cy="178435"/>
                          </a:xfrm>
                          <a:prstGeom prst="rect">
                            <a:avLst/>
                          </a:prstGeom>
                        </wps:spPr>
                        <wps:txbx>
                          <w:txbxContent>
                            <w:p>
                              <w:pPr>
                                <w:spacing w:line="281" w:lineRule="exact" w:before="0"/>
                                <w:ind w:left="0" w:right="0" w:firstLine="0"/>
                                <w:jc w:val="left"/>
                                <w:rPr>
                                  <w:sz w:val="28"/>
                                </w:rPr>
                              </w:pPr>
                              <w:r>
                                <w:rPr>
                                  <w:color w:val="585858"/>
                                  <w:spacing w:val="-2"/>
                                  <w:sz w:val="28"/>
                                </w:rPr>
                                <w:t>Immunization</w:t>
                              </w:r>
                              <w:r>
                                <w:rPr>
                                  <w:color w:val="585858"/>
                                  <w:spacing w:val="4"/>
                                  <w:sz w:val="28"/>
                                </w:rPr>
                                <w:t> </w:t>
                              </w:r>
                              <w:r>
                                <w:rPr>
                                  <w:color w:val="585858"/>
                                  <w:spacing w:val="-4"/>
                                  <w:sz w:val="28"/>
                                </w:rPr>
                                <w:t>Rates</w:t>
                              </w:r>
                            </w:p>
                          </w:txbxContent>
                        </wps:txbx>
                        <wps:bodyPr wrap="square" lIns="0" tIns="0" rIns="0" bIns="0" rtlCol="0">
                          <a:noAutofit/>
                        </wps:bodyPr>
                      </wps:wsp>
                      <wps:wsp>
                        <wps:cNvPr id="127" name="Textbox 127"/>
                        <wps:cNvSpPr txBox="1"/>
                        <wps:spPr>
                          <a:xfrm>
                            <a:off x="358073" y="426274"/>
                            <a:ext cx="128905" cy="1884045"/>
                          </a:xfrm>
                          <a:prstGeom prst="rect">
                            <a:avLst/>
                          </a:prstGeom>
                        </wps:spPr>
                        <wps:txbx>
                          <w:txbxContent>
                            <w:p>
                              <w:pPr>
                                <w:spacing w:line="183" w:lineRule="exact" w:before="0"/>
                                <w:ind w:left="0" w:right="0" w:firstLine="0"/>
                                <w:jc w:val="left"/>
                                <w:rPr>
                                  <w:sz w:val="18"/>
                                </w:rPr>
                              </w:pPr>
                              <w:r>
                                <w:rPr>
                                  <w:color w:val="585858"/>
                                  <w:spacing w:val="-5"/>
                                  <w:sz w:val="18"/>
                                </w:rPr>
                                <w:t>90</w:t>
                              </w:r>
                            </w:p>
                            <w:p>
                              <w:pPr>
                                <w:spacing w:before="90"/>
                                <w:ind w:left="0" w:right="0" w:firstLine="0"/>
                                <w:jc w:val="left"/>
                                <w:rPr>
                                  <w:sz w:val="18"/>
                                </w:rPr>
                              </w:pPr>
                              <w:r>
                                <w:rPr>
                                  <w:color w:val="585858"/>
                                  <w:spacing w:val="-5"/>
                                  <w:sz w:val="18"/>
                                </w:rPr>
                                <w:t>80</w:t>
                              </w:r>
                            </w:p>
                            <w:p>
                              <w:pPr>
                                <w:spacing w:before="90"/>
                                <w:ind w:left="0" w:right="0" w:firstLine="0"/>
                                <w:jc w:val="left"/>
                                <w:rPr>
                                  <w:sz w:val="18"/>
                                </w:rPr>
                              </w:pPr>
                              <w:r>
                                <w:rPr>
                                  <w:color w:val="585858"/>
                                  <w:spacing w:val="-5"/>
                                  <w:sz w:val="18"/>
                                </w:rPr>
                                <w:t>70</w:t>
                              </w:r>
                            </w:p>
                            <w:p>
                              <w:pPr>
                                <w:spacing w:before="90"/>
                                <w:ind w:left="0" w:right="0" w:firstLine="0"/>
                                <w:jc w:val="left"/>
                                <w:rPr>
                                  <w:sz w:val="18"/>
                                </w:rPr>
                              </w:pPr>
                              <w:r>
                                <w:rPr>
                                  <w:color w:val="585858"/>
                                  <w:spacing w:val="-5"/>
                                  <w:sz w:val="18"/>
                                </w:rPr>
                                <w:t>60</w:t>
                              </w:r>
                            </w:p>
                            <w:p>
                              <w:pPr>
                                <w:spacing w:before="89"/>
                                <w:ind w:left="0" w:right="0" w:firstLine="0"/>
                                <w:jc w:val="left"/>
                                <w:rPr>
                                  <w:sz w:val="18"/>
                                </w:rPr>
                              </w:pPr>
                              <w:r>
                                <w:rPr>
                                  <w:color w:val="585858"/>
                                  <w:spacing w:val="-5"/>
                                  <w:sz w:val="18"/>
                                </w:rPr>
                                <w:t>50</w:t>
                              </w:r>
                            </w:p>
                            <w:p>
                              <w:pPr>
                                <w:spacing w:before="90"/>
                                <w:ind w:left="0" w:right="0" w:firstLine="0"/>
                                <w:jc w:val="left"/>
                                <w:rPr>
                                  <w:sz w:val="18"/>
                                </w:rPr>
                              </w:pPr>
                              <w:r>
                                <w:rPr>
                                  <w:color w:val="585858"/>
                                  <w:spacing w:val="-5"/>
                                  <w:sz w:val="18"/>
                                </w:rPr>
                                <w:t>40</w:t>
                              </w:r>
                            </w:p>
                            <w:p>
                              <w:pPr>
                                <w:spacing w:before="90"/>
                                <w:ind w:left="0" w:right="0" w:firstLine="0"/>
                                <w:jc w:val="left"/>
                                <w:rPr>
                                  <w:sz w:val="18"/>
                                </w:rPr>
                              </w:pPr>
                              <w:r>
                                <w:rPr>
                                  <w:color w:val="585858"/>
                                  <w:spacing w:val="-5"/>
                                  <w:sz w:val="18"/>
                                </w:rPr>
                                <w:t>30</w:t>
                              </w:r>
                            </w:p>
                            <w:p>
                              <w:pPr>
                                <w:spacing w:before="90"/>
                                <w:ind w:left="0" w:right="0" w:firstLine="0"/>
                                <w:jc w:val="left"/>
                                <w:rPr>
                                  <w:sz w:val="18"/>
                                </w:rPr>
                              </w:pPr>
                              <w:r>
                                <w:rPr>
                                  <w:color w:val="585858"/>
                                  <w:spacing w:val="-5"/>
                                  <w:sz w:val="18"/>
                                </w:rPr>
                                <w:t>20</w:t>
                              </w:r>
                            </w:p>
                            <w:p>
                              <w:pPr>
                                <w:spacing w:before="90"/>
                                <w:ind w:left="0" w:right="0" w:firstLine="0"/>
                                <w:jc w:val="left"/>
                                <w:rPr>
                                  <w:sz w:val="18"/>
                                </w:rPr>
                              </w:pPr>
                              <w:r>
                                <w:rPr>
                                  <w:color w:val="585858"/>
                                  <w:spacing w:val="-5"/>
                                  <w:sz w:val="18"/>
                                </w:rPr>
                                <w:t>10</w:t>
                              </w:r>
                            </w:p>
                            <w:p>
                              <w:pPr>
                                <w:spacing w:line="216" w:lineRule="exact" w:before="90"/>
                                <w:ind w:left="91" w:right="0" w:firstLine="0"/>
                                <w:jc w:val="left"/>
                                <w:rPr>
                                  <w:sz w:val="18"/>
                                </w:rPr>
                              </w:pPr>
                              <w:r>
                                <w:rPr>
                                  <w:color w:val="585858"/>
                                  <w:spacing w:val="-10"/>
                                  <w:sz w:val="18"/>
                                </w:rPr>
                                <w:t>0</w:t>
                              </w:r>
                            </w:p>
                          </w:txbxContent>
                        </wps:txbx>
                        <wps:bodyPr wrap="square" lIns="0" tIns="0" rIns="0" bIns="0" rtlCol="0">
                          <a:noAutofit/>
                        </wps:bodyPr>
                      </wps:wsp>
                      <wps:wsp>
                        <wps:cNvPr id="128" name="Textbox 128"/>
                        <wps:cNvSpPr txBox="1"/>
                        <wps:spPr>
                          <a:xfrm>
                            <a:off x="1347279" y="2343593"/>
                            <a:ext cx="207645" cy="114300"/>
                          </a:xfrm>
                          <a:prstGeom prst="rect">
                            <a:avLst/>
                          </a:prstGeom>
                        </wps:spPr>
                        <wps:txbx>
                          <w:txbxContent>
                            <w:p>
                              <w:pPr>
                                <w:spacing w:line="180" w:lineRule="exact" w:before="0"/>
                                <w:ind w:left="0" w:right="0" w:firstLine="0"/>
                                <w:jc w:val="left"/>
                                <w:rPr>
                                  <w:sz w:val="18"/>
                                </w:rPr>
                              </w:pPr>
                              <w:r>
                                <w:rPr>
                                  <w:color w:val="585858"/>
                                  <w:spacing w:val="-5"/>
                                  <w:sz w:val="18"/>
                                </w:rPr>
                                <w:t>HPV</w:t>
                              </w:r>
                            </w:p>
                          </w:txbxContent>
                        </wps:txbx>
                        <wps:bodyPr wrap="square" lIns="0" tIns="0" rIns="0" bIns="0" rtlCol="0">
                          <a:noAutofit/>
                        </wps:bodyPr>
                      </wps:wsp>
                      <wps:wsp>
                        <wps:cNvPr id="129" name="Textbox 129"/>
                        <wps:cNvSpPr txBox="1"/>
                        <wps:spPr>
                          <a:xfrm>
                            <a:off x="2878772" y="2343593"/>
                            <a:ext cx="602615" cy="114300"/>
                          </a:xfrm>
                          <a:prstGeom prst="rect">
                            <a:avLst/>
                          </a:prstGeom>
                        </wps:spPr>
                        <wps:txbx>
                          <w:txbxContent>
                            <w:p>
                              <w:pPr>
                                <w:spacing w:line="180" w:lineRule="exact" w:before="0"/>
                                <w:ind w:left="0" w:right="0" w:firstLine="0"/>
                                <w:jc w:val="left"/>
                                <w:rPr>
                                  <w:sz w:val="18"/>
                                </w:rPr>
                              </w:pPr>
                              <w:r>
                                <w:rPr>
                                  <w:color w:val="585858"/>
                                  <w:spacing w:val="-2"/>
                                  <w:sz w:val="18"/>
                                </w:rPr>
                                <w:t>4:3:1:3:3:1:4</w:t>
                              </w:r>
                            </w:p>
                          </w:txbxContent>
                        </wps:txbx>
                        <wps:bodyPr wrap="square" lIns="0" tIns="0" rIns="0" bIns="0" rtlCol="0">
                          <a:noAutofit/>
                        </wps:bodyPr>
                      </wps:wsp>
                      <wps:wsp>
                        <wps:cNvPr id="130" name="Textbox 130"/>
                        <wps:cNvSpPr txBox="1"/>
                        <wps:spPr>
                          <a:xfrm>
                            <a:off x="4774755" y="2343593"/>
                            <a:ext cx="269875" cy="114300"/>
                          </a:xfrm>
                          <a:prstGeom prst="rect">
                            <a:avLst/>
                          </a:prstGeom>
                        </wps:spPr>
                        <wps:txbx>
                          <w:txbxContent>
                            <w:p>
                              <w:pPr>
                                <w:spacing w:line="180" w:lineRule="exact" w:before="0"/>
                                <w:ind w:left="0" w:right="0" w:firstLine="0"/>
                                <w:jc w:val="left"/>
                                <w:rPr>
                                  <w:sz w:val="18"/>
                                </w:rPr>
                              </w:pPr>
                              <w:r>
                                <w:rPr>
                                  <w:color w:val="585858"/>
                                  <w:spacing w:val="-5"/>
                                  <w:sz w:val="18"/>
                                </w:rPr>
                                <w:t>MMR</w:t>
                              </w:r>
                            </w:p>
                          </w:txbxContent>
                        </wps:txbx>
                        <wps:bodyPr wrap="square" lIns="0" tIns="0" rIns="0" bIns="0" rtlCol="0">
                          <a:noAutofit/>
                        </wps:bodyPr>
                      </wps:wsp>
                      <wps:wsp>
                        <wps:cNvPr id="131" name="Textbox 131"/>
                        <wps:cNvSpPr txBox="1"/>
                        <wps:spPr>
                          <a:xfrm>
                            <a:off x="2299779" y="2596450"/>
                            <a:ext cx="263525" cy="114300"/>
                          </a:xfrm>
                          <a:prstGeom prst="rect">
                            <a:avLst/>
                          </a:prstGeom>
                        </wps:spPr>
                        <wps:txbx>
                          <w:txbxContent>
                            <w:p>
                              <w:pPr>
                                <w:spacing w:line="180" w:lineRule="exact" w:before="0"/>
                                <w:ind w:left="0" w:right="0" w:firstLine="0"/>
                                <w:jc w:val="left"/>
                                <w:rPr>
                                  <w:sz w:val="18"/>
                                </w:rPr>
                              </w:pPr>
                              <w:r>
                                <w:rPr>
                                  <w:color w:val="585858"/>
                                  <w:spacing w:val="-2"/>
                                  <w:sz w:val="18"/>
                                </w:rPr>
                                <w:t>Yates</w:t>
                              </w:r>
                            </w:p>
                          </w:txbxContent>
                        </wps:txbx>
                        <wps:bodyPr wrap="square" lIns="0" tIns="0" rIns="0" bIns="0" rtlCol="0">
                          <a:noAutofit/>
                        </wps:bodyPr>
                      </wps:wsp>
                      <wps:wsp>
                        <wps:cNvPr id="132" name="Textbox 132"/>
                        <wps:cNvSpPr txBox="1"/>
                        <wps:spPr>
                          <a:xfrm>
                            <a:off x="3046412" y="2596450"/>
                            <a:ext cx="194945" cy="114300"/>
                          </a:xfrm>
                          <a:prstGeom prst="rect">
                            <a:avLst/>
                          </a:prstGeom>
                        </wps:spPr>
                        <wps:txbx>
                          <w:txbxContent>
                            <w:p>
                              <w:pPr>
                                <w:spacing w:line="180" w:lineRule="exact" w:before="0"/>
                                <w:ind w:left="0" w:right="0" w:firstLine="0"/>
                                <w:jc w:val="left"/>
                                <w:rPr>
                                  <w:sz w:val="18"/>
                                </w:rPr>
                              </w:pPr>
                              <w:r>
                                <w:rPr>
                                  <w:color w:val="585858"/>
                                  <w:spacing w:val="-5"/>
                                  <w:sz w:val="18"/>
                                </w:rPr>
                                <w:t>NYS</w:t>
                              </w:r>
                            </w:p>
                          </w:txbxContent>
                        </wps:txbx>
                        <wps:bodyPr wrap="square" lIns="0" tIns="0" rIns="0" bIns="0" rtlCol="0">
                          <a:noAutofit/>
                        </wps:bodyPr>
                      </wps:wsp>
                      <wps:wsp>
                        <wps:cNvPr id="133" name="Textbox 133"/>
                        <wps:cNvSpPr txBox="1"/>
                        <wps:spPr>
                          <a:xfrm>
                            <a:off x="3724716" y="2596450"/>
                            <a:ext cx="311785" cy="114300"/>
                          </a:xfrm>
                          <a:prstGeom prst="rect">
                            <a:avLst/>
                          </a:prstGeom>
                        </wps:spPr>
                        <wps:txbx>
                          <w:txbxContent>
                            <w:p>
                              <w:pPr>
                                <w:spacing w:line="180" w:lineRule="exact" w:before="0"/>
                                <w:ind w:left="0" w:right="0" w:firstLine="0"/>
                                <w:jc w:val="left"/>
                                <w:rPr>
                                  <w:sz w:val="18"/>
                                </w:rPr>
                              </w:pPr>
                              <w:r>
                                <w:rPr>
                                  <w:color w:val="585858"/>
                                  <w:spacing w:val="-2"/>
                                  <w:sz w:val="18"/>
                                </w:rPr>
                                <w:t>Target</w:t>
                              </w:r>
                            </w:p>
                          </w:txbxContent>
                        </wps:txbx>
                        <wps:bodyPr wrap="square" lIns="0" tIns="0" rIns="0" bIns="0" rtlCol="0">
                          <a:noAutofit/>
                        </wps:bodyPr>
                      </wps:wsp>
                    </wpg:wgp>
                  </a:graphicData>
                </a:graphic>
              </wp:anchor>
            </w:drawing>
          </mc:Choice>
          <mc:Fallback>
            <w:pict>
              <v:group style="position:absolute;margin-left:71.514999pt;margin-top:27.144855pt;width:465pt;height:222.95pt;mso-position-horizontal-relative:page;mso-position-vertical-relative:paragraph;z-index:15749632" id="docshapegroup76" coordorigin="1430,543" coordsize="9300,4459">
                <v:shape style="position:absolute;left:2340;top:3766;width:3435;height:2" id="docshape77" coordorigin="2340,3766" coordsize="3435,0" path="m2340,3766l3053,3766m4351,3766l5774,3766e" filled="false" stroked="true" strokeweight=".71pt" strokecolor="#d8d8d8">
                  <v:path arrowok="t"/>
                  <v:stroke dashstyle="solid"/>
                </v:shape>
                <v:line style="position:absolute" from="6420,3759" to="6420,3773" stroked="true" strokeweight=".010020pt" strokecolor="#d8d8d8">
                  <v:stroke dashstyle="solid"/>
                </v:line>
                <v:line style="position:absolute" from="7070,3766" to="8491,3766" stroked="true" strokeweight=".71pt" strokecolor="#d8d8d8">
                  <v:stroke dashstyle="solid"/>
                </v:line>
                <v:line style="position:absolute" from="9141,3759" to="9141,3773" stroked="true" strokeweight=".010030pt" strokecolor="#d8d8d8">
                  <v:stroke dashstyle="solid"/>
                </v:line>
                <v:shape style="position:absolute;left:2340;top:3456;width:8163;height:310" id="docshape78" coordorigin="2340,3456" coordsize="8163,310" path="m9792,3766l10502,3766m2340,3456l3053,3456m4351,3456l5774,3456e" filled="false" stroked="true" strokeweight=".71pt" strokecolor="#d8d8d8">
                  <v:path arrowok="t"/>
                  <v:stroke dashstyle="solid"/>
                </v:shape>
                <v:line style="position:absolute" from="6420,3449" to="6420,3463" stroked="true" strokeweight=".010020pt" strokecolor="#d8d8d8">
                  <v:stroke dashstyle="solid"/>
                </v:line>
                <v:line style="position:absolute" from="7070,3456" to="8491,3456" stroked="true" strokeweight=".71pt" strokecolor="#d8d8d8">
                  <v:stroke dashstyle="solid"/>
                </v:line>
                <v:line style="position:absolute" from="9141,3449" to="9141,3463" stroked="true" strokeweight=".010030pt" strokecolor="#d8d8d8">
                  <v:stroke dashstyle="solid"/>
                </v:line>
                <v:shape style="position:absolute;left:2340;top:3146;width:8163;height:310" id="docshape79" coordorigin="2340,3147" coordsize="8163,310" path="m9792,3456l10502,3456m2340,3147l5774,3147e" filled="false" stroked="true" strokeweight=".71pt" strokecolor="#d8d8d8">
                  <v:path arrowok="t"/>
                  <v:stroke dashstyle="solid"/>
                </v:shape>
                <v:line style="position:absolute" from="6420,3140" to="6420,3154" stroked="true" strokeweight=".010020pt" strokecolor="#d8d8d8">
                  <v:stroke dashstyle="solid"/>
                </v:line>
                <v:line style="position:absolute" from="7070,3147" to="8491,3147" stroked="true" strokeweight=".71pt" strokecolor="#d8d8d8">
                  <v:stroke dashstyle="solid"/>
                </v:line>
                <v:line style="position:absolute" from="9141,3140" to="9141,3154" stroked="true" strokeweight=".010030pt" strokecolor="#d8d8d8">
                  <v:stroke dashstyle="solid"/>
                </v:line>
                <v:shape style="position:absolute;left:2340;top:2837;width:8163;height:310" id="docshape80" coordorigin="2340,2837" coordsize="8163,310" path="m9792,3147l10502,3147m2340,2837l5774,2837e" filled="false" stroked="true" strokeweight=".71pt" strokecolor="#d8d8d8">
                  <v:path arrowok="t"/>
                  <v:stroke dashstyle="solid"/>
                </v:shape>
                <v:line style="position:absolute" from="6420,2830" to="6420,2844" stroked="true" strokeweight=".010020pt" strokecolor="#d8d8d8">
                  <v:stroke dashstyle="solid"/>
                </v:line>
                <v:line style="position:absolute" from="7070,2837" to="8491,2837" stroked="true" strokeweight=".71pt" strokecolor="#d8d8d8">
                  <v:stroke dashstyle="solid"/>
                </v:line>
                <v:line style="position:absolute" from="9141,2830" to="9141,2844" stroked="true" strokeweight=".010030pt" strokecolor="#d8d8d8">
                  <v:stroke dashstyle="solid"/>
                </v:line>
                <v:shape style="position:absolute;left:7070;top:2530;width:3433;height:308" id="docshape81" coordorigin="7070,2530" coordsize="3433,308" path="m9792,2837l10502,2837m7070,2530l8491,2530e" filled="false" stroked="true" strokeweight=".71pt" strokecolor="#d8d8d8">
                  <v:path arrowok="t"/>
                  <v:stroke dashstyle="solid"/>
                </v:shape>
                <v:line style="position:absolute" from="9141,2523" to="9141,2537" stroked="true" strokeweight=".010030pt" strokecolor="#d8d8d8">
                  <v:stroke dashstyle="solid"/>
                </v:line>
                <v:shape style="position:absolute;left:2340;top:2530;width:8163;height:2" id="docshape82" coordorigin="2340,2530" coordsize="8163,0" path="m2340,2530l6420,2530m9792,2530l10502,2530e" filled="false" stroked="true" strokeweight=".71pt" strokecolor="#d8d8d8">
                  <v:path arrowok="t"/>
                  <v:stroke dashstyle="solid"/>
                </v:shape>
                <v:shape style="position:absolute;left:2340;top:1601;width:8163;height:619" id="docshape83" coordorigin="2340,1601" coordsize="8163,619" path="m2340,2220l6420,2220m7070,2220l9141,2220m9792,2220l10502,2220m2340,1911l9141,1911m9792,1911l10502,1911m2340,1601l9141,1601m9792,1601l10502,1601e" filled="false" stroked="true" strokeweight=".71pt" strokecolor="#d8d8d8">
                  <v:path arrowok="t"/>
                  <v:stroke dashstyle="solid"/>
                </v:shape>
                <v:line style="position:absolute" from="2340,1292" to="10502,1292" stroked="true" strokeweight=".71pt" strokecolor="#d8d8d8">
                  <v:stroke dashstyle="solid"/>
                </v:line>
                <v:shape style="position:absolute;left:3052;top:2350;width:6089;height:1726" id="docshape84" coordorigin="3053,2350" coordsize="6089,1726" path="m3701,3409l3053,3409,3053,4076,3701,4076,3701,3409xm6420,2691l5774,2691,5774,4076,6420,4076,6420,2691xm9141,2350l8491,2350,8491,4076,9141,4076,9141,2350xe" filled="true" fillcolor="#145f82" stroked="false">
                  <v:path arrowok="t"/>
                  <v:fill type="solid"/>
                </v:shape>
                <v:shape style="position:absolute;left:3700;top:1565;width:6092;height:2511" id="docshape85" coordorigin="3701,1565" coordsize="6092,2511" path="m4351,3344l3701,3344,3701,4076,4351,4076,4351,3344xm7070,2105l6420,2105,6420,4076,7070,4076,7070,2105xm9792,1565l9141,1565,9141,4076,9792,4076,9792,1565xe" filled="true" fillcolor="#e97031" stroked="false">
                  <v:path arrowok="t"/>
                  <v:fill type="solid"/>
                </v:shape>
                <v:line style="position:absolute" from="2340,4076" to="10502,4076" stroked="true" strokeweight=".71pt" strokecolor="#d8d8d8">
                  <v:stroke dashstyle="solid"/>
                </v:line>
                <v:shape style="position:absolute;left:3681;top:1582;width:5475;height:39" id="docshape86" coordorigin="3681,1582" coordsize="5475,39" path="m3833,1582l3691,1582,3681,1589,3681,1613,3691,1620,3833,1620,3842,1613,3842,1589,3833,1582xm4111,1582l3970,1582,3960,1589,3960,1613,3970,1620,4111,1620,4121,1613,4121,1589,4111,1582xm4392,1582l4250,1582,4241,1589,4241,1613,4250,1620,4392,1620,4401,1613,4401,1589,4392,1582xm4670,1582l4529,1582,4521,1589,4521,1613,4529,1620,4670,1620,4680,1613,4680,1589,4670,1582xm4951,1582l4810,1582,4800,1589,4800,1613,4810,1620,4951,1620,4961,1613,4961,1589,4951,1582xm5232,1582l5088,1582,5081,1589,5081,1613,5088,1620,5232,1620,5239,1613,5239,1589,5232,1582xm5510,1582l5369,1582,5359,1589,5359,1613,5369,1620,5510,1620,5520,1613,5520,1589,5510,1582xm5791,1582l5650,1582,5640,1589,5640,1613,5650,1620,5791,1620,5798,1613,5798,1589,5791,1582xm6070,1582l5928,1582,5918,1589,5918,1613,5928,1620,6070,1620,6079,1613,6079,1589,6070,1582xm6350,1582l6209,1582,6199,1589,6199,1613,6209,1620,6350,1620,6357,1613,6357,1589,6350,1582xm6629,1582l6487,1582,6477,1589,6477,1613,6487,1620,6629,1620,6638,1613,6638,1589,6629,1582xm6910,1582l6768,1582,6758,1589,6758,1613,6768,1620,6910,1620,6919,1613,6919,1589,6910,1582xm7188,1582l7046,1582,7039,1589,7039,1613,7046,1620,7188,1620,7197,1613,7197,1589,7188,1582xm7469,1582l7327,1582,7317,1589,7317,1613,7327,1620,7469,1620,7478,1613,7478,1589,7469,1582xm7750,1582l7606,1582,7598,1589,7598,1613,7606,1620,7750,1620,7757,1613,7757,1589,7750,1582xm8028,1582l7886,1582,7877,1589,7877,1613,7886,1620,8028,1620,8037,1613,8037,1589,8028,1582xm8309,1582l8165,1582,8157,1589,8157,1613,8165,1620,8309,1620,8316,1613,8316,1589,8309,1582xm8587,1582l8446,1582,8436,1589,8436,1613,8446,1620,8587,1620,8597,1613,8597,1589,8587,1582xm8868,1582l8726,1582,8717,1589,8717,1613,8726,1620,8868,1620,8875,1613,8875,1589,8868,1582xm9146,1582l9005,1582,8995,1589,8995,1613,9005,1620,9146,1620,9156,1613,9156,1589,9146,1582xe" filled="true" fillcolor="#c00000" stroked="false">
                  <v:path arrowok="t"/>
                  <v:fill type="solid"/>
                </v:shape>
                <v:rect style="position:absolute;left:4487;top:4656;width:502;height:101" id="docshape87" filled="true" fillcolor="#145f82" stroked="false">
                  <v:fill type="solid"/>
                </v:rect>
                <v:rect style="position:absolute;left:5661;top:4656;width:504;height:101" id="docshape88" filled="true" fillcolor="#e97031" stroked="false">
                  <v:fill type="solid"/>
                </v:rect>
                <v:shape style="position:absolute;left:6710;top:4687;width:440;height:39" id="docshape89" coordorigin="6710,4688" coordsize="440,39" path="m6861,4688l6717,4688,6710,4695,6710,4719,6717,4726,6861,4726,6869,4719,6869,4695,6861,4688xm7140,4688l6998,4688,6989,4695,6989,4719,6998,4726,7140,4726,7150,4719,7150,4695,7140,4688xe" filled="true" fillcolor="#c00000" stroked="false">
                  <v:path arrowok="t"/>
                  <v:fill type="solid"/>
                </v:shape>
                <v:rect style="position:absolute;left:1437;top:550;width:9286;height:4445" id="docshape90" filled="false" stroked="true" strokeweight=".71pt" strokecolor="#d8d8d8">
                  <v:stroke dashstyle="solid"/>
                </v:rect>
                <v:shape style="position:absolute;left:4958;top:764;width:2275;height:281" type="#_x0000_t202" id="docshape91" filled="false" stroked="false">
                  <v:textbox inset="0,0,0,0">
                    <w:txbxContent>
                      <w:p>
                        <w:pPr>
                          <w:spacing w:line="281" w:lineRule="exact" w:before="0"/>
                          <w:ind w:left="0" w:right="0" w:firstLine="0"/>
                          <w:jc w:val="left"/>
                          <w:rPr>
                            <w:sz w:val="28"/>
                          </w:rPr>
                        </w:pPr>
                        <w:r>
                          <w:rPr>
                            <w:color w:val="585858"/>
                            <w:spacing w:val="-2"/>
                            <w:sz w:val="28"/>
                          </w:rPr>
                          <w:t>Immunization</w:t>
                        </w:r>
                        <w:r>
                          <w:rPr>
                            <w:color w:val="585858"/>
                            <w:spacing w:val="4"/>
                            <w:sz w:val="28"/>
                          </w:rPr>
                          <w:t> </w:t>
                        </w:r>
                        <w:r>
                          <w:rPr>
                            <w:color w:val="585858"/>
                            <w:spacing w:val="-4"/>
                            <w:sz w:val="28"/>
                          </w:rPr>
                          <w:t>Rates</w:t>
                        </w:r>
                      </w:p>
                    </w:txbxContent>
                  </v:textbox>
                  <w10:wrap type="none"/>
                </v:shape>
                <v:shape style="position:absolute;left:1994;top:1214;width:203;height:2967" type="#_x0000_t202" id="docshape92" filled="false" stroked="false">
                  <v:textbox inset="0,0,0,0">
                    <w:txbxContent>
                      <w:p>
                        <w:pPr>
                          <w:spacing w:line="183" w:lineRule="exact" w:before="0"/>
                          <w:ind w:left="0" w:right="0" w:firstLine="0"/>
                          <w:jc w:val="left"/>
                          <w:rPr>
                            <w:sz w:val="18"/>
                          </w:rPr>
                        </w:pPr>
                        <w:r>
                          <w:rPr>
                            <w:color w:val="585858"/>
                            <w:spacing w:val="-5"/>
                            <w:sz w:val="18"/>
                          </w:rPr>
                          <w:t>90</w:t>
                        </w:r>
                      </w:p>
                      <w:p>
                        <w:pPr>
                          <w:spacing w:before="90"/>
                          <w:ind w:left="0" w:right="0" w:firstLine="0"/>
                          <w:jc w:val="left"/>
                          <w:rPr>
                            <w:sz w:val="18"/>
                          </w:rPr>
                        </w:pPr>
                        <w:r>
                          <w:rPr>
                            <w:color w:val="585858"/>
                            <w:spacing w:val="-5"/>
                            <w:sz w:val="18"/>
                          </w:rPr>
                          <w:t>80</w:t>
                        </w:r>
                      </w:p>
                      <w:p>
                        <w:pPr>
                          <w:spacing w:before="90"/>
                          <w:ind w:left="0" w:right="0" w:firstLine="0"/>
                          <w:jc w:val="left"/>
                          <w:rPr>
                            <w:sz w:val="18"/>
                          </w:rPr>
                        </w:pPr>
                        <w:r>
                          <w:rPr>
                            <w:color w:val="585858"/>
                            <w:spacing w:val="-5"/>
                            <w:sz w:val="18"/>
                          </w:rPr>
                          <w:t>70</w:t>
                        </w:r>
                      </w:p>
                      <w:p>
                        <w:pPr>
                          <w:spacing w:before="90"/>
                          <w:ind w:left="0" w:right="0" w:firstLine="0"/>
                          <w:jc w:val="left"/>
                          <w:rPr>
                            <w:sz w:val="18"/>
                          </w:rPr>
                        </w:pPr>
                        <w:r>
                          <w:rPr>
                            <w:color w:val="585858"/>
                            <w:spacing w:val="-5"/>
                            <w:sz w:val="18"/>
                          </w:rPr>
                          <w:t>60</w:t>
                        </w:r>
                      </w:p>
                      <w:p>
                        <w:pPr>
                          <w:spacing w:before="89"/>
                          <w:ind w:left="0" w:right="0" w:firstLine="0"/>
                          <w:jc w:val="left"/>
                          <w:rPr>
                            <w:sz w:val="18"/>
                          </w:rPr>
                        </w:pPr>
                        <w:r>
                          <w:rPr>
                            <w:color w:val="585858"/>
                            <w:spacing w:val="-5"/>
                            <w:sz w:val="18"/>
                          </w:rPr>
                          <w:t>50</w:t>
                        </w:r>
                      </w:p>
                      <w:p>
                        <w:pPr>
                          <w:spacing w:before="90"/>
                          <w:ind w:left="0" w:right="0" w:firstLine="0"/>
                          <w:jc w:val="left"/>
                          <w:rPr>
                            <w:sz w:val="18"/>
                          </w:rPr>
                        </w:pPr>
                        <w:r>
                          <w:rPr>
                            <w:color w:val="585858"/>
                            <w:spacing w:val="-5"/>
                            <w:sz w:val="18"/>
                          </w:rPr>
                          <w:t>40</w:t>
                        </w:r>
                      </w:p>
                      <w:p>
                        <w:pPr>
                          <w:spacing w:before="90"/>
                          <w:ind w:left="0" w:right="0" w:firstLine="0"/>
                          <w:jc w:val="left"/>
                          <w:rPr>
                            <w:sz w:val="18"/>
                          </w:rPr>
                        </w:pPr>
                        <w:r>
                          <w:rPr>
                            <w:color w:val="585858"/>
                            <w:spacing w:val="-5"/>
                            <w:sz w:val="18"/>
                          </w:rPr>
                          <w:t>30</w:t>
                        </w:r>
                      </w:p>
                      <w:p>
                        <w:pPr>
                          <w:spacing w:before="90"/>
                          <w:ind w:left="0" w:right="0" w:firstLine="0"/>
                          <w:jc w:val="left"/>
                          <w:rPr>
                            <w:sz w:val="18"/>
                          </w:rPr>
                        </w:pPr>
                        <w:r>
                          <w:rPr>
                            <w:color w:val="585858"/>
                            <w:spacing w:val="-5"/>
                            <w:sz w:val="18"/>
                          </w:rPr>
                          <w:t>20</w:t>
                        </w:r>
                      </w:p>
                      <w:p>
                        <w:pPr>
                          <w:spacing w:before="90"/>
                          <w:ind w:left="0" w:right="0" w:firstLine="0"/>
                          <w:jc w:val="left"/>
                          <w:rPr>
                            <w:sz w:val="18"/>
                          </w:rPr>
                        </w:pPr>
                        <w:r>
                          <w:rPr>
                            <w:color w:val="585858"/>
                            <w:spacing w:val="-5"/>
                            <w:sz w:val="18"/>
                          </w:rPr>
                          <w:t>10</w:t>
                        </w:r>
                      </w:p>
                      <w:p>
                        <w:pPr>
                          <w:spacing w:line="216" w:lineRule="exact" w:before="90"/>
                          <w:ind w:left="91" w:right="0" w:firstLine="0"/>
                          <w:jc w:val="left"/>
                          <w:rPr>
                            <w:sz w:val="18"/>
                          </w:rPr>
                        </w:pPr>
                        <w:r>
                          <w:rPr>
                            <w:color w:val="585858"/>
                            <w:spacing w:val="-10"/>
                            <w:sz w:val="18"/>
                          </w:rPr>
                          <w:t>0</w:t>
                        </w:r>
                      </w:p>
                    </w:txbxContent>
                  </v:textbox>
                  <w10:wrap type="none"/>
                </v:shape>
                <v:shape style="position:absolute;left:3552;top:4233;width:327;height:180" type="#_x0000_t202" id="docshape93" filled="false" stroked="false">
                  <v:textbox inset="0,0,0,0">
                    <w:txbxContent>
                      <w:p>
                        <w:pPr>
                          <w:spacing w:line="180" w:lineRule="exact" w:before="0"/>
                          <w:ind w:left="0" w:right="0" w:firstLine="0"/>
                          <w:jc w:val="left"/>
                          <w:rPr>
                            <w:sz w:val="18"/>
                          </w:rPr>
                        </w:pPr>
                        <w:r>
                          <w:rPr>
                            <w:color w:val="585858"/>
                            <w:spacing w:val="-5"/>
                            <w:sz w:val="18"/>
                          </w:rPr>
                          <w:t>HPV</w:t>
                        </w:r>
                      </w:p>
                    </w:txbxContent>
                  </v:textbox>
                  <w10:wrap type="none"/>
                </v:shape>
                <v:shape style="position:absolute;left:5963;top:4233;width:949;height:180" type="#_x0000_t202" id="docshape94" filled="false" stroked="false">
                  <v:textbox inset="0,0,0,0">
                    <w:txbxContent>
                      <w:p>
                        <w:pPr>
                          <w:spacing w:line="180" w:lineRule="exact" w:before="0"/>
                          <w:ind w:left="0" w:right="0" w:firstLine="0"/>
                          <w:jc w:val="left"/>
                          <w:rPr>
                            <w:sz w:val="18"/>
                          </w:rPr>
                        </w:pPr>
                        <w:r>
                          <w:rPr>
                            <w:color w:val="585858"/>
                            <w:spacing w:val="-2"/>
                            <w:sz w:val="18"/>
                          </w:rPr>
                          <w:t>4:3:1:3:3:1:4</w:t>
                        </w:r>
                      </w:p>
                    </w:txbxContent>
                  </v:textbox>
                  <w10:wrap type="none"/>
                </v:shape>
                <v:shape style="position:absolute;left:8949;top:4233;width:425;height:180" type="#_x0000_t202" id="docshape95" filled="false" stroked="false">
                  <v:textbox inset="0,0,0,0">
                    <w:txbxContent>
                      <w:p>
                        <w:pPr>
                          <w:spacing w:line="180" w:lineRule="exact" w:before="0"/>
                          <w:ind w:left="0" w:right="0" w:firstLine="0"/>
                          <w:jc w:val="left"/>
                          <w:rPr>
                            <w:sz w:val="18"/>
                          </w:rPr>
                        </w:pPr>
                        <w:r>
                          <w:rPr>
                            <w:color w:val="585858"/>
                            <w:spacing w:val="-5"/>
                            <w:sz w:val="18"/>
                          </w:rPr>
                          <w:t>MMR</w:t>
                        </w:r>
                      </w:p>
                    </w:txbxContent>
                  </v:textbox>
                  <w10:wrap type="none"/>
                </v:shape>
                <v:shape style="position:absolute;left:5052;top:4631;width:415;height:180" type="#_x0000_t202" id="docshape96" filled="false" stroked="false">
                  <v:textbox inset="0,0,0,0">
                    <w:txbxContent>
                      <w:p>
                        <w:pPr>
                          <w:spacing w:line="180" w:lineRule="exact" w:before="0"/>
                          <w:ind w:left="0" w:right="0" w:firstLine="0"/>
                          <w:jc w:val="left"/>
                          <w:rPr>
                            <w:sz w:val="18"/>
                          </w:rPr>
                        </w:pPr>
                        <w:r>
                          <w:rPr>
                            <w:color w:val="585858"/>
                            <w:spacing w:val="-2"/>
                            <w:sz w:val="18"/>
                          </w:rPr>
                          <w:t>Yates</w:t>
                        </w:r>
                      </w:p>
                    </w:txbxContent>
                  </v:textbox>
                  <w10:wrap type="none"/>
                </v:shape>
                <v:shape style="position:absolute;left:6227;top:4631;width:307;height:180" type="#_x0000_t202" id="docshape97" filled="false" stroked="false">
                  <v:textbox inset="0,0,0,0">
                    <w:txbxContent>
                      <w:p>
                        <w:pPr>
                          <w:spacing w:line="180" w:lineRule="exact" w:before="0"/>
                          <w:ind w:left="0" w:right="0" w:firstLine="0"/>
                          <w:jc w:val="left"/>
                          <w:rPr>
                            <w:sz w:val="18"/>
                          </w:rPr>
                        </w:pPr>
                        <w:r>
                          <w:rPr>
                            <w:color w:val="585858"/>
                            <w:spacing w:val="-5"/>
                            <w:sz w:val="18"/>
                          </w:rPr>
                          <w:t>NYS</w:t>
                        </w:r>
                      </w:p>
                    </w:txbxContent>
                  </v:textbox>
                  <w10:wrap type="none"/>
                </v:shape>
                <v:shape style="position:absolute;left:7296;top:4631;width:491;height:180" type="#_x0000_t202" id="docshape98" filled="false" stroked="false">
                  <v:textbox inset="0,0,0,0">
                    <w:txbxContent>
                      <w:p>
                        <w:pPr>
                          <w:spacing w:line="180" w:lineRule="exact" w:before="0"/>
                          <w:ind w:left="0" w:right="0" w:firstLine="0"/>
                          <w:jc w:val="left"/>
                          <w:rPr>
                            <w:sz w:val="18"/>
                          </w:rPr>
                        </w:pPr>
                        <w:r>
                          <w:rPr>
                            <w:color w:val="585858"/>
                            <w:spacing w:val="-2"/>
                            <w:sz w:val="18"/>
                          </w:rPr>
                          <w:t>Target</w:t>
                        </w:r>
                      </w:p>
                    </w:txbxContent>
                  </v:textbox>
                  <w10:wrap type="none"/>
                </v:shape>
                <w10:wrap type="none"/>
              </v:group>
            </w:pict>
          </mc:Fallback>
        </mc:AlternateContent>
      </w:r>
      <w:r>
        <w:rPr>
          <w:i/>
          <w:sz w:val="18"/>
        </w:rPr>
        <mc:AlternateContent>
          <mc:Choice Requires="wps">
            <w:drawing>
              <wp:anchor distT="0" distB="0" distL="0" distR="0" allowOverlap="1" layoutInCell="1" locked="0" behindDoc="0" simplePos="0" relativeHeight="15750144">
                <wp:simplePos x="0" y="0"/>
                <wp:positionH relativeFrom="page">
                  <wp:posOffset>1085720</wp:posOffset>
                </wp:positionH>
                <wp:positionV relativeFrom="paragraph">
                  <wp:posOffset>1166999</wp:posOffset>
                </wp:positionV>
                <wp:extent cx="152400" cy="108521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52400" cy="1085215"/>
                        </a:xfrm>
                        <a:prstGeom prst="rect">
                          <a:avLst/>
                        </a:prstGeom>
                      </wps:spPr>
                      <wps:txbx>
                        <w:txbxContent>
                          <w:p>
                            <w:pPr>
                              <w:spacing w:line="223" w:lineRule="exact" w:before="0"/>
                              <w:ind w:left="20" w:right="0" w:firstLine="0"/>
                              <w:jc w:val="left"/>
                              <w:rPr>
                                <w:sz w:val="20"/>
                              </w:rPr>
                            </w:pPr>
                            <w:r>
                              <w:rPr>
                                <w:color w:val="585858"/>
                                <w:sz w:val="20"/>
                              </w:rPr>
                              <w:t>Completion</w:t>
                            </w:r>
                            <w:r>
                              <w:rPr>
                                <w:color w:val="585858"/>
                                <w:spacing w:val="-7"/>
                                <w:sz w:val="20"/>
                              </w:rPr>
                              <w:t> </w:t>
                            </w:r>
                            <w:r>
                              <w:rPr>
                                <w:color w:val="585858"/>
                                <w:sz w:val="20"/>
                              </w:rPr>
                              <w:t>Rate</w:t>
                            </w:r>
                            <w:r>
                              <w:rPr>
                                <w:color w:val="585858"/>
                                <w:spacing w:val="-10"/>
                                <w:sz w:val="20"/>
                              </w:rPr>
                              <w:t> </w:t>
                            </w:r>
                            <w:r>
                              <w:rPr>
                                <w:color w:val="585858"/>
                                <w:spacing w:val="-5"/>
                                <w:sz w:val="20"/>
                              </w:rPr>
                              <w:t>(%)</w:t>
                            </w:r>
                          </w:p>
                        </w:txbxContent>
                      </wps:txbx>
                      <wps:bodyPr wrap="square" lIns="0" tIns="0" rIns="0" bIns="0" rtlCol="0" vert="vert270">
                        <a:noAutofit/>
                      </wps:bodyPr>
                    </wps:wsp>
                  </a:graphicData>
                </a:graphic>
              </wp:anchor>
            </w:drawing>
          </mc:Choice>
          <mc:Fallback>
            <w:pict>
              <v:shape style="position:absolute;margin-left:85.489799pt;margin-top:91.889755pt;width:12pt;height:85.45pt;mso-position-horizontal-relative:page;mso-position-vertical-relative:paragraph;z-index:15750144" type="#_x0000_t202" id="docshape99" filled="false" stroked="false">
                <v:textbox inset="0,0,0,0" style="layout-flow:vertical;mso-layout-flow-alt:bottom-to-top">
                  <w:txbxContent>
                    <w:p>
                      <w:pPr>
                        <w:spacing w:line="223" w:lineRule="exact" w:before="0"/>
                        <w:ind w:left="20" w:right="0" w:firstLine="0"/>
                        <w:jc w:val="left"/>
                        <w:rPr>
                          <w:sz w:val="20"/>
                        </w:rPr>
                      </w:pPr>
                      <w:r>
                        <w:rPr>
                          <w:color w:val="585858"/>
                          <w:sz w:val="20"/>
                        </w:rPr>
                        <w:t>Completion</w:t>
                      </w:r>
                      <w:r>
                        <w:rPr>
                          <w:color w:val="585858"/>
                          <w:spacing w:val="-7"/>
                          <w:sz w:val="20"/>
                        </w:rPr>
                        <w:t> </w:t>
                      </w:r>
                      <w:r>
                        <w:rPr>
                          <w:color w:val="585858"/>
                          <w:sz w:val="20"/>
                        </w:rPr>
                        <w:t>Rate</w:t>
                      </w:r>
                      <w:r>
                        <w:rPr>
                          <w:color w:val="585858"/>
                          <w:spacing w:val="-10"/>
                          <w:sz w:val="20"/>
                        </w:rPr>
                        <w:t> </w:t>
                      </w:r>
                      <w:r>
                        <w:rPr>
                          <w:color w:val="585858"/>
                          <w:spacing w:val="-5"/>
                          <w:sz w:val="20"/>
                        </w:rPr>
                        <w:t>(%)</w:t>
                      </w:r>
                    </w:p>
                  </w:txbxContent>
                </v:textbox>
                <w10:wrap type="none"/>
              </v:shape>
            </w:pict>
          </mc:Fallback>
        </mc:AlternateContent>
      </w:r>
      <w:r>
        <w:rPr>
          <w:i/>
          <w:sz w:val="18"/>
        </w:rPr>
        <w:t>Figure</w:t>
      </w:r>
      <w:r>
        <w:rPr>
          <w:i/>
          <w:spacing w:val="-2"/>
          <w:sz w:val="18"/>
        </w:rPr>
        <w:t> </w:t>
      </w:r>
      <w:r>
        <w:rPr>
          <w:i/>
          <w:sz w:val="18"/>
        </w:rPr>
        <w:t>Y7:</w:t>
      </w:r>
      <w:r>
        <w:rPr>
          <w:i/>
          <w:spacing w:val="38"/>
          <w:sz w:val="18"/>
        </w:rPr>
        <w:t> </w:t>
      </w:r>
      <w:r>
        <w:rPr>
          <w:i/>
          <w:sz w:val="18"/>
        </w:rPr>
        <w:t>Immunizafion</w:t>
      </w:r>
      <w:r>
        <w:rPr>
          <w:i/>
          <w:spacing w:val="-2"/>
          <w:sz w:val="18"/>
        </w:rPr>
        <w:t> </w:t>
      </w:r>
      <w:r>
        <w:rPr>
          <w:i/>
          <w:sz w:val="18"/>
        </w:rPr>
        <w:t>Rates</w:t>
      </w:r>
      <w:r>
        <w:rPr>
          <w:i/>
          <w:spacing w:val="-2"/>
          <w:sz w:val="18"/>
        </w:rPr>
        <w:t> (2025)</w:t>
      </w: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ind w:left="0"/>
        <w:rPr>
          <w:i/>
          <w:sz w:val="18"/>
        </w:rPr>
      </w:pPr>
    </w:p>
    <w:p>
      <w:pPr>
        <w:pStyle w:val="BodyText"/>
        <w:spacing w:before="213"/>
        <w:ind w:left="0"/>
        <w:rPr>
          <w:i/>
          <w:sz w:val="18"/>
        </w:rPr>
      </w:pPr>
    </w:p>
    <w:p>
      <w:pPr>
        <w:spacing w:before="0"/>
        <w:ind w:left="1440" w:right="0" w:firstLine="0"/>
        <w:jc w:val="left"/>
        <w:rPr>
          <w:i/>
          <w:sz w:val="18"/>
        </w:rPr>
      </w:pPr>
      <w:r>
        <w:rPr>
          <w:i/>
          <w:sz w:val="18"/>
        </w:rPr>
        <w:t>Source:</w:t>
      </w:r>
      <w:r>
        <w:rPr>
          <w:i/>
          <w:spacing w:val="-6"/>
          <w:sz w:val="18"/>
        </w:rPr>
        <w:t> </w:t>
      </w:r>
      <w:r>
        <w:rPr>
          <w:i/>
          <w:sz w:val="18"/>
        </w:rPr>
        <w:t>NYSIIP</w:t>
      </w:r>
      <w:r>
        <w:rPr>
          <w:i/>
          <w:spacing w:val="-4"/>
          <w:sz w:val="18"/>
        </w:rPr>
        <w:t> </w:t>
      </w:r>
      <w:r>
        <w:rPr>
          <w:i/>
          <w:sz w:val="18"/>
        </w:rPr>
        <w:t>Performance</w:t>
      </w:r>
      <w:r>
        <w:rPr>
          <w:i/>
          <w:spacing w:val="-7"/>
          <w:sz w:val="18"/>
        </w:rPr>
        <w:t> </w:t>
      </w:r>
      <w:r>
        <w:rPr>
          <w:i/>
          <w:sz w:val="18"/>
        </w:rPr>
        <w:t>Reports,</w:t>
      </w:r>
      <w:r>
        <w:rPr>
          <w:i/>
          <w:spacing w:val="-5"/>
          <w:sz w:val="18"/>
        </w:rPr>
        <w:t> </w:t>
      </w:r>
      <w:r>
        <w:rPr>
          <w:i/>
          <w:sz w:val="18"/>
        </w:rPr>
        <w:t>IAP</w:t>
      </w:r>
      <w:r>
        <w:rPr>
          <w:i/>
          <w:spacing w:val="-4"/>
          <w:sz w:val="18"/>
        </w:rPr>
        <w:t> </w:t>
      </w:r>
      <w:r>
        <w:rPr>
          <w:i/>
          <w:sz w:val="18"/>
        </w:rPr>
        <w:t>Baseline</w:t>
      </w:r>
      <w:r>
        <w:rPr>
          <w:i/>
          <w:spacing w:val="-7"/>
          <w:sz w:val="18"/>
        </w:rPr>
        <w:t> </w:t>
      </w:r>
      <w:r>
        <w:rPr>
          <w:i/>
          <w:spacing w:val="-2"/>
          <w:sz w:val="18"/>
        </w:rPr>
        <w:t>Report</w:t>
      </w:r>
    </w:p>
    <w:p>
      <w:pPr>
        <w:spacing w:after="0"/>
        <w:jc w:val="left"/>
        <w:rPr>
          <w:i/>
          <w:sz w:val="18"/>
        </w:rPr>
        <w:sectPr>
          <w:pgSz w:w="12240" w:h="15840"/>
          <w:pgMar w:header="161" w:footer="1223" w:top="1360" w:bottom="1420" w:left="0" w:right="0"/>
        </w:sectPr>
      </w:pPr>
    </w:p>
    <w:p>
      <w:pPr>
        <w:pStyle w:val="BodyText"/>
        <w:spacing w:line="259" w:lineRule="auto" w:before="64"/>
        <w:ind w:right="1467"/>
      </w:pPr>
      <w:r>
        <w:rPr/>
        <w:t>Yates County’s low Immunizafion rates are likely aﬀected by the large Mennonite populafion in the community. It is common pracfice for the Mennonite community to remain unvaccinated and seek alternafive,</w:t>
      </w:r>
      <w:r>
        <w:rPr>
          <w:spacing w:val="-2"/>
        </w:rPr>
        <w:t> </w:t>
      </w:r>
      <w:r>
        <w:rPr/>
        <w:t>holisfic</w:t>
      </w:r>
      <w:r>
        <w:rPr>
          <w:spacing w:val="-4"/>
        </w:rPr>
        <w:t> </w:t>
      </w:r>
      <w:r>
        <w:rPr/>
        <w:t>measures of</w:t>
      </w:r>
      <w:r>
        <w:rPr>
          <w:spacing w:val="-3"/>
        </w:rPr>
        <w:t> </w:t>
      </w:r>
      <w:r>
        <w:rPr/>
        <w:t>care.</w:t>
      </w:r>
      <w:r>
        <w:rPr>
          <w:spacing w:val="-3"/>
        </w:rPr>
        <w:t> </w:t>
      </w:r>
      <w:r>
        <w:rPr/>
        <w:t>Of note,</w:t>
      </w:r>
      <w:r>
        <w:rPr>
          <w:spacing w:val="-2"/>
        </w:rPr>
        <w:t> </w:t>
      </w:r>
      <w:r>
        <w:rPr/>
        <w:t>though, is that</w:t>
      </w:r>
      <w:r>
        <w:rPr>
          <w:spacing w:val="-2"/>
        </w:rPr>
        <w:t> </w:t>
      </w:r>
      <w:r>
        <w:rPr/>
        <w:t>Mennonite</w:t>
      </w:r>
      <w:r>
        <w:rPr>
          <w:spacing w:val="-2"/>
        </w:rPr>
        <w:t> </w:t>
      </w:r>
      <w:r>
        <w:rPr/>
        <w:t>oﬃce visits for</w:t>
      </w:r>
      <w:r>
        <w:rPr>
          <w:spacing w:val="-2"/>
        </w:rPr>
        <w:t> </w:t>
      </w:r>
      <w:r>
        <w:rPr/>
        <w:t>immunizafions at</w:t>
      </w:r>
      <w:r>
        <w:rPr>
          <w:spacing w:val="-5"/>
        </w:rPr>
        <w:t> </w:t>
      </w:r>
      <w:r>
        <w:rPr/>
        <w:t>Yates</w:t>
      </w:r>
      <w:r>
        <w:rPr>
          <w:spacing w:val="-5"/>
        </w:rPr>
        <w:t> </w:t>
      </w:r>
      <w:r>
        <w:rPr/>
        <w:t>County</w:t>
      </w:r>
      <w:r>
        <w:rPr>
          <w:spacing w:val="-5"/>
        </w:rPr>
        <w:t> </w:t>
      </w:r>
      <w:r>
        <w:rPr/>
        <w:t>Public</w:t>
      </w:r>
      <w:r>
        <w:rPr>
          <w:spacing w:val="-4"/>
        </w:rPr>
        <w:t> </w:t>
      </w:r>
      <w:r>
        <w:rPr/>
        <w:t>Health</w:t>
      </w:r>
      <w:r>
        <w:rPr>
          <w:spacing w:val="-5"/>
        </w:rPr>
        <w:t> </w:t>
      </w:r>
      <w:r>
        <w:rPr/>
        <w:t>increased</w:t>
      </w:r>
      <w:r>
        <w:rPr>
          <w:spacing w:val="-5"/>
        </w:rPr>
        <w:t> </w:t>
      </w:r>
      <w:r>
        <w:rPr/>
        <w:t>by</w:t>
      </w:r>
      <w:r>
        <w:rPr>
          <w:spacing w:val="-4"/>
        </w:rPr>
        <w:t> </w:t>
      </w:r>
      <w:r>
        <w:rPr/>
        <w:t>57%</w:t>
      </w:r>
      <w:r>
        <w:rPr>
          <w:spacing w:val="-5"/>
        </w:rPr>
        <w:t> </w:t>
      </w:r>
      <w:r>
        <w:rPr/>
        <w:t>since</w:t>
      </w:r>
      <w:r>
        <w:rPr>
          <w:spacing w:val="-8"/>
        </w:rPr>
        <w:t> </w:t>
      </w:r>
      <w:r>
        <w:rPr/>
        <w:t>2024,</w:t>
      </w:r>
      <w:r>
        <w:rPr>
          <w:spacing w:val="-6"/>
        </w:rPr>
        <w:t> </w:t>
      </w:r>
      <w:r>
        <w:rPr/>
        <w:t>indicafing</w:t>
      </w:r>
      <w:r>
        <w:rPr>
          <w:spacing w:val="-5"/>
        </w:rPr>
        <w:t> </w:t>
      </w:r>
      <w:r>
        <w:rPr/>
        <w:t>a</w:t>
      </w:r>
      <w:r>
        <w:rPr>
          <w:spacing w:val="-5"/>
        </w:rPr>
        <w:t> </w:t>
      </w:r>
      <w:r>
        <w:rPr/>
        <w:t>growing</w:t>
      </w:r>
      <w:r>
        <w:rPr>
          <w:spacing w:val="-5"/>
        </w:rPr>
        <w:t> </w:t>
      </w:r>
      <w:r>
        <w:rPr/>
        <w:t>interest</w:t>
      </w:r>
      <w:r>
        <w:rPr>
          <w:spacing w:val="-6"/>
        </w:rPr>
        <w:t> </w:t>
      </w:r>
      <w:r>
        <w:rPr/>
        <w:t>in</w:t>
      </w:r>
      <w:r>
        <w:rPr>
          <w:spacing w:val="-5"/>
        </w:rPr>
        <w:t> </w:t>
      </w:r>
      <w:r>
        <w:rPr/>
        <w:t>this</w:t>
      </w:r>
      <w:r>
        <w:rPr>
          <w:spacing w:val="-5"/>
        </w:rPr>
        <w:t> </w:t>
      </w:r>
      <w:r>
        <w:rPr/>
        <w:t>pracfice. Nonetheless, targeted, culturally competent educafion is key to understanding the importance and eﬀecfiveness of vaccinafion and ulfimately improving rates of immunizafion.</w:t>
      </w:r>
    </w:p>
    <w:p>
      <w:pPr>
        <w:pStyle w:val="BodyText"/>
        <w:spacing w:line="259" w:lineRule="auto" w:before="158"/>
        <w:ind w:right="1467"/>
      </w:pPr>
      <w:r>
        <w:rPr/>
        <w:t>Tesfing for blood levels of lead is essenfial in young children as no level of lead in the blood is safe. The CDC indicates that lead poisoning may lead to slowed growth and development, learning and behavior problems,</w:t>
      </w:r>
      <w:r>
        <w:rPr>
          <w:spacing w:val="-7"/>
        </w:rPr>
        <w:t> </w:t>
      </w:r>
      <w:r>
        <w:rPr/>
        <w:t>and</w:t>
      </w:r>
      <w:r>
        <w:rPr>
          <w:spacing w:val="-6"/>
        </w:rPr>
        <w:t> </w:t>
      </w:r>
      <w:r>
        <w:rPr/>
        <w:t>other</w:t>
      </w:r>
      <w:r>
        <w:rPr>
          <w:spacing w:val="-5"/>
        </w:rPr>
        <w:t> </w:t>
      </w:r>
      <w:r>
        <w:rPr/>
        <w:t>long-term</w:t>
      </w:r>
      <w:r>
        <w:rPr>
          <w:spacing w:val="-3"/>
        </w:rPr>
        <w:t> </w:t>
      </w:r>
      <w:r>
        <w:rPr/>
        <w:t>health</w:t>
      </w:r>
      <w:r>
        <w:rPr>
          <w:spacing w:val="-6"/>
        </w:rPr>
        <w:t> </w:t>
      </w:r>
      <w:r>
        <w:rPr/>
        <w:t>eﬀects.</w:t>
      </w:r>
      <w:r>
        <w:rPr>
          <w:spacing w:val="-5"/>
        </w:rPr>
        <w:t> </w:t>
      </w:r>
      <w:r>
        <w:rPr/>
        <w:t>Young</w:t>
      </w:r>
      <w:r>
        <w:rPr>
          <w:spacing w:val="-5"/>
        </w:rPr>
        <w:t> </w:t>
      </w:r>
      <w:r>
        <w:rPr/>
        <w:t>children</w:t>
      </w:r>
      <w:r>
        <w:rPr>
          <w:spacing w:val="-6"/>
        </w:rPr>
        <w:t> </w:t>
      </w:r>
      <w:r>
        <w:rPr/>
        <w:t>may</w:t>
      </w:r>
      <w:r>
        <w:rPr>
          <w:spacing w:val="-6"/>
        </w:rPr>
        <w:t> </w:t>
      </w:r>
      <w:r>
        <w:rPr/>
        <w:t>not</w:t>
      </w:r>
      <w:r>
        <w:rPr>
          <w:spacing w:val="-7"/>
        </w:rPr>
        <w:t> </w:t>
      </w:r>
      <w:r>
        <w:rPr/>
        <w:t>show</w:t>
      </w:r>
      <w:r>
        <w:rPr>
          <w:spacing w:val="-7"/>
        </w:rPr>
        <w:t> </w:t>
      </w:r>
      <w:r>
        <w:rPr/>
        <w:t>signs</w:t>
      </w:r>
      <w:r>
        <w:rPr>
          <w:spacing w:val="-5"/>
        </w:rPr>
        <w:t> </w:t>
      </w:r>
      <w:r>
        <w:rPr/>
        <w:t>and</w:t>
      </w:r>
      <w:r>
        <w:rPr>
          <w:spacing w:val="-6"/>
        </w:rPr>
        <w:t> </w:t>
      </w:r>
      <w:r>
        <w:rPr/>
        <w:t>symptoms</w:t>
      </w:r>
      <w:r>
        <w:rPr>
          <w:spacing w:val="-7"/>
        </w:rPr>
        <w:t> </w:t>
      </w:r>
      <w:r>
        <w:rPr/>
        <w:t>of</w:t>
      </w:r>
      <w:r>
        <w:rPr>
          <w:spacing w:val="-7"/>
        </w:rPr>
        <w:t> </w:t>
      </w:r>
      <w:r>
        <w:rPr/>
        <w:t>lead in the blood and body but can quickly be negafively impacted. Individuals that live or spend fime in buildings built before 1978 or are from low-income households are especially vulnerable. With 18% of children under age 18 living in poverty, it is essenfial to priorifize eﬀorts to improve access to and complefion of lead screening to safeguard long-term health in the county.</w:t>
      </w:r>
    </w:p>
    <w:p>
      <w:pPr>
        <w:pStyle w:val="BodyText"/>
        <w:spacing w:line="259" w:lineRule="auto" w:before="159"/>
        <w:ind w:right="1467"/>
      </w:pPr>
      <w:r>
        <w:rPr/>
        <w:t>Lead</w:t>
      </w:r>
      <w:r>
        <w:rPr>
          <w:spacing w:val="-3"/>
        </w:rPr>
        <w:t> </w:t>
      </w:r>
      <w:r>
        <w:rPr/>
        <w:t>screening</w:t>
      </w:r>
      <w:r>
        <w:rPr>
          <w:spacing w:val="-3"/>
        </w:rPr>
        <w:t> </w:t>
      </w:r>
      <w:r>
        <w:rPr/>
        <w:t>data</w:t>
      </w:r>
      <w:r>
        <w:rPr>
          <w:spacing w:val="-5"/>
        </w:rPr>
        <w:t> </w:t>
      </w:r>
      <w:r>
        <w:rPr/>
        <w:t>from</w:t>
      </w:r>
      <w:r>
        <w:rPr>
          <w:spacing w:val="-4"/>
        </w:rPr>
        <w:t> </w:t>
      </w:r>
      <w:r>
        <w:rPr/>
        <w:t>2024</w:t>
      </w:r>
      <w:r>
        <w:rPr>
          <w:spacing w:val="-3"/>
        </w:rPr>
        <w:t> </w:t>
      </w:r>
      <w:r>
        <w:rPr/>
        <w:t>(Figure</w:t>
      </w:r>
      <w:r>
        <w:rPr>
          <w:spacing w:val="-4"/>
        </w:rPr>
        <w:t> </w:t>
      </w:r>
      <w:r>
        <w:rPr/>
        <w:t>Y8)</w:t>
      </w:r>
      <w:r>
        <w:rPr>
          <w:spacing w:val="-3"/>
        </w:rPr>
        <w:t> </w:t>
      </w:r>
      <w:r>
        <w:rPr/>
        <w:t>indicate</w:t>
      </w:r>
      <w:r>
        <w:rPr>
          <w:spacing w:val="-5"/>
        </w:rPr>
        <w:t> </w:t>
      </w:r>
      <w:r>
        <w:rPr/>
        <w:t>that</w:t>
      </w:r>
      <w:r>
        <w:rPr>
          <w:spacing w:val="-3"/>
        </w:rPr>
        <w:t> </w:t>
      </w:r>
      <w:r>
        <w:rPr/>
        <w:t>the</w:t>
      </w:r>
      <w:r>
        <w:rPr>
          <w:spacing w:val="-3"/>
        </w:rPr>
        <w:t> </w:t>
      </w:r>
      <w:r>
        <w:rPr/>
        <w:t>percentage</w:t>
      </w:r>
      <w:r>
        <w:rPr>
          <w:spacing w:val="-5"/>
        </w:rPr>
        <w:t> </w:t>
      </w:r>
      <w:r>
        <w:rPr/>
        <w:t>of</w:t>
      </w:r>
      <w:r>
        <w:rPr>
          <w:spacing w:val="-3"/>
        </w:rPr>
        <w:t> </w:t>
      </w:r>
      <w:r>
        <w:rPr/>
        <w:t>children</w:t>
      </w:r>
      <w:r>
        <w:rPr>
          <w:spacing w:val="-3"/>
        </w:rPr>
        <w:t> </w:t>
      </w:r>
      <w:r>
        <w:rPr/>
        <w:t>aged</w:t>
      </w:r>
      <w:r>
        <w:rPr>
          <w:spacing w:val="-4"/>
        </w:rPr>
        <w:t> </w:t>
      </w:r>
      <w:r>
        <w:rPr/>
        <w:t>one</w:t>
      </w:r>
      <w:r>
        <w:rPr>
          <w:spacing w:val="-4"/>
        </w:rPr>
        <w:t> </w:t>
      </w:r>
      <w:r>
        <w:rPr/>
        <w:t>year</w:t>
      </w:r>
      <w:r>
        <w:rPr>
          <w:spacing w:val="-3"/>
        </w:rPr>
        <w:t> </w:t>
      </w:r>
      <w:r>
        <w:rPr/>
        <w:t>who received</w:t>
      </w:r>
      <w:r>
        <w:rPr>
          <w:spacing w:val="-7"/>
        </w:rPr>
        <w:t> </w:t>
      </w:r>
      <w:r>
        <w:rPr/>
        <w:t>one</w:t>
      </w:r>
      <w:r>
        <w:rPr>
          <w:spacing w:val="-4"/>
        </w:rPr>
        <w:t> </w:t>
      </w:r>
      <w:r>
        <w:rPr/>
        <w:t>lead</w:t>
      </w:r>
      <w:r>
        <w:rPr>
          <w:spacing w:val="-5"/>
        </w:rPr>
        <w:t> </w:t>
      </w:r>
      <w:r>
        <w:rPr/>
        <w:t>screening</w:t>
      </w:r>
      <w:r>
        <w:rPr>
          <w:spacing w:val="-6"/>
        </w:rPr>
        <w:t> </w:t>
      </w:r>
      <w:r>
        <w:rPr/>
        <w:t>is</w:t>
      </w:r>
      <w:r>
        <w:rPr>
          <w:spacing w:val="-5"/>
        </w:rPr>
        <w:t> </w:t>
      </w:r>
      <w:r>
        <w:rPr/>
        <w:t>40.5%.</w:t>
      </w:r>
      <w:r>
        <w:rPr>
          <w:spacing w:val="-7"/>
        </w:rPr>
        <w:t> </w:t>
      </w:r>
      <w:r>
        <w:rPr/>
        <w:t>The</w:t>
      </w:r>
      <w:r>
        <w:rPr>
          <w:spacing w:val="-4"/>
        </w:rPr>
        <w:t> </w:t>
      </w:r>
      <w:r>
        <w:rPr/>
        <w:t>percentage</w:t>
      </w:r>
      <w:r>
        <w:rPr>
          <w:spacing w:val="-6"/>
        </w:rPr>
        <w:t> </w:t>
      </w:r>
      <w:r>
        <w:rPr/>
        <w:t>of</w:t>
      </w:r>
      <w:r>
        <w:rPr>
          <w:spacing w:val="-5"/>
        </w:rPr>
        <w:t> </w:t>
      </w:r>
      <w:r>
        <w:rPr/>
        <w:t>children</w:t>
      </w:r>
      <w:r>
        <w:rPr>
          <w:spacing w:val="-7"/>
        </w:rPr>
        <w:t> </w:t>
      </w:r>
      <w:r>
        <w:rPr/>
        <w:t>aged</w:t>
      </w:r>
      <w:r>
        <w:rPr>
          <w:spacing w:val="-5"/>
        </w:rPr>
        <w:t> </w:t>
      </w:r>
      <w:r>
        <w:rPr/>
        <w:t>two</w:t>
      </w:r>
      <w:r>
        <w:rPr>
          <w:spacing w:val="-6"/>
        </w:rPr>
        <w:t> </w:t>
      </w:r>
      <w:r>
        <w:rPr/>
        <w:t>years</w:t>
      </w:r>
      <w:r>
        <w:rPr>
          <w:spacing w:val="-6"/>
        </w:rPr>
        <w:t> </w:t>
      </w:r>
      <w:r>
        <w:rPr/>
        <w:t>who</w:t>
      </w:r>
      <w:r>
        <w:rPr>
          <w:spacing w:val="-3"/>
        </w:rPr>
        <w:t> </w:t>
      </w:r>
      <w:r>
        <w:rPr/>
        <w:t>received</w:t>
      </w:r>
      <w:r>
        <w:rPr>
          <w:spacing w:val="-6"/>
        </w:rPr>
        <w:t> </w:t>
      </w:r>
      <w:r>
        <w:rPr/>
        <w:t>at</w:t>
      </w:r>
      <w:r>
        <w:rPr>
          <w:spacing w:val="-5"/>
        </w:rPr>
        <w:t> </w:t>
      </w:r>
      <w:r>
        <w:rPr/>
        <w:t>least one lead screening was 42.7%. Those who received at</w:t>
      </w:r>
      <w:r>
        <w:rPr>
          <w:spacing w:val="-1"/>
        </w:rPr>
        <w:t> </w:t>
      </w:r>
      <w:r>
        <w:rPr/>
        <w:t>least two lead screenings by three years of age were 32.4%. Overall trends are showing a decline in all measures of lead tesfing.</w:t>
      </w:r>
    </w:p>
    <w:p>
      <w:pPr>
        <w:spacing w:before="159"/>
        <w:ind w:left="1440" w:right="0" w:firstLine="0"/>
        <w:jc w:val="left"/>
        <w:rPr>
          <w:i/>
          <w:sz w:val="18"/>
        </w:rPr>
      </w:pPr>
      <w:r>
        <w:rPr>
          <w:i/>
          <w:sz w:val="18"/>
        </w:rPr>
        <w:t>Figure</w:t>
      </w:r>
      <w:r>
        <w:rPr>
          <w:i/>
          <w:spacing w:val="-3"/>
          <w:sz w:val="18"/>
        </w:rPr>
        <w:t> </w:t>
      </w:r>
      <w:r>
        <w:rPr>
          <w:i/>
          <w:sz w:val="18"/>
        </w:rPr>
        <w:t>Y8:</w:t>
      </w:r>
      <w:r>
        <w:rPr>
          <w:i/>
          <w:spacing w:val="-3"/>
          <w:sz w:val="18"/>
        </w:rPr>
        <w:t> </w:t>
      </w:r>
      <w:r>
        <w:rPr>
          <w:i/>
          <w:sz w:val="18"/>
        </w:rPr>
        <w:t>Prevenfive</w:t>
      </w:r>
      <w:r>
        <w:rPr>
          <w:i/>
          <w:spacing w:val="-2"/>
          <w:sz w:val="18"/>
        </w:rPr>
        <w:t> </w:t>
      </w:r>
      <w:r>
        <w:rPr>
          <w:i/>
          <w:sz w:val="18"/>
        </w:rPr>
        <w:t>Services</w:t>
      </w:r>
      <w:r>
        <w:rPr>
          <w:i/>
          <w:spacing w:val="-3"/>
          <w:sz w:val="18"/>
        </w:rPr>
        <w:t> </w:t>
      </w:r>
      <w:r>
        <w:rPr>
          <w:i/>
          <w:sz w:val="18"/>
        </w:rPr>
        <w:t>–</w:t>
      </w:r>
      <w:r>
        <w:rPr>
          <w:i/>
          <w:spacing w:val="-3"/>
          <w:sz w:val="18"/>
        </w:rPr>
        <w:t> </w:t>
      </w:r>
      <w:r>
        <w:rPr>
          <w:i/>
          <w:sz w:val="18"/>
        </w:rPr>
        <w:t>Lead</w:t>
      </w:r>
      <w:r>
        <w:rPr>
          <w:i/>
          <w:spacing w:val="-1"/>
          <w:sz w:val="18"/>
        </w:rPr>
        <w:t> </w:t>
      </w:r>
      <w:r>
        <w:rPr>
          <w:i/>
          <w:sz w:val="18"/>
        </w:rPr>
        <w:t>Screening</w:t>
      </w:r>
      <w:r>
        <w:rPr>
          <w:i/>
          <w:spacing w:val="-2"/>
          <w:sz w:val="18"/>
        </w:rPr>
        <w:t> (2024)</w:t>
      </w:r>
    </w:p>
    <w:p>
      <w:pPr>
        <w:pStyle w:val="BodyText"/>
        <w:spacing w:before="11"/>
        <w:ind w:left="0"/>
        <w:rPr>
          <w:i/>
          <w:sz w:val="12"/>
        </w:rPr>
      </w:pPr>
      <w:r>
        <w:rPr>
          <w:i/>
          <w:sz w:val="12"/>
        </w:rPr>
        <w:drawing>
          <wp:anchor distT="0" distB="0" distL="0" distR="0" allowOverlap="1" layoutInCell="1" locked="0" behindDoc="1" simplePos="0" relativeHeight="487609856">
            <wp:simplePos x="0" y="0"/>
            <wp:positionH relativeFrom="page">
              <wp:posOffset>914400</wp:posOffset>
            </wp:positionH>
            <wp:positionV relativeFrom="paragraph">
              <wp:posOffset>115690</wp:posOffset>
            </wp:positionV>
            <wp:extent cx="5935884" cy="3329940"/>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37" cstate="print"/>
                    <a:stretch>
                      <a:fillRect/>
                    </a:stretch>
                  </pic:blipFill>
                  <pic:spPr>
                    <a:xfrm>
                      <a:off x="0" y="0"/>
                      <a:ext cx="5935884" cy="3329940"/>
                    </a:xfrm>
                    <a:prstGeom prst="rect">
                      <a:avLst/>
                    </a:prstGeom>
                  </pic:spPr>
                </pic:pic>
              </a:graphicData>
            </a:graphic>
          </wp:anchor>
        </w:drawing>
      </w:r>
    </w:p>
    <w:p>
      <w:pPr>
        <w:spacing w:before="184"/>
        <w:ind w:left="1440" w:right="0" w:firstLine="0"/>
        <w:jc w:val="left"/>
        <w:rPr>
          <w:i/>
          <w:sz w:val="18"/>
        </w:rPr>
      </w:pPr>
      <w:r>
        <w:rPr>
          <w:i/>
          <w:sz w:val="18"/>
        </w:rPr>
        <w:t>Source:</w:t>
      </w:r>
      <w:r>
        <w:rPr>
          <w:i/>
          <w:spacing w:val="-6"/>
          <w:sz w:val="18"/>
        </w:rPr>
        <w:t> </w:t>
      </w:r>
      <w:r>
        <w:rPr>
          <w:i/>
          <w:sz w:val="18"/>
        </w:rPr>
        <w:t>NYSIIP</w:t>
      </w:r>
      <w:r>
        <w:rPr>
          <w:i/>
          <w:spacing w:val="-4"/>
          <w:sz w:val="18"/>
        </w:rPr>
        <w:t> </w:t>
      </w:r>
      <w:r>
        <w:rPr>
          <w:i/>
          <w:sz w:val="18"/>
        </w:rPr>
        <w:t>Performance</w:t>
      </w:r>
      <w:r>
        <w:rPr>
          <w:i/>
          <w:spacing w:val="-7"/>
          <w:sz w:val="18"/>
        </w:rPr>
        <w:t> </w:t>
      </w:r>
      <w:r>
        <w:rPr>
          <w:i/>
          <w:sz w:val="18"/>
        </w:rPr>
        <w:t>Reports,</w:t>
      </w:r>
      <w:r>
        <w:rPr>
          <w:i/>
          <w:spacing w:val="-5"/>
          <w:sz w:val="18"/>
        </w:rPr>
        <w:t> </w:t>
      </w:r>
      <w:r>
        <w:rPr>
          <w:i/>
          <w:sz w:val="18"/>
        </w:rPr>
        <w:t>IAP</w:t>
      </w:r>
      <w:r>
        <w:rPr>
          <w:i/>
          <w:spacing w:val="-4"/>
          <w:sz w:val="18"/>
        </w:rPr>
        <w:t> </w:t>
      </w:r>
      <w:r>
        <w:rPr>
          <w:i/>
          <w:sz w:val="18"/>
        </w:rPr>
        <w:t>Baseline</w:t>
      </w:r>
      <w:r>
        <w:rPr>
          <w:i/>
          <w:spacing w:val="-7"/>
          <w:sz w:val="18"/>
        </w:rPr>
        <w:t> </w:t>
      </w:r>
      <w:r>
        <w:rPr>
          <w:i/>
          <w:spacing w:val="-2"/>
          <w:sz w:val="18"/>
        </w:rPr>
        <w:t>Report</w:t>
      </w:r>
    </w:p>
    <w:p>
      <w:pPr>
        <w:pStyle w:val="BodyText"/>
        <w:spacing w:line="259" w:lineRule="auto" w:before="179"/>
        <w:ind w:right="1436"/>
      </w:pPr>
      <w:r>
        <w:rPr>
          <w:b/>
          <w:i/>
        </w:rPr>
        <w:t>Health</w:t>
      </w:r>
      <w:r>
        <w:rPr>
          <w:b/>
          <w:i/>
          <w:spacing w:val="-6"/>
        </w:rPr>
        <w:t> </w:t>
      </w:r>
      <w:r>
        <w:rPr>
          <w:b/>
          <w:i/>
        </w:rPr>
        <w:t>Care</w:t>
      </w:r>
      <w:r>
        <w:rPr>
          <w:b/>
          <w:i/>
          <w:spacing w:val="-8"/>
        </w:rPr>
        <w:t> </w:t>
      </w:r>
      <w:r>
        <w:rPr>
          <w:b/>
          <w:i/>
        </w:rPr>
        <w:t>Access</w:t>
      </w:r>
      <w:r>
        <w:rPr>
          <w:b/>
          <w:i/>
          <w:spacing w:val="-8"/>
        </w:rPr>
        <w:t> </w:t>
      </w:r>
      <w:r>
        <w:rPr>
          <w:b/>
          <w:i/>
        </w:rPr>
        <w:t>and</w:t>
      </w:r>
      <w:r>
        <w:rPr>
          <w:b/>
          <w:i/>
          <w:spacing w:val="-4"/>
        </w:rPr>
        <w:t> </w:t>
      </w:r>
      <w:r>
        <w:rPr>
          <w:b/>
          <w:i/>
        </w:rPr>
        <w:t>Quality</w:t>
      </w:r>
      <w:r>
        <w:rPr>
          <w:b/>
          <w:i/>
          <w:spacing w:val="-5"/>
        </w:rPr>
        <w:t> </w:t>
      </w:r>
      <w:r>
        <w:rPr>
          <w:b/>
          <w:i/>
        </w:rPr>
        <w:t>Domain</w:t>
      </w:r>
      <w:r>
        <w:rPr>
          <w:b/>
          <w:i/>
          <w:spacing w:val="-6"/>
        </w:rPr>
        <w:t> </w:t>
      </w:r>
      <w:r>
        <w:rPr>
          <w:b/>
          <w:i/>
        </w:rPr>
        <w:t>Summary</w:t>
      </w:r>
      <w:r>
        <w:rPr>
          <w:i/>
        </w:rPr>
        <w:t>:</w:t>
      </w:r>
      <w:r>
        <w:rPr>
          <w:i/>
          <w:spacing w:val="-6"/>
        </w:rPr>
        <w:t> </w:t>
      </w:r>
      <w:r>
        <w:rPr/>
        <w:t>Yates</w:t>
      </w:r>
      <w:r>
        <w:rPr>
          <w:spacing w:val="-5"/>
        </w:rPr>
        <w:t> </w:t>
      </w:r>
      <w:r>
        <w:rPr/>
        <w:t>County</w:t>
      </w:r>
      <w:r>
        <w:rPr>
          <w:spacing w:val="-6"/>
        </w:rPr>
        <w:t> </w:t>
      </w:r>
      <w:r>
        <w:rPr/>
        <w:t>shows</w:t>
      </w:r>
      <w:r>
        <w:rPr>
          <w:spacing w:val="-5"/>
        </w:rPr>
        <w:t> </w:t>
      </w:r>
      <w:r>
        <w:rPr/>
        <w:t>progress</w:t>
      </w:r>
      <w:r>
        <w:rPr>
          <w:spacing w:val="-7"/>
        </w:rPr>
        <w:t> </w:t>
      </w:r>
      <w:r>
        <w:rPr/>
        <w:t>in</w:t>
      </w:r>
      <w:r>
        <w:rPr>
          <w:spacing w:val="-6"/>
        </w:rPr>
        <w:t> </w:t>
      </w:r>
      <w:r>
        <w:rPr/>
        <w:t>several</w:t>
      </w:r>
      <w:r>
        <w:rPr>
          <w:spacing w:val="-8"/>
        </w:rPr>
        <w:t> </w:t>
      </w:r>
      <w:r>
        <w:rPr/>
        <w:t>maternal</w:t>
      </w:r>
      <w:r>
        <w:rPr>
          <w:spacing w:val="-5"/>
        </w:rPr>
        <w:t> </w:t>
      </w:r>
      <w:r>
        <w:rPr/>
        <w:t>and child health indicators, including increased absfinence from smoking, alcohol, and drug use during pregnancy, lower rates of low birthweight, and high breasffeeding rates. However, challenges remain.</w:t>
      </w:r>
    </w:p>
    <w:p>
      <w:pPr>
        <w:pStyle w:val="BodyText"/>
        <w:spacing w:line="267" w:lineRule="exact"/>
      </w:pPr>
      <w:r>
        <w:rPr/>
        <w:t>Prevenfive</w:t>
      </w:r>
      <w:r>
        <w:rPr>
          <w:spacing w:val="-9"/>
        </w:rPr>
        <w:t> </w:t>
      </w:r>
      <w:r>
        <w:rPr/>
        <w:t>care</w:t>
      </w:r>
      <w:r>
        <w:rPr>
          <w:spacing w:val="-9"/>
        </w:rPr>
        <w:t> </w:t>
      </w:r>
      <w:r>
        <w:rPr/>
        <w:t>access</w:t>
      </w:r>
      <w:r>
        <w:rPr>
          <w:spacing w:val="-9"/>
        </w:rPr>
        <w:t> </w:t>
      </w:r>
      <w:r>
        <w:rPr/>
        <w:t>is</w:t>
      </w:r>
      <w:r>
        <w:rPr>
          <w:spacing w:val="-10"/>
        </w:rPr>
        <w:t> </w:t>
      </w:r>
      <w:r>
        <w:rPr/>
        <w:t>strained</w:t>
      </w:r>
      <w:r>
        <w:rPr>
          <w:spacing w:val="-9"/>
        </w:rPr>
        <w:t> </w:t>
      </w:r>
      <w:r>
        <w:rPr/>
        <w:t>by</w:t>
      </w:r>
      <w:r>
        <w:rPr>
          <w:spacing w:val="-9"/>
        </w:rPr>
        <w:t> </w:t>
      </w:r>
      <w:r>
        <w:rPr/>
        <w:t>provider</w:t>
      </w:r>
      <w:r>
        <w:rPr>
          <w:spacing w:val="-9"/>
        </w:rPr>
        <w:t> </w:t>
      </w:r>
      <w:r>
        <w:rPr/>
        <w:t>shortages,</w:t>
      </w:r>
      <w:r>
        <w:rPr>
          <w:spacing w:val="-10"/>
        </w:rPr>
        <w:t> </w:t>
      </w:r>
      <w:r>
        <w:rPr/>
        <w:t>declining</w:t>
      </w:r>
      <w:r>
        <w:rPr>
          <w:spacing w:val="-9"/>
        </w:rPr>
        <w:t> </w:t>
      </w:r>
      <w:r>
        <w:rPr/>
        <w:t>insurance</w:t>
      </w:r>
      <w:r>
        <w:rPr>
          <w:spacing w:val="-11"/>
        </w:rPr>
        <w:t> </w:t>
      </w:r>
      <w:r>
        <w:rPr/>
        <w:t>coverage,</w:t>
      </w:r>
      <w:r>
        <w:rPr>
          <w:spacing w:val="-10"/>
        </w:rPr>
        <w:t> </w:t>
      </w:r>
      <w:r>
        <w:rPr>
          <w:spacing w:val="-2"/>
        </w:rPr>
        <w:t>transportafion</w:t>
      </w:r>
    </w:p>
    <w:p>
      <w:pPr>
        <w:pStyle w:val="BodyText"/>
        <w:spacing w:after="0" w:line="267" w:lineRule="exact"/>
        <w:sectPr>
          <w:pgSz w:w="12240" w:h="15840"/>
          <w:pgMar w:header="161" w:footer="1223" w:top="1360" w:bottom="1420" w:left="0" w:right="0"/>
        </w:sectPr>
      </w:pPr>
    </w:p>
    <w:p>
      <w:pPr>
        <w:pStyle w:val="BodyText"/>
        <w:spacing w:line="259" w:lineRule="auto" w:before="64"/>
        <w:ind w:right="1467"/>
      </w:pPr>
      <w:r>
        <w:rPr/>
        <w:t>barriers, and lower prevenfive screening rates among low-income residents. Dental care access, parficularly for Medicaid enrollees, has also declined. Immunizafion and lead-screening rates have declined</w:t>
      </w:r>
      <w:r>
        <w:rPr>
          <w:spacing w:val="-6"/>
        </w:rPr>
        <w:t> </w:t>
      </w:r>
      <w:r>
        <w:rPr/>
        <w:t>since</w:t>
      </w:r>
      <w:r>
        <w:rPr>
          <w:spacing w:val="-6"/>
        </w:rPr>
        <w:t> </w:t>
      </w:r>
      <w:r>
        <w:rPr/>
        <w:t>2019.</w:t>
      </w:r>
      <w:r>
        <w:rPr>
          <w:spacing w:val="-5"/>
        </w:rPr>
        <w:t> </w:t>
      </w:r>
      <w:r>
        <w:rPr/>
        <w:t>Overall,</w:t>
      </w:r>
      <w:r>
        <w:rPr>
          <w:spacing w:val="-5"/>
        </w:rPr>
        <w:t> </w:t>
      </w:r>
      <w:r>
        <w:rPr/>
        <w:t>signiﬁcant</w:t>
      </w:r>
      <w:r>
        <w:rPr>
          <w:spacing w:val="-4"/>
        </w:rPr>
        <w:t> </w:t>
      </w:r>
      <w:r>
        <w:rPr/>
        <w:t>gaps</w:t>
      </w:r>
      <w:r>
        <w:rPr>
          <w:spacing w:val="-5"/>
        </w:rPr>
        <w:t> </w:t>
      </w:r>
      <w:r>
        <w:rPr/>
        <w:t>in</w:t>
      </w:r>
      <w:r>
        <w:rPr>
          <w:spacing w:val="-6"/>
        </w:rPr>
        <w:t> </w:t>
      </w:r>
      <w:r>
        <w:rPr/>
        <w:t>access</w:t>
      </w:r>
      <w:r>
        <w:rPr>
          <w:spacing w:val="-7"/>
        </w:rPr>
        <w:t> </w:t>
      </w:r>
      <w:r>
        <w:rPr/>
        <w:t>to</w:t>
      </w:r>
      <w:r>
        <w:rPr>
          <w:spacing w:val="-4"/>
        </w:rPr>
        <w:t> </w:t>
      </w:r>
      <w:r>
        <w:rPr/>
        <w:t>prevenfive,</w:t>
      </w:r>
      <w:r>
        <w:rPr>
          <w:spacing w:val="-5"/>
        </w:rPr>
        <w:t> </w:t>
      </w:r>
      <w:r>
        <w:rPr/>
        <w:t>oral,</w:t>
      </w:r>
      <w:r>
        <w:rPr>
          <w:spacing w:val="-5"/>
        </w:rPr>
        <w:t> </w:t>
      </w:r>
      <w:r>
        <w:rPr/>
        <w:t>and</w:t>
      </w:r>
      <w:r>
        <w:rPr>
          <w:spacing w:val="-6"/>
        </w:rPr>
        <w:t> </w:t>
      </w:r>
      <w:r>
        <w:rPr/>
        <w:t>specialty</w:t>
      </w:r>
      <w:r>
        <w:rPr>
          <w:spacing w:val="-4"/>
        </w:rPr>
        <w:t> </w:t>
      </w:r>
      <w:r>
        <w:rPr/>
        <w:t>care</w:t>
      </w:r>
      <w:r>
        <w:rPr>
          <w:spacing w:val="-4"/>
        </w:rPr>
        <w:t> </w:t>
      </w:r>
      <w:r>
        <w:rPr/>
        <w:t>confinue</w:t>
      </w:r>
      <w:r>
        <w:rPr>
          <w:spacing w:val="-4"/>
        </w:rPr>
        <w:t> </w:t>
      </w:r>
      <w:r>
        <w:rPr/>
        <w:t>to aﬀect community health outcomes.</w:t>
      </w:r>
    </w:p>
    <w:p>
      <w:pPr>
        <w:pStyle w:val="Heading2"/>
        <w:spacing w:before="160"/>
        <w:rPr>
          <w:i/>
        </w:rPr>
      </w:pPr>
      <w:r>
        <w:rPr>
          <w:i/>
        </w:rPr>
        <w:t>Domain:</w:t>
      </w:r>
      <w:r>
        <w:rPr>
          <w:i/>
          <w:spacing w:val="-8"/>
        </w:rPr>
        <w:t> </w:t>
      </w:r>
      <w:r>
        <w:rPr>
          <w:i/>
        </w:rPr>
        <w:t>Educafion</w:t>
      </w:r>
      <w:r>
        <w:rPr>
          <w:i/>
          <w:spacing w:val="-5"/>
        </w:rPr>
        <w:t> </w:t>
      </w:r>
      <w:r>
        <w:rPr>
          <w:i/>
        </w:rPr>
        <w:t>Access</w:t>
      </w:r>
      <w:r>
        <w:rPr>
          <w:i/>
          <w:spacing w:val="-7"/>
        </w:rPr>
        <w:t> </w:t>
      </w:r>
      <w:r>
        <w:rPr>
          <w:i/>
        </w:rPr>
        <w:t>and</w:t>
      </w:r>
      <w:r>
        <w:rPr>
          <w:i/>
          <w:spacing w:val="-6"/>
        </w:rPr>
        <w:t> </w:t>
      </w:r>
      <w:r>
        <w:rPr>
          <w:i/>
          <w:spacing w:val="-2"/>
        </w:rPr>
        <w:t>Quality</w:t>
      </w:r>
    </w:p>
    <w:p>
      <w:pPr>
        <w:pStyle w:val="BodyText"/>
        <w:spacing w:line="259" w:lineRule="auto" w:before="186"/>
        <w:ind w:right="1467"/>
      </w:pPr>
      <w:r>
        <w:rPr/>
        <w:t>Educafion strongly inﬂuences health. Individuals with more schooling live longer, have fewer chronic diseases, and experience greater economic stability. Chronic absenteeism, deﬁned by the U.S. Department</w:t>
      </w:r>
      <w:r>
        <w:rPr>
          <w:spacing w:val="-1"/>
        </w:rPr>
        <w:t> </w:t>
      </w:r>
      <w:r>
        <w:rPr/>
        <w:t>of</w:t>
      </w:r>
      <w:r>
        <w:rPr>
          <w:spacing w:val="-1"/>
        </w:rPr>
        <w:t> </w:t>
      </w:r>
      <w:r>
        <w:rPr/>
        <w:t>Educafion</w:t>
      </w:r>
      <w:r>
        <w:rPr>
          <w:spacing w:val="-2"/>
        </w:rPr>
        <w:t> </w:t>
      </w:r>
      <w:r>
        <w:rPr/>
        <w:t>as missing at least</w:t>
      </w:r>
      <w:r>
        <w:rPr>
          <w:spacing w:val="-1"/>
        </w:rPr>
        <w:t> </w:t>
      </w:r>
      <w:r>
        <w:rPr/>
        <w:t>10%</w:t>
      </w:r>
      <w:r>
        <w:rPr>
          <w:spacing w:val="-1"/>
        </w:rPr>
        <w:t> </w:t>
      </w:r>
      <w:r>
        <w:rPr/>
        <w:t>of the school</w:t>
      </w:r>
      <w:r>
        <w:rPr>
          <w:spacing w:val="-2"/>
        </w:rPr>
        <w:t> </w:t>
      </w:r>
      <w:r>
        <w:rPr/>
        <w:t>year for</w:t>
      </w:r>
      <w:r>
        <w:rPr>
          <w:spacing w:val="-1"/>
        </w:rPr>
        <w:t> </w:t>
      </w:r>
      <w:r>
        <w:rPr/>
        <w:t>any reason, can interfere with educafional</w:t>
      </w:r>
      <w:r>
        <w:rPr>
          <w:spacing w:val="-7"/>
        </w:rPr>
        <w:t> </w:t>
      </w:r>
      <w:r>
        <w:rPr/>
        <w:t>aftainment.</w:t>
      </w:r>
      <w:r>
        <w:rPr>
          <w:spacing w:val="-7"/>
        </w:rPr>
        <w:t> </w:t>
      </w:r>
      <w:r>
        <w:rPr/>
        <w:t>Several</w:t>
      </w:r>
      <w:r>
        <w:rPr>
          <w:spacing w:val="-7"/>
        </w:rPr>
        <w:t> </w:t>
      </w:r>
      <w:r>
        <w:rPr/>
        <w:t>factors</w:t>
      </w:r>
      <w:r>
        <w:rPr>
          <w:spacing w:val="-7"/>
        </w:rPr>
        <w:t> </w:t>
      </w:r>
      <w:r>
        <w:rPr/>
        <w:t>contribute</w:t>
      </w:r>
      <w:r>
        <w:rPr>
          <w:spacing w:val="-8"/>
        </w:rPr>
        <w:t> </w:t>
      </w:r>
      <w:r>
        <w:rPr/>
        <w:t>to</w:t>
      </w:r>
      <w:r>
        <w:rPr>
          <w:spacing w:val="-8"/>
        </w:rPr>
        <w:t> </w:t>
      </w:r>
      <w:r>
        <w:rPr/>
        <w:t>absenteeism,</w:t>
      </w:r>
      <w:r>
        <w:rPr>
          <w:spacing w:val="-7"/>
        </w:rPr>
        <w:t> </w:t>
      </w:r>
      <w:r>
        <w:rPr/>
        <w:t>such</w:t>
      </w:r>
      <w:r>
        <w:rPr>
          <w:spacing w:val="-7"/>
        </w:rPr>
        <w:t> </w:t>
      </w:r>
      <w:r>
        <w:rPr/>
        <w:t>as</w:t>
      </w:r>
      <w:r>
        <w:rPr>
          <w:spacing w:val="-9"/>
        </w:rPr>
        <w:t> </w:t>
      </w:r>
      <w:r>
        <w:rPr/>
        <w:t>physical</w:t>
      </w:r>
      <w:r>
        <w:rPr>
          <w:spacing w:val="-7"/>
        </w:rPr>
        <w:t> </w:t>
      </w:r>
      <w:r>
        <w:rPr/>
        <w:t>and</w:t>
      </w:r>
      <w:r>
        <w:rPr>
          <w:spacing w:val="-8"/>
        </w:rPr>
        <w:t> </w:t>
      </w:r>
      <w:r>
        <w:rPr/>
        <w:t>mental</w:t>
      </w:r>
      <w:r>
        <w:rPr>
          <w:spacing w:val="-7"/>
        </w:rPr>
        <w:t> </w:t>
      </w:r>
      <w:r>
        <w:rPr/>
        <w:t>health challenges, substance use, unsafe school environments, and low ﬁtness levels.</w:t>
      </w:r>
    </w:p>
    <w:p>
      <w:pPr>
        <w:pStyle w:val="BodyText"/>
        <w:spacing w:line="259" w:lineRule="auto" w:before="157"/>
        <w:ind w:right="1467"/>
      </w:pPr>
      <w:r>
        <w:rPr/>
        <w:t>Chronic</w:t>
      </w:r>
      <w:r>
        <w:rPr>
          <w:spacing w:val="-8"/>
        </w:rPr>
        <w:t> </w:t>
      </w:r>
      <w:r>
        <w:rPr/>
        <w:t>absenteeism</w:t>
      </w:r>
      <w:r>
        <w:rPr>
          <w:spacing w:val="-7"/>
        </w:rPr>
        <w:t> </w:t>
      </w:r>
      <w:r>
        <w:rPr/>
        <w:t>rose</w:t>
      </w:r>
      <w:r>
        <w:rPr>
          <w:spacing w:val="-5"/>
        </w:rPr>
        <w:t> </w:t>
      </w:r>
      <w:r>
        <w:rPr/>
        <w:t>sharply</w:t>
      </w:r>
      <w:r>
        <w:rPr>
          <w:spacing w:val="-5"/>
        </w:rPr>
        <w:t> </w:t>
      </w:r>
      <w:r>
        <w:rPr/>
        <w:t>in</w:t>
      </w:r>
      <w:r>
        <w:rPr>
          <w:spacing w:val="-7"/>
        </w:rPr>
        <w:t> </w:t>
      </w:r>
      <w:r>
        <w:rPr/>
        <w:t>New</w:t>
      </w:r>
      <w:r>
        <w:rPr>
          <w:spacing w:val="-5"/>
        </w:rPr>
        <w:t> </w:t>
      </w:r>
      <w:r>
        <w:rPr/>
        <w:t>York</w:t>
      </w:r>
      <w:r>
        <w:rPr>
          <w:spacing w:val="-6"/>
        </w:rPr>
        <w:t> </w:t>
      </w:r>
      <w:r>
        <w:rPr/>
        <w:t>State</w:t>
      </w:r>
      <w:r>
        <w:rPr>
          <w:spacing w:val="-8"/>
        </w:rPr>
        <w:t> </w:t>
      </w:r>
      <w:r>
        <w:rPr/>
        <w:t>after</w:t>
      </w:r>
      <w:r>
        <w:rPr>
          <w:spacing w:val="-9"/>
        </w:rPr>
        <w:t> </w:t>
      </w:r>
      <w:r>
        <w:rPr/>
        <w:t>the</w:t>
      </w:r>
      <w:r>
        <w:rPr>
          <w:spacing w:val="-5"/>
        </w:rPr>
        <w:t> </w:t>
      </w:r>
      <w:r>
        <w:rPr/>
        <w:t>COVID-19</w:t>
      </w:r>
      <w:r>
        <w:rPr>
          <w:spacing w:val="-5"/>
        </w:rPr>
        <w:t> </w:t>
      </w:r>
      <w:r>
        <w:rPr/>
        <w:t>pandemic.</w:t>
      </w:r>
      <w:r>
        <w:rPr>
          <w:spacing w:val="-6"/>
        </w:rPr>
        <w:t> </w:t>
      </w:r>
      <w:r>
        <w:rPr/>
        <w:t>In</w:t>
      </w:r>
      <w:r>
        <w:rPr>
          <w:spacing w:val="-6"/>
        </w:rPr>
        <w:t> </w:t>
      </w:r>
      <w:r>
        <w:rPr/>
        <w:t>2022–2023,</w:t>
      </w:r>
      <w:r>
        <w:rPr>
          <w:spacing w:val="-8"/>
        </w:rPr>
        <w:t> </w:t>
      </w:r>
      <w:r>
        <w:rPr/>
        <w:t>26.4% of all students and 34.1% of high school students were chronically absent, far above the pre-pandemic rate of 15.5%. Chronic absenteeism is associated with lower academic achievement, social disengagement, higher dropout risk, and poorer long-term health and economic outcomes.</w:t>
      </w:r>
      <w:r>
        <w:rPr>
          <w:spacing w:val="40"/>
        </w:rPr>
        <w:t> </w:t>
      </w:r>
      <w:r>
        <w:rPr/>
        <w:t>The percentage of students who start ninth grade and graduate in four years was 80% in 2023, lower than the NYS average of 87% and unchanged from the baseline in 2018.</w:t>
      </w:r>
      <w:r>
        <w:rPr>
          <w:spacing w:val="40"/>
        </w:rPr>
        <w:t> </w:t>
      </w:r>
      <w:r>
        <w:rPr/>
        <w:t>The graduafion rate for students classiﬁed</w:t>
      </w:r>
      <w:r>
        <w:rPr>
          <w:spacing w:val="-5"/>
        </w:rPr>
        <w:t> </w:t>
      </w:r>
      <w:r>
        <w:rPr/>
        <w:t>as</w:t>
      </w:r>
      <w:r>
        <w:rPr>
          <w:spacing w:val="-2"/>
        </w:rPr>
        <w:t> </w:t>
      </w:r>
      <w:r>
        <w:rPr/>
        <w:t>economically</w:t>
      </w:r>
      <w:r>
        <w:rPr>
          <w:spacing w:val="-1"/>
        </w:rPr>
        <w:t> </w:t>
      </w:r>
      <w:r>
        <w:rPr/>
        <w:t>disadvantaged</w:t>
      </w:r>
      <w:r>
        <w:rPr>
          <w:spacing w:val="-5"/>
        </w:rPr>
        <w:t> </w:t>
      </w:r>
      <w:r>
        <w:rPr/>
        <w:t>was</w:t>
      </w:r>
      <w:r>
        <w:rPr>
          <w:spacing w:val="-4"/>
        </w:rPr>
        <w:t> </w:t>
      </w:r>
      <w:r>
        <w:rPr/>
        <w:t>81%</w:t>
      </w:r>
      <w:r>
        <w:rPr>
          <w:spacing w:val="-1"/>
        </w:rPr>
        <w:t> </w:t>
      </w:r>
      <w:r>
        <w:rPr/>
        <w:t>in</w:t>
      </w:r>
      <w:r>
        <w:rPr>
          <w:spacing w:val="-5"/>
        </w:rPr>
        <w:t> </w:t>
      </w:r>
      <w:r>
        <w:rPr/>
        <w:t>2023</w:t>
      </w:r>
      <w:r>
        <w:rPr>
          <w:spacing w:val="-1"/>
        </w:rPr>
        <w:t> </w:t>
      </w:r>
      <w:r>
        <w:rPr/>
        <w:t>versus</w:t>
      </w:r>
      <w:r>
        <w:rPr>
          <w:spacing w:val="-2"/>
        </w:rPr>
        <w:t> </w:t>
      </w:r>
      <w:r>
        <w:rPr/>
        <w:t>82%</w:t>
      </w:r>
      <w:r>
        <w:rPr>
          <w:spacing w:val="-4"/>
        </w:rPr>
        <w:t> </w:t>
      </w:r>
      <w:r>
        <w:rPr/>
        <w:t>for</w:t>
      </w:r>
      <w:r>
        <w:rPr>
          <w:spacing w:val="-5"/>
        </w:rPr>
        <w:t> </w:t>
      </w:r>
      <w:r>
        <w:rPr/>
        <w:t>NYS,</w:t>
      </w:r>
      <w:r>
        <w:rPr>
          <w:spacing w:val="-2"/>
        </w:rPr>
        <w:t> </w:t>
      </w:r>
      <w:r>
        <w:rPr/>
        <w:t>an</w:t>
      </w:r>
      <w:r>
        <w:rPr>
          <w:spacing w:val="-5"/>
        </w:rPr>
        <w:t> </w:t>
      </w:r>
      <w:r>
        <w:rPr/>
        <w:t>increase</w:t>
      </w:r>
      <w:r>
        <w:rPr>
          <w:spacing w:val="-1"/>
        </w:rPr>
        <w:t> </w:t>
      </w:r>
      <w:r>
        <w:rPr/>
        <w:t>of</w:t>
      </w:r>
      <w:r>
        <w:rPr>
          <w:spacing w:val="-2"/>
        </w:rPr>
        <w:t> </w:t>
      </w:r>
      <w:r>
        <w:rPr/>
        <w:t>6.6%</w:t>
      </w:r>
      <w:r>
        <w:rPr>
          <w:spacing w:val="-1"/>
        </w:rPr>
        <w:t> </w:t>
      </w:r>
      <w:r>
        <w:rPr/>
        <w:t>from baseline in 2019.</w:t>
      </w:r>
    </w:p>
    <w:p>
      <w:pPr>
        <w:pStyle w:val="BodyText"/>
        <w:spacing w:line="259" w:lineRule="auto" w:before="159"/>
        <w:ind w:right="1499"/>
      </w:pPr>
      <w:r>
        <w:rPr/>
        <w:t>In</w:t>
      </w:r>
      <w:r>
        <w:rPr>
          <w:spacing w:val="-4"/>
        </w:rPr>
        <w:t> </w:t>
      </w:r>
      <w:r>
        <w:rPr/>
        <w:t>Yates</w:t>
      </w:r>
      <w:r>
        <w:rPr>
          <w:spacing w:val="-3"/>
        </w:rPr>
        <w:t> </w:t>
      </w:r>
      <w:r>
        <w:rPr/>
        <w:t>County,</w:t>
      </w:r>
      <w:r>
        <w:rPr>
          <w:spacing w:val="-5"/>
        </w:rPr>
        <w:t> </w:t>
      </w:r>
      <w:r>
        <w:rPr/>
        <w:t>73.5%</w:t>
      </w:r>
      <w:r>
        <w:rPr>
          <w:spacing w:val="-5"/>
        </w:rPr>
        <w:t> </w:t>
      </w:r>
      <w:r>
        <w:rPr/>
        <w:t>of</w:t>
      </w:r>
      <w:r>
        <w:rPr>
          <w:spacing w:val="-5"/>
        </w:rPr>
        <w:t> </w:t>
      </w:r>
      <w:r>
        <w:rPr/>
        <w:t>the</w:t>
      </w:r>
      <w:r>
        <w:rPr>
          <w:spacing w:val="-2"/>
        </w:rPr>
        <w:t> </w:t>
      </w:r>
      <w:r>
        <w:rPr/>
        <w:t>school-age</w:t>
      </w:r>
      <w:r>
        <w:rPr>
          <w:spacing w:val="-2"/>
        </w:rPr>
        <w:t> </w:t>
      </w:r>
      <w:r>
        <w:rPr/>
        <w:t>populafion</w:t>
      </w:r>
      <w:r>
        <w:rPr>
          <w:spacing w:val="-4"/>
        </w:rPr>
        <w:t> </w:t>
      </w:r>
      <w:r>
        <w:rPr/>
        <w:t>is</w:t>
      </w:r>
      <w:r>
        <w:rPr>
          <w:spacing w:val="-5"/>
        </w:rPr>
        <w:t> </w:t>
      </w:r>
      <w:r>
        <w:rPr/>
        <w:t>enrolled</w:t>
      </w:r>
      <w:r>
        <w:rPr>
          <w:spacing w:val="-4"/>
        </w:rPr>
        <w:t> </w:t>
      </w:r>
      <w:r>
        <w:rPr/>
        <w:t>in</w:t>
      </w:r>
      <w:r>
        <w:rPr>
          <w:spacing w:val="-3"/>
        </w:rPr>
        <w:t> </w:t>
      </w:r>
      <w:r>
        <w:rPr/>
        <w:t>kindergarten</w:t>
      </w:r>
      <w:r>
        <w:rPr>
          <w:spacing w:val="-6"/>
        </w:rPr>
        <w:t> </w:t>
      </w:r>
      <w:r>
        <w:rPr/>
        <w:t>through</w:t>
      </w:r>
      <w:r>
        <w:rPr>
          <w:spacing w:val="-6"/>
        </w:rPr>
        <w:t> </w:t>
      </w:r>
      <w:r>
        <w:rPr/>
        <w:t>12</w:t>
      </w:r>
      <w:r>
        <w:rPr>
          <w:vertAlign w:val="superscript"/>
        </w:rPr>
        <w:t>th</w:t>
      </w:r>
      <w:r>
        <w:rPr>
          <w:spacing w:val="-4"/>
          <w:vertAlign w:val="baseline"/>
        </w:rPr>
        <w:t> </w:t>
      </w:r>
      <w:r>
        <w:rPr>
          <w:vertAlign w:val="baseline"/>
        </w:rPr>
        <w:t>grade,</w:t>
      </w:r>
      <w:r>
        <w:rPr>
          <w:spacing w:val="-2"/>
          <w:vertAlign w:val="baseline"/>
        </w:rPr>
        <w:t> </w:t>
      </w:r>
      <w:r>
        <w:rPr>
          <w:vertAlign w:val="baseline"/>
        </w:rPr>
        <w:t>with 32.7% in private schools and 67.3% in public schools. The number of students enrolled in school between</w:t>
      </w:r>
      <w:r>
        <w:rPr>
          <w:spacing w:val="-5"/>
          <w:vertAlign w:val="baseline"/>
        </w:rPr>
        <w:t> </w:t>
      </w:r>
      <w:r>
        <w:rPr>
          <w:vertAlign w:val="baseline"/>
        </w:rPr>
        <w:t>grades</w:t>
      </w:r>
      <w:r>
        <w:rPr>
          <w:spacing w:val="-7"/>
          <w:vertAlign w:val="baseline"/>
        </w:rPr>
        <w:t> </w:t>
      </w:r>
      <w:r>
        <w:rPr>
          <w:vertAlign w:val="baseline"/>
        </w:rPr>
        <w:t>5</w:t>
      </w:r>
      <w:r>
        <w:rPr>
          <w:spacing w:val="-6"/>
          <w:vertAlign w:val="baseline"/>
        </w:rPr>
        <w:t> </w:t>
      </w:r>
      <w:r>
        <w:rPr>
          <w:vertAlign w:val="baseline"/>
        </w:rPr>
        <w:t>to</w:t>
      </w:r>
      <w:r>
        <w:rPr>
          <w:spacing w:val="-6"/>
          <w:vertAlign w:val="baseline"/>
        </w:rPr>
        <w:t> </w:t>
      </w:r>
      <w:r>
        <w:rPr>
          <w:vertAlign w:val="baseline"/>
        </w:rPr>
        <w:t>8</w:t>
      </w:r>
      <w:r>
        <w:rPr>
          <w:spacing w:val="-4"/>
          <w:vertAlign w:val="baseline"/>
        </w:rPr>
        <w:t> </w:t>
      </w:r>
      <w:r>
        <w:rPr>
          <w:vertAlign w:val="baseline"/>
        </w:rPr>
        <w:t>and</w:t>
      </w:r>
      <w:r>
        <w:rPr>
          <w:spacing w:val="-8"/>
          <w:vertAlign w:val="baseline"/>
        </w:rPr>
        <w:t> </w:t>
      </w:r>
      <w:r>
        <w:rPr>
          <w:vertAlign w:val="baseline"/>
        </w:rPr>
        <w:t>grades</w:t>
      </w:r>
      <w:r>
        <w:rPr>
          <w:spacing w:val="-5"/>
          <w:vertAlign w:val="baseline"/>
        </w:rPr>
        <w:t> </w:t>
      </w:r>
      <w:r>
        <w:rPr>
          <w:vertAlign w:val="baseline"/>
        </w:rPr>
        <w:t>9</w:t>
      </w:r>
      <w:r>
        <w:rPr>
          <w:spacing w:val="-4"/>
          <w:vertAlign w:val="baseline"/>
        </w:rPr>
        <w:t> </w:t>
      </w:r>
      <w:r>
        <w:rPr>
          <w:vertAlign w:val="baseline"/>
        </w:rPr>
        <w:t>to</w:t>
      </w:r>
      <w:r>
        <w:rPr>
          <w:spacing w:val="-6"/>
          <w:vertAlign w:val="baseline"/>
        </w:rPr>
        <w:t> </w:t>
      </w:r>
      <w:r>
        <w:rPr>
          <w:vertAlign w:val="baseline"/>
        </w:rPr>
        <w:t>12</w:t>
      </w:r>
      <w:r>
        <w:rPr>
          <w:spacing w:val="-4"/>
          <w:vertAlign w:val="baseline"/>
        </w:rPr>
        <w:t> </w:t>
      </w:r>
      <w:r>
        <w:rPr>
          <w:vertAlign w:val="baseline"/>
        </w:rPr>
        <w:t>drops</w:t>
      </w:r>
      <w:r>
        <w:rPr>
          <w:spacing w:val="-7"/>
          <w:vertAlign w:val="baseline"/>
        </w:rPr>
        <w:t> </w:t>
      </w:r>
      <w:r>
        <w:rPr>
          <w:vertAlign w:val="baseline"/>
        </w:rPr>
        <w:t>by</w:t>
      </w:r>
      <w:r>
        <w:rPr>
          <w:spacing w:val="-6"/>
          <w:vertAlign w:val="baseline"/>
        </w:rPr>
        <w:t> </w:t>
      </w:r>
      <w:r>
        <w:rPr>
          <w:vertAlign w:val="baseline"/>
        </w:rPr>
        <w:t>approximately</w:t>
      </w:r>
      <w:r>
        <w:rPr>
          <w:spacing w:val="-6"/>
          <w:vertAlign w:val="baseline"/>
        </w:rPr>
        <w:t> </w:t>
      </w:r>
      <w:r>
        <w:rPr>
          <w:vertAlign w:val="baseline"/>
        </w:rPr>
        <w:t>586</w:t>
      </w:r>
      <w:r>
        <w:rPr>
          <w:spacing w:val="-4"/>
          <w:vertAlign w:val="baseline"/>
        </w:rPr>
        <w:t> </w:t>
      </w:r>
      <w:r>
        <w:rPr>
          <w:vertAlign w:val="baseline"/>
        </w:rPr>
        <w:t>students</w:t>
      </w:r>
      <w:hyperlink w:history="true" w:anchor="_bookmark41">
        <w:r>
          <w:rPr>
            <w:vertAlign w:val="superscript"/>
          </w:rPr>
          <w:t>73</w:t>
        </w:r>
      </w:hyperlink>
      <w:r>
        <w:rPr>
          <w:spacing w:val="-6"/>
          <w:vertAlign w:val="baseline"/>
        </w:rPr>
        <w:t> </w:t>
      </w:r>
      <w:r>
        <w:rPr>
          <w:vertAlign w:val="baseline"/>
        </w:rPr>
        <w:t>(Table</w:t>
      </w:r>
      <w:r>
        <w:rPr>
          <w:spacing w:val="-4"/>
          <w:vertAlign w:val="baseline"/>
        </w:rPr>
        <w:t> </w:t>
      </w:r>
      <w:r>
        <w:rPr>
          <w:vertAlign w:val="baseline"/>
        </w:rPr>
        <w:t>Y6).</w:t>
      </w:r>
      <w:r>
        <w:rPr>
          <w:spacing w:val="-7"/>
          <w:vertAlign w:val="baseline"/>
        </w:rPr>
        <w:t> </w:t>
      </w:r>
      <w:r>
        <w:rPr>
          <w:vertAlign w:val="baseline"/>
        </w:rPr>
        <w:t>This</w:t>
      </w:r>
      <w:r>
        <w:rPr>
          <w:spacing w:val="-5"/>
          <w:vertAlign w:val="baseline"/>
        </w:rPr>
        <w:t> </w:t>
      </w:r>
      <w:r>
        <w:rPr>
          <w:vertAlign w:val="baseline"/>
        </w:rPr>
        <w:t>is</w:t>
      </w:r>
      <w:r>
        <w:rPr>
          <w:spacing w:val="-5"/>
          <w:vertAlign w:val="baseline"/>
        </w:rPr>
        <w:t> </w:t>
      </w:r>
      <w:r>
        <w:rPr>
          <w:vertAlign w:val="baseline"/>
        </w:rPr>
        <w:t>likely due to the Mennonite educafional structure which disconfinues schooling after 8</w:t>
      </w:r>
      <w:r>
        <w:rPr>
          <w:vertAlign w:val="superscript"/>
        </w:rPr>
        <w:t>th</w:t>
      </w:r>
      <w:r>
        <w:rPr>
          <w:vertAlign w:val="baseline"/>
        </w:rPr>
        <w:t> grade.</w:t>
      </w:r>
    </w:p>
    <w:p>
      <w:pPr>
        <w:spacing w:before="160"/>
        <w:ind w:left="1440" w:right="0" w:firstLine="0"/>
        <w:jc w:val="left"/>
        <w:rPr>
          <w:i/>
          <w:sz w:val="20"/>
        </w:rPr>
      </w:pPr>
      <w:r>
        <w:rPr>
          <w:i/>
          <w:spacing w:val="-2"/>
          <w:sz w:val="20"/>
        </w:rPr>
        <w:t>Table</w:t>
      </w:r>
      <w:r>
        <w:rPr>
          <w:i/>
          <w:spacing w:val="1"/>
          <w:sz w:val="20"/>
        </w:rPr>
        <w:t> </w:t>
      </w:r>
      <w:r>
        <w:rPr>
          <w:i/>
          <w:spacing w:val="-2"/>
          <w:sz w:val="20"/>
        </w:rPr>
        <w:t>Y6:</w:t>
      </w:r>
      <w:r>
        <w:rPr>
          <w:i/>
          <w:sz w:val="20"/>
        </w:rPr>
        <w:t> </w:t>
      </w:r>
      <w:r>
        <w:rPr>
          <w:i/>
          <w:spacing w:val="-2"/>
          <w:sz w:val="20"/>
        </w:rPr>
        <w:t>Enrolled</w:t>
      </w:r>
      <w:r>
        <w:rPr>
          <w:i/>
          <w:spacing w:val="1"/>
          <w:sz w:val="20"/>
        </w:rPr>
        <w:t> </w:t>
      </w:r>
      <w:r>
        <w:rPr>
          <w:i/>
          <w:spacing w:val="-2"/>
          <w:sz w:val="20"/>
        </w:rPr>
        <w:t>School-Age</w:t>
      </w:r>
      <w:r>
        <w:rPr>
          <w:i/>
          <w:spacing w:val="2"/>
          <w:sz w:val="20"/>
        </w:rPr>
        <w:t> </w:t>
      </w:r>
      <w:r>
        <w:rPr>
          <w:i/>
          <w:spacing w:val="-2"/>
          <w:sz w:val="20"/>
        </w:rPr>
        <w:t>Populafion</w:t>
      </w:r>
    </w:p>
    <w:p>
      <w:pPr>
        <w:pStyle w:val="BodyText"/>
        <w:spacing w:before="8"/>
        <w:ind w:left="0"/>
        <w:rPr>
          <w:i/>
          <w:sz w:val="15"/>
        </w:rPr>
      </w:pPr>
    </w:p>
    <w:tbl>
      <w:tblPr>
        <w:tblW w:w="0" w:type="auto"/>
        <w:jc w:val="left"/>
        <w:tblInd w:w="145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top w:w="0" w:type="dxa"/>
          <w:left w:w="0" w:type="dxa"/>
          <w:bottom w:w="0" w:type="dxa"/>
          <w:right w:w="0" w:type="dxa"/>
        </w:tblCellMar>
        <w:tblLook w:val="01E0"/>
      </w:tblPr>
      <w:tblGrid>
        <w:gridCol w:w="2395"/>
        <w:gridCol w:w="1915"/>
        <w:gridCol w:w="2160"/>
        <w:gridCol w:w="2870"/>
      </w:tblGrid>
      <w:tr>
        <w:trPr>
          <w:trHeight w:val="534" w:hRule="atLeast"/>
        </w:trPr>
        <w:tc>
          <w:tcPr>
            <w:tcW w:w="2395" w:type="dxa"/>
            <w:tcBorders>
              <w:top w:val="nil"/>
              <w:left w:val="nil"/>
              <w:right w:val="nil"/>
            </w:tcBorders>
            <w:shd w:val="clear" w:color="auto" w:fill="145F82"/>
          </w:tcPr>
          <w:p>
            <w:pPr>
              <w:pStyle w:val="TableParagraph"/>
              <w:spacing w:line="265" w:lineRule="exact"/>
              <w:ind w:left="103"/>
              <w:rPr>
                <w:b/>
                <w:sz w:val="22"/>
              </w:rPr>
            </w:pPr>
            <w:r>
              <w:rPr>
                <w:b/>
                <w:color w:val="FFFFFF"/>
                <w:sz w:val="22"/>
              </w:rPr>
              <w:t>Grade</w:t>
            </w:r>
            <w:r>
              <w:rPr>
                <w:b/>
                <w:color w:val="FFFFFF"/>
                <w:spacing w:val="-9"/>
                <w:sz w:val="22"/>
              </w:rPr>
              <w:t> </w:t>
            </w:r>
            <w:r>
              <w:rPr>
                <w:b/>
                <w:color w:val="FFFFFF"/>
                <w:spacing w:val="-2"/>
                <w:sz w:val="22"/>
              </w:rPr>
              <w:t>Level</w:t>
            </w:r>
          </w:p>
        </w:tc>
        <w:tc>
          <w:tcPr>
            <w:tcW w:w="1915" w:type="dxa"/>
            <w:tcBorders>
              <w:top w:val="nil"/>
              <w:left w:val="nil"/>
              <w:right w:val="nil"/>
            </w:tcBorders>
            <w:shd w:val="clear" w:color="auto" w:fill="145F82"/>
          </w:tcPr>
          <w:p>
            <w:pPr>
              <w:pStyle w:val="TableParagraph"/>
              <w:spacing w:line="265" w:lineRule="exact"/>
              <w:ind w:left="108"/>
              <w:rPr>
                <w:b/>
                <w:sz w:val="22"/>
              </w:rPr>
            </w:pPr>
            <w:r>
              <w:rPr>
                <w:b/>
                <w:color w:val="FFFFFF"/>
                <w:spacing w:val="-4"/>
                <w:sz w:val="22"/>
              </w:rPr>
              <w:t>Total</w:t>
            </w:r>
            <w:r>
              <w:rPr>
                <w:b/>
                <w:color w:val="FFFFFF"/>
                <w:spacing w:val="-3"/>
                <w:sz w:val="22"/>
              </w:rPr>
              <w:t> </w:t>
            </w:r>
            <w:r>
              <w:rPr>
                <w:b/>
                <w:color w:val="FFFFFF"/>
                <w:spacing w:val="-2"/>
                <w:sz w:val="22"/>
              </w:rPr>
              <w:t>Esfimate</w:t>
            </w:r>
          </w:p>
        </w:tc>
        <w:tc>
          <w:tcPr>
            <w:tcW w:w="2160" w:type="dxa"/>
            <w:tcBorders>
              <w:top w:val="nil"/>
              <w:left w:val="nil"/>
              <w:right w:val="nil"/>
            </w:tcBorders>
            <w:shd w:val="clear" w:color="auto" w:fill="145F82"/>
          </w:tcPr>
          <w:p>
            <w:pPr>
              <w:pStyle w:val="TableParagraph"/>
              <w:spacing w:line="265" w:lineRule="exact"/>
              <w:ind w:left="108"/>
              <w:rPr>
                <w:b/>
                <w:sz w:val="22"/>
              </w:rPr>
            </w:pPr>
            <w:r>
              <w:rPr>
                <w:b/>
                <w:color w:val="FFFFFF"/>
                <w:sz w:val="22"/>
              </w:rPr>
              <w:t>Percent</w:t>
            </w:r>
            <w:r>
              <w:rPr>
                <w:b/>
                <w:color w:val="FFFFFF"/>
                <w:spacing w:val="-9"/>
                <w:sz w:val="22"/>
              </w:rPr>
              <w:t> </w:t>
            </w:r>
            <w:r>
              <w:rPr>
                <w:b/>
                <w:color w:val="FFFFFF"/>
                <w:sz w:val="22"/>
              </w:rPr>
              <w:t>Esfimate</w:t>
            </w:r>
            <w:r>
              <w:rPr>
                <w:b/>
                <w:color w:val="FFFFFF"/>
                <w:spacing w:val="-11"/>
                <w:sz w:val="22"/>
              </w:rPr>
              <w:t> </w:t>
            </w:r>
            <w:r>
              <w:rPr>
                <w:b/>
                <w:color w:val="FFFFFF"/>
                <w:spacing w:val="-5"/>
                <w:sz w:val="22"/>
              </w:rPr>
              <w:t>in</w:t>
            </w:r>
          </w:p>
          <w:p>
            <w:pPr>
              <w:pStyle w:val="TableParagraph"/>
              <w:spacing w:line="249" w:lineRule="exact"/>
              <w:ind w:left="108"/>
              <w:rPr>
                <w:b/>
                <w:sz w:val="22"/>
              </w:rPr>
            </w:pPr>
            <w:r>
              <w:rPr>
                <w:b/>
                <w:color w:val="FFFFFF"/>
                <w:sz w:val="22"/>
              </w:rPr>
              <w:t>Public</w:t>
            </w:r>
            <w:r>
              <w:rPr>
                <w:b/>
                <w:color w:val="FFFFFF"/>
                <w:spacing w:val="-2"/>
                <w:sz w:val="22"/>
              </w:rPr>
              <w:t> School</w:t>
            </w:r>
          </w:p>
        </w:tc>
        <w:tc>
          <w:tcPr>
            <w:tcW w:w="2870" w:type="dxa"/>
            <w:tcBorders>
              <w:top w:val="nil"/>
              <w:left w:val="nil"/>
              <w:right w:val="nil"/>
            </w:tcBorders>
            <w:shd w:val="clear" w:color="auto" w:fill="145F82"/>
          </w:tcPr>
          <w:p>
            <w:pPr>
              <w:pStyle w:val="TableParagraph"/>
              <w:spacing w:line="265" w:lineRule="exact"/>
              <w:ind w:left="108"/>
              <w:rPr>
                <w:b/>
                <w:sz w:val="22"/>
              </w:rPr>
            </w:pPr>
            <w:r>
              <w:rPr>
                <w:b/>
                <w:color w:val="FFFFFF"/>
                <w:sz w:val="22"/>
              </w:rPr>
              <w:t>Percent</w:t>
            </w:r>
            <w:r>
              <w:rPr>
                <w:b/>
                <w:color w:val="FFFFFF"/>
                <w:spacing w:val="-6"/>
                <w:sz w:val="22"/>
              </w:rPr>
              <w:t> </w:t>
            </w:r>
            <w:r>
              <w:rPr>
                <w:b/>
                <w:color w:val="FFFFFF"/>
                <w:sz w:val="22"/>
              </w:rPr>
              <w:t>Esfimate</w:t>
            </w:r>
            <w:r>
              <w:rPr>
                <w:b/>
                <w:color w:val="FFFFFF"/>
                <w:spacing w:val="-7"/>
                <w:sz w:val="22"/>
              </w:rPr>
              <w:t> </w:t>
            </w:r>
            <w:r>
              <w:rPr>
                <w:b/>
                <w:color w:val="FFFFFF"/>
                <w:sz w:val="22"/>
              </w:rPr>
              <w:t>in</w:t>
            </w:r>
            <w:r>
              <w:rPr>
                <w:b/>
                <w:color w:val="FFFFFF"/>
                <w:spacing w:val="-7"/>
                <w:sz w:val="22"/>
              </w:rPr>
              <w:t> </w:t>
            </w:r>
            <w:r>
              <w:rPr>
                <w:b/>
                <w:color w:val="FFFFFF"/>
                <w:spacing w:val="-2"/>
                <w:sz w:val="22"/>
              </w:rPr>
              <w:t>Private</w:t>
            </w:r>
          </w:p>
          <w:p>
            <w:pPr>
              <w:pStyle w:val="TableParagraph"/>
              <w:spacing w:line="249" w:lineRule="exact"/>
              <w:ind w:left="108"/>
              <w:rPr>
                <w:b/>
                <w:sz w:val="22"/>
              </w:rPr>
            </w:pPr>
            <w:r>
              <w:rPr>
                <w:b/>
                <w:color w:val="FFFFFF"/>
                <w:spacing w:val="-2"/>
                <w:sz w:val="22"/>
              </w:rPr>
              <w:t>School</w:t>
            </w:r>
          </w:p>
        </w:tc>
      </w:tr>
      <w:tr>
        <w:trPr>
          <w:trHeight w:val="458" w:hRule="atLeast"/>
        </w:trPr>
        <w:tc>
          <w:tcPr>
            <w:tcW w:w="2395" w:type="dxa"/>
            <w:tcBorders>
              <w:left w:val="nil"/>
            </w:tcBorders>
            <w:shd w:val="clear" w:color="auto" w:fill="145F82"/>
          </w:tcPr>
          <w:p>
            <w:pPr>
              <w:pStyle w:val="TableParagraph"/>
              <w:ind w:left="103"/>
              <w:rPr>
                <w:b/>
                <w:sz w:val="22"/>
              </w:rPr>
            </w:pPr>
            <w:r>
              <w:rPr>
                <w:b/>
                <w:color w:val="FFFFFF"/>
                <w:spacing w:val="-2"/>
                <w:sz w:val="22"/>
              </w:rPr>
              <w:t>Kindergarten</w:t>
            </w:r>
          </w:p>
        </w:tc>
        <w:tc>
          <w:tcPr>
            <w:tcW w:w="1915" w:type="dxa"/>
            <w:shd w:val="clear" w:color="auto" w:fill="83C9EB"/>
          </w:tcPr>
          <w:p>
            <w:pPr>
              <w:pStyle w:val="TableParagraph"/>
              <w:ind w:left="103"/>
              <w:rPr>
                <w:sz w:val="22"/>
              </w:rPr>
            </w:pPr>
            <w:r>
              <w:rPr>
                <w:spacing w:val="-5"/>
                <w:sz w:val="22"/>
              </w:rPr>
              <w:t>210</w:t>
            </w:r>
          </w:p>
        </w:tc>
        <w:tc>
          <w:tcPr>
            <w:tcW w:w="2160" w:type="dxa"/>
            <w:shd w:val="clear" w:color="auto" w:fill="83C9EB"/>
          </w:tcPr>
          <w:p>
            <w:pPr>
              <w:pStyle w:val="TableParagraph"/>
              <w:ind w:left="103"/>
              <w:rPr>
                <w:sz w:val="22"/>
              </w:rPr>
            </w:pPr>
            <w:r>
              <w:rPr>
                <w:spacing w:val="-2"/>
                <w:sz w:val="22"/>
              </w:rPr>
              <w:t>74.3%</w:t>
            </w:r>
          </w:p>
        </w:tc>
        <w:tc>
          <w:tcPr>
            <w:tcW w:w="2870" w:type="dxa"/>
            <w:tcBorders>
              <w:right w:val="nil"/>
            </w:tcBorders>
            <w:shd w:val="clear" w:color="auto" w:fill="83C9EB"/>
          </w:tcPr>
          <w:p>
            <w:pPr>
              <w:pStyle w:val="TableParagraph"/>
              <w:ind w:left="103"/>
              <w:rPr>
                <w:sz w:val="22"/>
              </w:rPr>
            </w:pPr>
            <w:r>
              <w:rPr>
                <w:spacing w:val="-2"/>
                <w:sz w:val="22"/>
              </w:rPr>
              <w:t>25.7%</w:t>
            </w:r>
          </w:p>
        </w:tc>
      </w:tr>
      <w:tr>
        <w:trPr>
          <w:trHeight w:val="537" w:hRule="atLeast"/>
        </w:trPr>
        <w:tc>
          <w:tcPr>
            <w:tcW w:w="2395" w:type="dxa"/>
            <w:tcBorders>
              <w:left w:val="nil"/>
            </w:tcBorders>
            <w:shd w:val="clear" w:color="auto" w:fill="145F82"/>
          </w:tcPr>
          <w:p>
            <w:pPr>
              <w:pStyle w:val="TableParagraph"/>
              <w:ind w:left="103"/>
              <w:rPr>
                <w:b/>
                <w:sz w:val="22"/>
              </w:rPr>
            </w:pPr>
            <w:r>
              <w:rPr>
                <w:b/>
                <w:color w:val="FFFFFF"/>
                <w:sz w:val="22"/>
              </w:rPr>
              <w:t>Elementary:</w:t>
            </w:r>
            <w:r>
              <w:rPr>
                <w:b/>
                <w:color w:val="FFFFFF"/>
                <w:spacing w:val="-8"/>
                <w:sz w:val="22"/>
              </w:rPr>
              <w:t> </w:t>
            </w:r>
            <w:r>
              <w:rPr>
                <w:b/>
                <w:color w:val="FFFFFF"/>
                <w:sz w:val="22"/>
              </w:rPr>
              <w:t>grade</w:t>
            </w:r>
            <w:r>
              <w:rPr>
                <w:b/>
                <w:color w:val="FFFFFF"/>
                <w:spacing w:val="-6"/>
                <w:sz w:val="22"/>
              </w:rPr>
              <w:t> </w:t>
            </w:r>
            <w:r>
              <w:rPr>
                <w:b/>
                <w:color w:val="FFFFFF"/>
                <w:sz w:val="22"/>
              </w:rPr>
              <w:t>1</w:t>
            </w:r>
            <w:r>
              <w:rPr>
                <w:b/>
                <w:color w:val="FFFFFF"/>
                <w:spacing w:val="-5"/>
                <w:sz w:val="22"/>
              </w:rPr>
              <w:t> to</w:t>
            </w:r>
          </w:p>
          <w:p>
            <w:pPr>
              <w:pStyle w:val="TableParagraph"/>
              <w:spacing w:line="249" w:lineRule="exact"/>
              <w:ind w:left="103"/>
              <w:rPr>
                <w:b/>
                <w:sz w:val="22"/>
              </w:rPr>
            </w:pPr>
            <w:r>
              <w:rPr>
                <w:b/>
                <w:color w:val="FFFFFF"/>
                <w:sz w:val="22"/>
              </w:rPr>
              <w:t>grade</w:t>
            </w:r>
            <w:r>
              <w:rPr>
                <w:b/>
                <w:color w:val="FFFFFF"/>
                <w:spacing w:val="-8"/>
                <w:sz w:val="22"/>
              </w:rPr>
              <w:t> </w:t>
            </w:r>
            <w:r>
              <w:rPr>
                <w:b/>
                <w:color w:val="FFFFFF"/>
                <w:spacing w:val="-10"/>
                <w:sz w:val="22"/>
              </w:rPr>
              <w:t>4</w:t>
            </w:r>
          </w:p>
        </w:tc>
        <w:tc>
          <w:tcPr>
            <w:tcW w:w="1915" w:type="dxa"/>
            <w:shd w:val="clear" w:color="auto" w:fill="C1E3F5"/>
          </w:tcPr>
          <w:p>
            <w:pPr>
              <w:pStyle w:val="TableParagraph"/>
              <w:ind w:left="103"/>
              <w:rPr>
                <w:sz w:val="22"/>
              </w:rPr>
            </w:pPr>
            <w:r>
              <w:rPr>
                <w:spacing w:val="-4"/>
                <w:sz w:val="22"/>
              </w:rPr>
              <w:t>1216</w:t>
            </w:r>
          </w:p>
        </w:tc>
        <w:tc>
          <w:tcPr>
            <w:tcW w:w="2160" w:type="dxa"/>
            <w:shd w:val="clear" w:color="auto" w:fill="C1E3F5"/>
          </w:tcPr>
          <w:p>
            <w:pPr>
              <w:pStyle w:val="TableParagraph"/>
              <w:ind w:left="103"/>
              <w:rPr>
                <w:sz w:val="22"/>
              </w:rPr>
            </w:pPr>
            <w:r>
              <w:rPr>
                <w:spacing w:val="-2"/>
                <w:sz w:val="22"/>
              </w:rPr>
              <w:t>55.6%</w:t>
            </w:r>
          </w:p>
        </w:tc>
        <w:tc>
          <w:tcPr>
            <w:tcW w:w="2870" w:type="dxa"/>
            <w:tcBorders>
              <w:right w:val="nil"/>
            </w:tcBorders>
            <w:shd w:val="clear" w:color="auto" w:fill="C1E3F5"/>
          </w:tcPr>
          <w:p>
            <w:pPr>
              <w:pStyle w:val="TableParagraph"/>
              <w:ind w:left="103"/>
              <w:rPr>
                <w:sz w:val="22"/>
              </w:rPr>
            </w:pPr>
            <w:r>
              <w:rPr>
                <w:spacing w:val="-2"/>
                <w:sz w:val="22"/>
              </w:rPr>
              <w:t>44.4%</w:t>
            </w:r>
          </w:p>
        </w:tc>
      </w:tr>
      <w:tr>
        <w:trPr>
          <w:trHeight w:val="738" w:hRule="atLeast"/>
        </w:trPr>
        <w:tc>
          <w:tcPr>
            <w:tcW w:w="2395" w:type="dxa"/>
            <w:tcBorders>
              <w:left w:val="nil"/>
            </w:tcBorders>
            <w:shd w:val="clear" w:color="auto" w:fill="145F82"/>
          </w:tcPr>
          <w:p>
            <w:pPr>
              <w:pStyle w:val="TableParagraph"/>
              <w:spacing w:line="240" w:lineRule="auto"/>
              <w:ind w:left="103"/>
              <w:rPr>
                <w:b/>
                <w:sz w:val="22"/>
              </w:rPr>
            </w:pPr>
            <w:r>
              <w:rPr>
                <w:b/>
                <w:color w:val="FFFFFF"/>
                <w:sz w:val="22"/>
              </w:rPr>
              <w:t>Elementary:</w:t>
            </w:r>
            <w:r>
              <w:rPr>
                <w:b/>
                <w:color w:val="FFFFFF"/>
                <w:spacing w:val="-13"/>
                <w:sz w:val="22"/>
              </w:rPr>
              <w:t> </w:t>
            </w:r>
            <w:r>
              <w:rPr>
                <w:b/>
                <w:color w:val="FFFFFF"/>
                <w:sz w:val="22"/>
              </w:rPr>
              <w:t>grade</w:t>
            </w:r>
            <w:r>
              <w:rPr>
                <w:b/>
                <w:color w:val="FFFFFF"/>
                <w:spacing w:val="-12"/>
                <w:sz w:val="22"/>
              </w:rPr>
              <w:t> </w:t>
            </w:r>
            <w:r>
              <w:rPr>
                <w:b/>
                <w:color w:val="FFFFFF"/>
                <w:sz w:val="22"/>
              </w:rPr>
              <w:t>5</w:t>
            </w:r>
            <w:r>
              <w:rPr>
                <w:b/>
                <w:color w:val="FFFFFF"/>
                <w:spacing w:val="-13"/>
                <w:sz w:val="22"/>
              </w:rPr>
              <w:t> </w:t>
            </w:r>
            <w:r>
              <w:rPr>
                <w:b/>
                <w:color w:val="FFFFFF"/>
                <w:sz w:val="22"/>
              </w:rPr>
              <w:t>to grade 8</w:t>
            </w:r>
          </w:p>
        </w:tc>
        <w:tc>
          <w:tcPr>
            <w:tcW w:w="1915" w:type="dxa"/>
            <w:shd w:val="clear" w:color="auto" w:fill="83C9EB"/>
          </w:tcPr>
          <w:p>
            <w:pPr>
              <w:pStyle w:val="TableParagraph"/>
              <w:ind w:left="103"/>
              <w:rPr>
                <w:sz w:val="22"/>
              </w:rPr>
            </w:pPr>
            <w:r>
              <w:rPr>
                <w:spacing w:val="-4"/>
                <w:sz w:val="22"/>
              </w:rPr>
              <w:t>1395</w:t>
            </w:r>
          </w:p>
        </w:tc>
        <w:tc>
          <w:tcPr>
            <w:tcW w:w="2160" w:type="dxa"/>
            <w:shd w:val="clear" w:color="auto" w:fill="83C9EB"/>
          </w:tcPr>
          <w:p>
            <w:pPr>
              <w:pStyle w:val="TableParagraph"/>
              <w:ind w:left="103"/>
              <w:rPr>
                <w:sz w:val="22"/>
              </w:rPr>
            </w:pPr>
            <w:r>
              <w:rPr>
                <w:spacing w:val="-2"/>
                <w:sz w:val="22"/>
              </w:rPr>
              <w:t>64.1%</w:t>
            </w:r>
          </w:p>
        </w:tc>
        <w:tc>
          <w:tcPr>
            <w:tcW w:w="2870" w:type="dxa"/>
            <w:tcBorders>
              <w:right w:val="nil"/>
            </w:tcBorders>
            <w:shd w:val="clear" w:color="auto" w:fill="83C9EB"/>
          </w:tcPr>
          <w:p>
            <w:pPr>
              <w:pStyle w:val="TableParagraph"/>
              <w:ind w:left="103"/>
              <w:rPr>
                <w:sz w:val="22"/>
              </w:rPr>
            </w:pPr>
            <w:r>
              <w:rPr>
                <w:spacing w:val="-2"/>
                <w:sz w:val="22"/>
              </w:rPr>
              <w:t>35.9%</w:t>
            </w:r>
          </w:p>
        </w:tc>
      </w:tr>
      <w:tr>
        <w:trPr>
          <w:trHeight w:val="736" w:hRule="atLeast"/>
        </w:trPr>
        <w:tc>
          <w:tcPr>
            <w:tcW w:w="2395" w:type="dxa"/>
            <w:tcBorders>
              <w:left w:val="nil"/>
              <w:bottom w:val="nil"/>
            </w:tcBorders>
            <w:shd w:val="clear" w:color="auto" w:fill="145F82"/>
          </w:tcPr>
          <w:p>
            <w:pPr>
              <w:pStyle w:val="TableParagraph"/>
              <w:spacing w:line="237" w:lineRule="auto" w:before="1"/>
              <w:ind w:left="103"/>
              <w:rPr>
                <w:b/>
                <w:sz w:val="22"/>
              </w:rPr>
            </w:pPr>
            <w:r>
              <w:rPr>
                <w:b/>
                <w:color w:val="FFFFFF"/>
                <w:sz w:val="22"/>
              </w:rPr>
              <w:t>High</w:t>
            </w:r>
            <w:r>
              <w:rPr>
                <w:b/>
                <w:color w:val="FFFFFF"/>
                <w:spacing w:val="-11"/>
                <w:sz w:val="22"/>
              </w:rPr>
              <w:t> </w:t>
            </w:r>
            <w:r>
              <w:rPr>
                <w:b/>
                <w:color w:val="FFFFFF"/>
                <w:sz w:val="22"/>
              </w:rPr>
              <w:t>School:</w:t>
            </w:r>
            <w:r>
              <w:rPr>
                <w:b/>
                <w:color w:val="FFFFFF"/>
                <w:spacing w:val="-11"/>
                <w:sz w:val="22"/>
              </w:rPr>
              <w:t> </w:t>
            </w:r>
            <w:r>
              <w:rPr>
                <w:b/>
                <w:color w:val="FFFFFF"/>
                <w:sz w:val="22"/>
              </w:rPr>
              <w:t>grade</w:t>
            </w:r>
            <w:r>
              <w:rPr>
                <w:b/>
                <w:color w:val="FFFFFF"/>
                <w:spacing w:val="-10"/>
                <w:sz w:val="22"/>
              </w:rPr>
              <w:t> </w:t>
            </w:r>
            <w:r>
              <w:rPr>
                <w:b/>
                <w:color w:val="FFFFFF"/>
                <w:sz w:val="22"/>
              </w:rPr>
              <w:t>9</w:t>
            </w:r>
            <w:r>
              <w:rPr>
                <w:b/>
                <w:color w:val="FFFFFF"/>
                <w:spacing w:val="-11"/>
                <w:sz w:val="22"/>
              </w:rPr>
              <w:t> </w:t>
            </w:r>
            <w:r>
              <w:rPr>
                <w:b/>
                <w:color w:val="FFFFFF"/>
                <w:sz w:val="22"/>
              </w:rPr>
              <w:t>to grade 12</w:t>
            </w:r>
          </w:p>
        </w:tc>
        <w:tc>
          <w:tcPr>
            <w:tcW w:w="1915" w:type="dxa"/>
            <w:tcBorders>
              <w:bottom w:val="nil"/>
            </w:tcBorders>
            <w:shd w:val="clear" w:color="auto" w:fill="C1E3F5"/>
          </w:tcPr>
          <w:p>
            <w:pPr>
              <w:pStyle w:val="TableParagraph"/>
              <w:spacing w:line="267" w:lineRule="exact"/>
              <w:ind w:left="103"/>
              <w:rPr>
                <w:sz w:val="22"/>
              </w:rPr>
            </w:pPr>
            <w:r>
              <w:rPr>
                <w:spacing w:val="-5"/>
                <w:sz w:val="22"/>
              </w:rPr>
              <w:t>809</w:t>
            </w:r>
          </w:p>
        </w:tc>
        <w:tc>
          <w:tcPr>
            <w:tcW w:w="2160" w:type="dxa"/>
            <w:tcBorders>
              <w:bottom w:val="nil"/>
            </w:tcBorders>
            <w:shd w:val="clear" w:color="auto" w:fill="C1E3F5"/>
          </w:tcPr>
          <w:p>
            <w:pPr>
              <w:pStyle w:val="TableParagraph"/>
              <w:spacing w:line="267" w:lineRule="exact"/>
              <w:ind w:left="103"/>
              <w:rPr>
                <w:sz w:val="22"/>
              </w:rPr>
            </w:pPr>
            <w:r>
              <w:rPr>
                <w:spacing w:val="-2"/>
                <w:sz w:val="22"/>
              </w:rPr>
              <w:t>88.8%</w:t>
            </w:r>
          </w:p>
        </w:tc>
        <w:tc>
          <w:tcPr>
            <w:tcW w:w="2870" w:type="dxa"/>
            <w:tcBorders>
              <w:bottom w:val="nil"/>
              <w:right w:val="nil"/>
            </w:tcBorders>
            <w:shd w:val="clear" w:color="auto" w:fill="C1E3F5"/>
          </w:tcPr>
          <w:p>
            <w:pPr>
              <w:pStyle w:val="TableParagraph"/>
              <w:spacing w:line="267" w:lineRule="exact"/>
              <w:ind w:left="103"/>
              <w:rPr>
                <w:sz w:val="22"/>
              </w:rPr>
            </w:pPr>
            <w:r>
              <w:rPr>
                <w:spacing w:val="-2"/>
                <w:sz w:val="22"/>
              </w:rPr>
              <w:t>11.2%</w:t>
            </w:r>
          </w:p>
        </w:tc>
      </w:tr>
    </w:tbl>
    <w:p>
      <w:pPr>
        <w:spacing w:before="13"/>
        <w:ind w:left="1440" w:right="0" w:firstLine="0"/>
        <w:jc w:val="left"/>
        <w:rPr>
          <w:i/>
          <w:sz w:val="18"/>
        </w:rPr>
      </w:pPr>
      <w:r>
        <w:rPr>
          <w:i/>
          <w:color w:val="0D2841"/>
          <w:sz w:val="18"/>
        </w:rPr>
        <w:t>Source:</w:t>
      </w:r>
      <w:r>
        <w:rPr>
          <w:i/>
          <w:color w:val="0D2841"/>
          <w:spacing w:val="-8"/>
          <w:sz w:val="18"/>
        </w:rPr>
        <w:t> </w:t>
      </w:r>
      <w:r>
        <w:rPr>
          <w:i/>
          <w:color w:val="0D2841"/>
          <w:sz w:val="18"/>
        </w:rPr>
        <w:t>2023</w:t>
      </w:r>
      <w:r>
        <w:rPr>
          <w:i/>
          <w:color w:val="0D2841"/>
          <w:spacing w:val="-7"/>
          <w:sz w:val="18"/>
        </w:rPr>
        <w:t> </w:t>
      </w:r>
      <w:r>
        <w:rPr>
          <w:i/>
          <w:color w:val="0D2841"/>
          <w:sz w:val="18"/>
        </w:rPr>
        <w:t>American</w:t>
      </w:r>
      <w:r>
        <w:rPr>
          <w:i/>
          <w:color w:val="0D2841"/>
          <w:spacing w:val="-5"/>
          <w:sz w:val="18"/>
        </w:rPr>
        <w:t> </w:t>
      </w:r>
      <w:r>
        <w:rPr>
          <w:i/>
          <w:color w:val="0D2841"/>
          <w:sz w:val="18"/>
        </w:rPr>
        <w:t>Community</w:t>
      </w:r>
      <w:r>
        <w:rPr>
          <w:i/>
          <w:color w:val="0D2841"/>
          <w:spacing w:val="-6"/>
          <w:sz w:val="18"/>
        </w:rPr>
        <w:t> </w:t>
      </w:r>
      <w:r>
        <w:rPr>
          <w:i/>
          <w:color w:val="0D2841"/>
          <w:sz w:val="18"/>
        </w:rPr>
        <w:t>Survey</w:t>
      </w:r>
      <w:r>
        <w:rPr>
          <w:i/>
          <w:color w:val="0D2841"/>
          <w:spacing w:val="-6"/>
          <w:sz w:val="18"/>
        </w:rPr>
        <w:t> </w:t>
      </w:r>
      <w:r>
        <w:rPr>
          <w:i/>
          <w:color w:val="0D2841"/>
          <w:sz w:val="18"/>
        </w:rPr>
        <w:t>5-Year</w:t>
      </w:r>
      <w:r>
        <w:rPr>
          <w:i/>
          <w:color w:val="0D2841"/>
          <w:spacing w:val="-6"/>
          <w:sz w:val="18"/>
        </w:rPr>
        <w:t> </w:t>
      </w:r>
      <w:r>
        <w:rPr>
          <w:i/>
          <w:color w:val="0D2841"/>
          <w:spacing w:val="-4"/>
          <w:sz w:val="18"/>
        </w:rPr>
        <w:t>Data</w:t>
      </w:r>
    </w:p>
    <w:p>
      <w:pPr>
        <w:pStyle w:val="BodyText"/>
        <w:spacing w:line="259" w:lineRule="auto" w:before="198"/>
        <w:ind w:right="1467"/>
      </w:pPr>
      <w:r>
        <w:rPr/>
        <w:t>The</w:t>
      </w:r>
      <w:r>
        <w:rPr>
          <w:spacing w:val="-2"/>
        </w:rPr>
        <w:t> </w:t>
      </w:r>
      <w:r>
        <w:rPr/>
        <w:t>average</w:t>
      </w:r>
      <w:r>
        <w:rPr>
          <w:spacing w:val="-5"/>
        </w:rPr>
        <w:t> </w:t>
      </w:r>
      <w:r>
        <w:rPr/>
        <w:t>gap</w:t>
      </w:r>
      <w:r>
        <w:rPr>
          <w:spacing w:val="-3"/>
        </w:rPr>
        <w:t> </w:t>
      </w:r>
      <w:r>
        <w:rPr/>
        <w:t>in</w:t>
      </w:r>
      <w:r>
        <w:rPr>
          <w:spacing w:val="-3"/>
        </w:rPr>
        <w:t> </w:t>
      </w:r>
      <w:r>
        <w:rPr/>
        <w:t>dollars</w:t>
      </w:r>
      <w:r>
        <w:rPr>
          <w:spacing w:val="-5"/>
        </w:rPr>
        <w:t> </w:t>
      </w:r>
      <w:r>
        <w:rPr/>
        <w:t>between</w:t>
      </w:r>
      <w:r>
        <w:rPr>
          <w:spacing w:val="-4"/>
        </w:rPr>
        <w:t> </w:t>
      </w:r>
      <w:r>
        <w:rPr/>
        <w:t>actual</w:t>
      </w:r>
      <w:r>
        <w:rPr>
          <w:spacing w:val="-3"/>
        </w:rPr>
        <w:t> </w:t>
      </w:r>
      <w:r>
        <w:rPr/>
        <w:t>and</w:t>
      </w:r>
      <w:r>
        <w:rPr>
          <w:spacing w:val="-4"/>
        </w:rPr>
        <w:t> </w:t>
      </w:r>
      <w:r>
        <w:rPr/>
        <w:t>required</w:t>
      </w:r>
      <w:r>
        <w:rPr>
          <w:spacing w:val="-4"/>
        </w:rPr>
        <w:t> </w:t>
      </w:r>
      <w:r>
        <w:rPr/>
        <w:t>spending</w:t>
      </w:r>
      <w:r>
        <w:rPr>
          <w:spacing w:val="-3"/>
        </w:rPr>
        <w:t> </w:t>
      </w:r>
      <w:r>
        <w:rPr/>
        <w:t>per</w:t>
      </w:r>
      <w:r>
        <w:rPr>
          <w:spacing w:val="-3"/>
        </w:rPr>
        <w:t> </w:t>
      </w:r>
      <w:r>
        <w:rPr/>
        <w:t>pupil</w:t>
      </w:r>
      <w:r>
        <w:rPr>
          <w:spacing w:val="-3"/>
        </w:rPr>
        <w:t> </w:t>
      </w:r>
      <w:r>
        <w:rPr/>
        <w:t>among</w:t>
      </w:r>
      <w:r>
        <w:rPr>
          <w:spacing w:val="-3"/>
        </w:rPr>
        <w:t> </w:t>
      </w:r>
      <w:r>
        <w:rPr/>
        <w:t>public</w:t>
      </w:r>
      <w:r>
        <w:rPr>
          <w:spacing w:val="-3"/>
        </w:rPr>
        <w:t> </w:t>
      </w:r>
      <w:r>
        <w:rPr/>
        <w:t>school</w:t>
      </w:r>
      <w:r>
        <w:rPr>
          <w:spacing w:val="-5"/>
        </w:rPr>
        <w:t> </w:t>
      </w:r>
      <w:r>
        <w:rPr/>
        <w:t>districts was $9,915 in 2022, compared with $12,745 on average in NYS; an increase of 4.4% from baseline in 2019.</w:t>
      </w:r>
      <w:r>
        <w:rPr>
          <w:spacing w:val="40"/>
        </w:rPr>
        <w:t> </w:t>
      </w:r>
      <w:r>
        <w:rPr/>
        <w:t>The</w:t>
      </w:r>
      <w:r>
        <w:rPr>
          <w:spacing w:val="-3"/>
        </w:rPr>
        <w:t> </w:t>
      </w:r>
      <w:r>
        <w:rPr/>
        <w:t>gap</w:t>
      </w:r>
      <w:r>
        <w:rPr>
          <w:spacing w:val="-3"/>
        </w:rPr>
        <w:t> </w:t>
      </w:r>
      <w:r>
        <w:rPr/>
        <w:t>between</w:t>
      </w:r>
      <w:r>
        <w:rPr>
          <w:spacing w:val="-6"/>
        </w:rPr>
        <w:t> </w:t>
      </w:r>
      <w:r>
        <w:rPr/>
        <w:t>what</w:t>
      </w:r>
      <w:r>
        <w:rPr>
          <w:spacing w:val="-3"/>
        </w:rPr>
        <w:t> </w:t>
      </w:r>
      <w:r>
        <w:rPr/>
        <w:t>schools</w:t>
      </w:r>
      <w:r>
        <w:rPr>
          <w:spacing w:val="-3"/>
        </w:rPr>
        <w:t> </w:t>
      </w:r>
      <w:r>
        <w:rPr/>
        <w:t>need</w:t>
      </w:r>
      <w:r>
        <w:rPr>
          <w:spacing w:val="-4"/>
        </w:rPr>
        <w:t> </w:t>
      </w:r>
      <w:r>
        <w:rPr/>
        <w:t>and</w:t>
      </w:r>
      <w:r>
        <w:rPr>
          <w:spacing w:val="-4"/>
        </w:rPr>
        <w:t> </w:t>
      </w:r>
      <w:r>
        <w:rPr/>
        <w:t>what</w:t>
      </w:r>
      <w:r>
        <w:rPr>
          <w:spacing w:val="-5"/>
        </w:rPr>
        <w:t> </w:t>
      </w:r>
      <w:r>
        <w:rPr/>
        <w:t>they</w:t>
      </w:r>
      <w:r>
        <w:rPr>
          <w:spacing w:val="-3"/>
        </w:rPr>
        <w:t> </w:t>
      </w:r>
      <w:r>
        <w:rPr/>
        <w:t>actually</w:t>
      </w:r>
      <w:r>
        <w:rPr>
          <w:spacing w:val="-3"/>
        </w:rPr>
        <w:t> </w:t>
      </w:r>
      <w:r>
        <w:rPr/>
        <w:t>spend</w:t>
      </w:r>
      <w:r>
        <w:rPr>
          <w:spacing w:val="-4"/>
        </w:rPr>
        <w:t> </w:t>
      </w:r>
      <w:r>
        <w:rPr/>
        <w:t>is</w:t>
      </w:r>
      <w:r>
        <w:rPr>
          <w:spacing w:val="-3"/>
        </w:rPr>
        <w:t> </w:t>
      </w:r>
      <w:r>
        <w:rPr/>
        <w:t>growing.</w:t>
      </w:r>
      <w:r>
        <w:rPr>
          <w:spacing w:val="-3"/>
        </w:rPr>
        <w:t> </w:t>
      </w:r>
      <w:r>
        <w:rPr/>
        <w:t>A</w:t>
      </w:r>
      <w:r>
        <w:rPr>
          <w:spacing w:val="-3"/>
        </w:rPr>
        <w:t> </w:t>
      </w:r>
      <w:r>
        <w:rPr/>
        <w:t>widening</w:t>
      </w:r>
      <w:r>
        <w:rPr>
          <w:spacing w:val="-3"/>
        </w:rPr>
        <w:t> </w:t>
      </w:r>
      <w:r>
        <w:rPr/>
        <w:t>funding gap can strain school resources, limit access to educafional programs and support services, and make it</w:t>
      </w:r>
    </w:p>
    <w:p>
      <w:pPr>
        <w:pStyle w:val="BodyText"/>
        <w:spacing w:before="7"/>
        <w:ind w:left="0"/>
        <w:rPr>
          <w:sz w:val="11"/>
        </w:rPr>
      </w:pPr>
      <w:r>
        <w:rPr>
          <w:sz w:val="11"/>
        </w:rPr>
        <mc:AlternateContent>
          <mc:Choice Requires="wps">
            <w:drawing>
              <wp:anchor distT="0" distB="0" distL="0" distR="0" allowOverlap="1" layoutInCell="1" locked="0" behindDoc="1" simplePos="0" relativeHeight="487610368">
                <wp:simplePos x="0" y="0"/>
                <wp:positionH relativeFrom="page">
                  <wp:posOffset>914400</wp:posOffset>
                </wp:positionH>
                <wp:positionV relativeFrom="paragraph">
                  <wp:posOffset>105484</wp:posOffset>
                </wp:positionV>
                <wp:extent cx="1828800" cy="9525"/>
                <wp:effectExtent l="0" t="0" r="0" b="0"/>
                <wp:wrapTopAndBottom/>
                <wp:docPr id="136" name="Graphic 136"/>
                <wp:cNvGraphicFramePr>
                  <a:graphicFrameLocks/>
                </wp:cNvGraphicFramePr>
                <a:graphic>
                  <a:graphicData uri="http://schemas.microsoft.com/office/word/2010/wordprocessingShape">
                    <wps:wsp>
                      <wps:cNvPr id="136" name="Graphic 136"/>
                      <wps:cNvSpPr/>
                      <wps:spPr>
                        <a:xfrm>
                          <a:off x="0" y="0"/>
                          <a:ext cx="1828800" cy="9525"/>
                        </a:xfrm>
                        <a:custGeom>
                          <a:avLst/>
                          <a:gdLst/>
                          <a:ahLst/>
                          <a:cxnLst/>
                          <a:rect l="l" t="t" r="r" b="b"/>
                          <a:pathLst>
                            <a:path w="1828800" h="9525">
                              <a:moveTo>
                                <a:pt x="1828800" y="0"/>
                              </a:moveTo>
                              <a:lnTo>
                                <a:pt x="0" y="0"/>
                              </a:lnTo>
                              <a:lnTo>
                                <a:pt x="0" y="9016"/>
                              </a:lnTo>
                              <a:lnTo>
                                <a:pt x="1828800" y="9016"/>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pt;margin-top:8.305860pt;width:144pt;height:.71pt;mso-position-horizontal-relative:page;mso-position-vertical-relative:paragraph;z-index:-15706112;mso-wrap-distance-left:0;mso-wrap-distance-right:0" id="docshape100" filled="true" fillcolor="#000000" stroked="false">
                <v:fill type="solid"/>
                <w10:wrap type="topAndBottom"/>
              </v:rect>
            </w:pict>
          </mc:Fallback>
        </mc:AlternateContent>
      </w:r>
    </w:p>
    <w:p>
      <w:pPr>
        <w:spacing w:before="102"/>
        <w:ind w:left="1440" w:right="0" w:firstLine="0"/>
        <w:jc w:val="left"/>
        <w:rPr>
          <w:sz w:val="20"/>
        </w:rPr>
      </w:pPr>
      <w:r>
        <w:rPr>
          <w:sz w:val="20"/>
          <w:vertAlign w:val="superscript"/>
        </w:rPr>
        <w:t>73</w:t>
      </w:r>
      <w:r>
        <w:rPr>
          <w:spacing w:val="-8"/>
          <w:sz w:val="20"/>
          <w:vertAlign w:val="baseline"/>
        </w:rPr>
        <w:t> </w:t>
      </w:r>
      <w:bookmarkStart w:name="_bookmark41" w:id="42"/>
      <w:bookmarkEnd w:id="42"/>
      <w:r>
        <w:rPr>
          <w:sz w:val="20"/>
          <w:vertAlign w:val="baseline"/>
        </w:rPr>
        <w:t>S</w:t>
      </w:r>
      <w:r>
        <w:rPr>
          <w:sz w:val="20"/>
          <w:vertAlign w:val="baseline"/>
        </w:rPr>
        <w:t>ource:</w:t>
      </w:r>
      <w:r>
        <w:rPr>
          <w:spacing w:val="-7"/>
          <w:sz w:val="20"/>
          <w:vertAlign w:val="baseline"/>
        </w:rPr>
        <w:t> </w:t>
      </w:r>
      <w:r>
        <w:rPr>
          <w:sz w:val="20"/>
          <w:vertAlign w:val="baseline"/>
        </w:rPr>
        <w:t>U.S.</w:t>
      </w:r>
      <w:r>
        <w:rPr>
          <w:spacing w:val="-7"/>
          <w:sz w:val="20"/>
          <w:vertAlign w:val="baseline"/>
        </w:rPr>
        <w:t> </w:t>
      </w:r>
      <w:r>
        <w:rPr>
          <w:sz w:val="20"/>
          <w:vertAlign w:val="baseline"/>
        </w:rPr>
        <w:t>Census</w:t>
      </w:r>
      <w:r>
        <w:rPr>
          <w:spacing w:val="-8"/>
          <w:sz w:val="20"/>
          <w:vertAlign w:val="baseline"/>
        </w:rPr>
        <w:t> </w:t>
      </w:r>
      <w:r>
        <w:rPr>
          <w:sz w:val="20"/>
          <w:vertAlign w:val="baseline"/>
        </w:rPr>
        <w:t>and</w:t>
      </w:r>
      <w:r>
        <w:rPr>
          <w:spacing w:val="-6"/>
          <w:sz w:val="20"/>
          <w:vertAlign w:val="baseline"/>
        </w:rPr>
        <w:t> </w:t>
      </w:r>
      <w:r>
        <w:rPr>
          <w:sz w:val="20"/>
          <w:vertAlign w:val="baseline"/>
        </w:rPr>
        <w:t>2023</w:t>
      </w:r>
      <w:r>
        <w:rPr>
          <w:spacing w:val="-5"/>
          <w:sz w:val="20"/>
          <w:vertAlign w:val="baseline"/>
        </w:rPr>
        <w:t> </w:t>
      </w:r>
      <w:r>
        <w:rPr>
          <w:sz w:val="20"/>
          <w:vertAlign w:val="baseline"/>
        </w:rPr>
        <w:t>American</w:t>
      </w:r>
      <w:r>
        <w:rPr>
          <w:spacing w:val="-6"/>
          <w:sz w:val="20"/>
          <w:vertAlign w:val="baseline"/>
        </w:rPr>
        <w:t> </w:t>
      </w:r>
      <w:r>
        <w:rPr>
          <w:sz w:val="20"/>
          <w:vertAlign w:val="baseline"/>
        </w:rPr>
        <w:t>Community</w:t>
      </w:r>
      <w:r>
        <w:rPr>
          <w:spacing w:val="-6"/>
          <w:sz w:val="20"/>
          <w:vertAlign w:val="baseline"/>
        </w:rPr>
        <w:t> </w:t>
      </w:r>
      <w:r>
        <w:rPr>
          <w:spacing w:val="-2"/>
          <w:sz w:val="20"/>
          <w:vertAlign w:val="baseline"/>
        </w:rPr>
        <w:t>Survey</w:t>
      </w:r>
    </w:p>
    <w:p>
      <w:pPr>
        <w:spacing w:after="0"/>
        <w:jc w:val="left"/>
        <w:rPr>
          <w:sz w:val="20"/>
        </w:rPr>
        <w:sectPr>
          <w:pgSz w:w="12240" w:h="15840"/>
          <w:pgMar w:header="161" w:footer="1223" w:top="1360" w:bottom="1420" w:left="0" w:right="0"/>
        </w:sectPr>
      </w:pPr>
    </w:p>
    <w:p>
      <w:pPr>
        <w:pStyle w:val="BodyText"/>
        <w:spacing w:line="259" w:lineRule="auto" w:before="64"/>
        <w:ind w:right="1467"/>
      </w:pPr>
      <w:r>
        <w:rPr/>
        <w:t>harder</w:t>
      </w:r>
      <w:r>
        <w:rPr>
          <w:spacing w:val="-4"/>
        </w:rPr>
        <w:t> </w:t>
      </w:r>
      <w:r>
        <w:rPr/>
        <w:t>for</w:t>
      </w:r>
      <w:r>
        <w:rPr>
          <w:spacing w:val="-6"/>
        </w:rPr>
        <w:t> </w:t>
      </w:r>
      <w:r>
        <w:rPr/>
        <w:t>districts</w:t>
      </w:r>
      <w:r>
        <w:rPr>
          <w:spacing w:val="-4"/>
        </w:rPr>
        <w:t> </w:t>
      </w:r>
      <w:r>
        <w:rPr/>
        <w:t>to</w:t>
      </w:r>
      <w:r>
        <w:rPr>
          <w:spacing w:val="-5"/>
        </w:rPr>
        <w:t> </w:t>
      </w:r>
      <w:r>
        <w:rPr/>
        <w:t>meet</w:t>
      </w:r>
      <w:r>
        <w:rPr>
          <w:spacing w:val="-6"/>
        </w:rPr>
        <w:t> </w:t>
      </w:r>
      <w:r>
        <w:rPr/>
        <w:t>student</w:t>
      </w:r>
      <w:r>
        <w:rPr>
          <w:spacing w:val="-4"/>
        </w:rPr>
        <w:t> </w:t>
      </w:r>
      <w:r>
        <w:rPr/>
        <w:t>needs.</w:t>
      </w:r>
      <w:r>
        <w:rPr>
          <w:spacing w:val="-5"/>
        </w:rPr>
        <w:t> </w:t>
      </w:r>
      <w:r>
        <w:rPr/>
        <w:t>Over</w:t>
      </w:r>
      <w:r>
        <w:rPr>
          <w:spacing w:val="-4"/>
        </w:rPr>
        <w:t> </w:t>
      </w:r>
      <w:r>
        <w:rPr/>
        <w:t>fime,</w:t>
      </w:r>
      <w:r>
        <w:rPr>
          <w:spacing w:val="-7"/>
        </w:rPr>
        <w:t> </w:t>
      </w:r>
      <w:r>
        <w:rPr/>
        <w:t>this</w:t>
      </w:r>
      <w:r>
        <w:rPr>
          <w:spacing w:val="-4"/>
        </w:rPr>
        <w:t> </w:t>
      </w:r>
      <w:r>
        <w:rPr/>
        <w:t>can</w:t>
      </w:r>
      <w:r>
        <w:rPr>
          <w:spacing w:val="-5"/>
        </w:rPr>
        <w:t> </w:t>
      </w:r>
      <w:r>
        <w:rPr/>
        <w:t>contribute</w:t>
      </w:r>
      <w:r>
        <w:rPr>
          <w:spacing w:val="-3"/>
        </w:rPr>
        <w:t> </w:t>
      </w:r>
      <w:r>
        <w:rPr/>
        <w:t>to</w:t>
      </w:r>
      <w:r>
        <w:rPr>
          <w:spacing w:val="-3"/>
        </w:rPr>
        <w:t> </w:t>
      </w:r>
      <w:r>
        <w:rPr/>
        <w:t>disparifies</w:t>
      </w:r>
      <w:r>
        <w:rPr>
          <w:spacing w:val="-4"/>
        </w:rPr>
        <w:t> </w:t>
      </w:r>
      <w:r>
        <w:rPr/>
        <w:t>in</w:t>
      </w:r>
      <w:r>
        <w:rPr>
          <w:spacing w:val="-5"/>
        </w:rPr>
        <w:t> </w:t>
      </w:r>
      <w:r>
        <w:rPr/>
        <w:t>academic achievement, staﬃng challenges, and fewer opportunifies for students, especially in communifies already facing economic or social disadvantages.</w:t>
      </w:r>
    </w:p>
    <w:p>
      <w:pPr>
        <w:pStyle w:val="BodyText"/>
        <w:spacing w:line="259" w:lineRule="auto" w:before="159"/>
        <w:ind w:right="1499"/>
      </w:pPr>
      <w:r>
        <w:rPr/>
        <w:t>Post-secondary educafion also brings substanfial beneﬁts. Adults with a bachelor’s degree have higher incomes, are less likely to be unemployed, and have befter health and safer working and living condifions than those with only a high school diploma. However, aﬀordability and unequal access to educafional</w:t>
      </w:r>
      <w:r>
        <w:rPr>
          <w:spacing w:val="-5"/>
        </w:rPr>
        <w:t> </w:t>
      </w:r>
      <w:r>
        <w:rPr/>
        <w:t>opportunifies</w:t>
      </w:r>
      <w:r>
        <w:rPr>
          <w:spacing w:val="-7"/>
        </w:rPr>
        <w:t> </w:t>
      </w:r>
      <w:r>
        <w:rPr/>
        <w:t>remain</w:t>
      </w:r>
      <w:r>
        <w:rPr>
          <w:spacing w:val="-8"/>
        </w:rPr>
        <w:t> </w:t>
      </w:r>
      <w:r>
        <w:rPr/>
        <w:t>challenges.</w:t>
      </w:r>
      <w:r>
        <w:rPr>
          <w:spacing w:val="-5"/>
        </w:rPr>
        <w:t> </w:t>
      </w:r>
      <w:r>
        <w:rPr/>
        <w:t>The</w:t>
      </w:r>
      <w:r>
        <w:rPr>
          <w:spacing w:val="-7"/>
        </w:rPr>
        <w:t> </w:t>
      </w:r>
      <w:r>
        <w:rPr/>
        <w:t>percentage</w:t>
      </w:r>
      <w:r>
        <w:rPr>
          <w:spacing w:val="-6"/>
        </w:rPr>
        <w:t> </w:t>
      </w:r>
      <w:r>
        <w:rPr/>
        <w:t>of</w:t>
      </w:r>
      <w:r>
        <w:rPr>
          <w:spacing w:val="-5"/>
        </w:rPr>
        <w:t> </w:t>
      </w:r>
      <w:r>
        <w:rPr/>
        <w:t>adults</w:t>
      </w:r>
      <w:r>
        <w:rPr>
          <w:spacing w:val="-5"/>
        </w:rPr>
        <w:t> </w:t>
      </w:r>
      <w:r>
        <w:rPr/>
        <w:t>ages</w:t>
      </w:r>
      <w:r>
        <w:rPr>
          <w:spacing w:val="-7"/>
        </w:rPr>
        <w:t> </w:t>
      </w:r>
      <w:r>
        <w:rPr/>
        <w:t>25</w:t>
      </w:r>
      <w:r>
        <w:rPr>
          <w:spacing w:val="-4"/>
        </w:rPr>
        <w:t> </w:t>
      </w:r>
      <w:r>
        <w:rPr/>
        <w:t>and</w:t>
      </w:r>
      <w:r>
        <w:rPr>
          <w:spacing w:val="-6"/>
        </w:rPr>
        <w:t> </w:t>
      </w:r>
      <w:r>
        <w:rPr/>
        <w:t>over</w:t>
      </w:r>
      <w:r>
        <w:rPr>
          <w:spacing w:val="-5"/>
        </w:rPr>
        <w:t> </w:t>
      </w:r>
      <w:r>
        <w:rPr/>
        <w:t>in</w:t>
      </w:r>
      <w:r>
        <w:rPr>
          <w:spacing w:val="-8"/>
        </w:rPr>
        <w:t> </w:t>
      </w:r>
      <w:r>
        <w:rPr/>
        <w:t>Yates</w:t>
      </w:r>
      <w:r>
        <w:rPr>
          <w:spacing w:val="-5"/>
        </w:rPr>
        <w:t> </w:t>
      </w:r>
      <w:r>
        <w:rPr/>
        <w:t>County with a high school diploma or equivalent was 84% in 2023, lower than the NYS average of 88% and a decrease of 2% from the baseline in 2019.</w:t>
      </w:r>
      <w:r>
        <w:rPr>
          <w:spacing w:val="40"/>
        </w:rPr>
        <w:t> </w:t>
      </w:r>
      <w:r>
        <w:rPr/>
        <w:t>The percentage of adults aged 25-44 with some post-secondary educafion was 42% in 2023, lower than the NYS average of 71% and a decrease of 22% from the baseline in 2019.</w:t>
      </w:r>
    </w:p>
    <w:p>
      <w:pPr>
        <w:pStyle w:val="BodyText"/>
        <w:spacing w:line="259" w:lineRule="auto" w:before="159"/>
        <w:ind w:right="1467"/>
      </w:pPr>
      <w:r>
        <w:rPr>
          <w:b/>
          <w:i/>
        </w:rPr>
        <w:t>Educafion Access and Quality Domain Summary</w:t>
      </w:r>
      <w:r>
        <w:rPr>
          <w:i/>
        </w:rPr>
        <w:t>: </w:t>
      </w:r>
      <w:r>
        <w:rPr/>
        <w:t>Educafional aftainment remains a priority concern: rates</w:t>
      </w:r>
      <w:r>
        <w:rPr>
          <w:spacing w:val="-7"/>
        </w:rPr>
        <w:t> </w:t>
      </w:r>
      <w:r>
        <w:rPr/>
        <w:t>of</w:t>
      </w:r>
      <w:r>
        <w:rPr>
          <w:spacing w:val="-5"/>
        </w:rPr>
        <w:t> </w:t>
      </w:r>
      <w:r>
        <w:rPr/>
        <w:t>high</w:t>
      </w:r>
      <w:r>
        <w:rPr>
          <w:spacing w:val="-6"/>
        </w:rPr>
        <w:t> </w:t>
      </w:r>
      <w:r>
        <w:rPr/>
        <w:t>school</w:t>
      </w:r>
      <w:r>
        <w:rPr>
          <w:spacing w:val="-5"/>
        </w:rPr>
        <w:t> </w:t>
      </w:r>
      <w:r>
        <w:rPr/>
        <w:t>complefion,</w:t>
      </w:r>
      <w:r>
        <w:rPr>
          <w:spacing w:val="-5"/>
        </w:rPr>
        <w:t> </w:t>
      </w:r>
      <w:r>
        <w:rPr/>
        <w:t>post-secondary</w:t>
      </w:r>
      <w:r>
        <w:rPr>
          <w:spacing w:val="-4"/>
        </w:rPr>
        <w:t> </w:t>
      </w:r>
      <w:r>
        <w:rPr/>
        <w:t>educafion,</w:t>
      </w:r>
      <w:r>
        <w:rPr>
          <w:spacing w:val="-5"/>
        </w:rPr>
        <w:t> </w:t>
      </w:r>
      <w:r>
        <w:rPr/>
        <w:t>and</w:t>
      </w:r>
      <w:r>
        <w:rPr>
          <w:spacing w:val="-8"/>
        </w:rPr>
        <w:t> </w:t>
      </w:r>
      <w:r>
        <w:rPr/>
        <w:t>on-fime</w:t>
      </w:r>
      <w:r>
        <w:rPr>
          <w:spacing w:val="-6"/>
        </w:rPr>
        <w:t> </w:t>
      </w:r>
      <w:r>
        <w:rPr/>
        <w:t>graduafion</w:t>
      </w:r>
      <w:r>
        <w:rPr>
          <w:spacing w:val="-6"/>
        </w:rPr>
        <w:t> </w:t>
      </w:r>
      <w:r>
        <w:rPr/>
        <w:t>all</w:t>
      </w:r>
      <w:r>
        <w:rPr>
          <w:spacing w:val="-5"/>
        </w:rPr>
        <w:t> </w:t>
      </w:r>
      <w:r>
        <w:rPr/>
        <w:t>fall</w:t>
      </w:r>
      <w:r>
        <w:rPr>
          <w:spacing w:val="-5"/>
        </w:rPr>
        <w:t> </w:t>
      </w:r>
      <w:r>
        <w:rPr/>
        <w:t>below</w:t>
      </w:r>
      <w:r>
        <w:rPr>
          <w:spacing w:val="-7"/>
        </w:rPr>
        <w:t> </w:t>
      </w:r>
      <w:r>
        <w:rPr/>
        <w:t>state averages. Addifionally, the per-pupil spending gap has widened, signaling increasing strain on school resources and the potenfial for growing inequifies in academic opportunifies and student support.</w:t>
      </w:r>
    </w:p>
    <w:p>
      <w:pPr>
        <w:pStyle w:val="BodyText"/>
        <w:spacing w:after="0" w:line="259" w:lineRule="auto"/>
        <w:sectPr>
          <w:pgSz w:w="12240" w:h="15840"/>
          <w:pgMar w:header="161" w:footer="1223" w:top="1360" w:bottom="1420" w:left="0" w:right="0"/>
        </w:sectPr>
      </w:pPr>
    </w:p>
    <w:p>
      <w:pPr>
        <w:pStyle w:val="BodyText"/>
        <w:spacing w:before="255"/>
        <w:ind w:left="0"/>
        <w:rPr>
          <w:sz w:val="28"/>
        </w:rPr>
      </w:pPr>
    </w:p>
    <w:p>
      <w:pPr>
        <w:pStyle w:val="Heading1"/>
        <w:ind w:left="277" w:right="39"/>
        <w:jc w:val="center"/>
      </w:pPr>
      <w:r>
        <w:rPr/>
        <mc:AlternateContent>
          <mc:Choice Requires="wps">
            <w:drawing>
              <wp:anchor distT="0" distB="0" distL="0" distR="0" allowOverlap="1" layoutInCell="1" locked="0" behindDoc="1" simplePos="0" relativeHeight="486553600">
                <wp:simplePos x="0" y="0"/>
                <wp:positionH relativeFrom="page">
                  <wp:posOffset>-6095</wp:posOffset>
                </wp:positionH>
                <wp:positionV relativeFrom="paragraph">
                  <wp:posOffset>-58924</wp:posOffset>
                </wp:positionV>
                <wp:extent cx="7776845" cy="44069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7776845" cy="440690"/>
                          <a:chExt cx="7776845" cy="440690"/>
                        </a:xfrm>
                      </wpg:grpSpPr>
                      <wps:wsp>
                        <wps:cNvPr id="138" name="Graphic 138"/>
                        <wps:cNvSpPr/>
                        <wps:spPr>
                          <a:xfrm>
                            <a:off x="6095" y="6094"/>
                            <a:ext cx="7764780" cy="428625"/>
                          </a:xfrm>
                          <a:custGeom>
                            <a:avLst/>
                            <a:gdLst/>
                            <a:ahLst/>
                            <a:cxnLst/>
                            <a:rect l="l" t="t" r="r" b="b"/>
                            <a:pathLst>
                              <a:path w="7764780" h="428625">
                                <a:moveTo>
                                  <a:pt x="7764653" y="1"/>
                                </a:moveTo>
                                <a:lnTo>
                                  <a:pt x="0" y="0"/>
                                </a:lnTo>
                                <a:lnTo>
                                  <a:pt x="0" y="381000"/>
                                </a:lnTo>
                                <a:lnTo>
                                  <a:pt x="1319783" y="381000"/>
                                </a:lnTo>
                                <a:lnTo>
                                  <a:pt x="2308860" y="428243"/>
                                </a:lnTo>
                                <a:lnTo>
                                  <a:pt x="3299459" y="381000"/>
                                </a:lnTo>
                                <a:lnTo>
                                  <a:pt x="7764653" y="381000"/>
                                </a:lnTo>
                                <a:lnTo>
                                  <a:pt x="7764653" y="1"/>
                                </a:lnTo>
                                <a:close/>
                              </a:path>
                            </a:pathLst>
                          </a:custGeom>
                          <a:solidFill>
                            <a:srgbClr val="145F82"/>
                          </a:solidFill>
                        </wps:spPr>
                        <wps:bodyPr wrap="square" lIns="0" tIns="0" rIns="0" bIns="0" rtlCol="0">
                          <a:prstTxWarp prst="textNoShape">
                            <a:avLst/>
                          </a:prstTxWarp>
                          <a:noAutofit/>
                        </wps:bodyPr>
                      </wps:wsp>
                      <wps:wsp>
                        <wps:cNvPr id="139" name="Graphic 139"/>
                        <wps:cNvSpPr/>
                        <wps:spPr>
                          <a:xfrm>
                            <a:off x="6095" y="6095"/>
                            <a:ext cx="7764780" cy="428625"/>
                          </a:xfrm>
                          <a:custGeom>
                            <a:avLst/>
                            <a:gdLst/>
                            <a:ahLst/>
                            <a:cxnLst/>
                            <a:rect l="l" t="t" r="r" b="b"/>
                            <a:pathLst>
                              <a:path w="7764780" h="428625">
                                <a:moveTo>
                                  <a:pt x="7764653" y="381000"/>
                                </a:moveTo>
                                <a:lnTo>
                                  <a:pt x="3299459" y="381000"/>
                                </a:lnTo>
                                <a:lnTo>
                                  <a:pt x="2308860" y="428117"/>
                                </a:lnTo>
                                <a:lnTo>
                                  <a:pt x="1319783" y="381000"/>
                                </a:lnTo>
                                <a:lnTo>
                                  <a:pt x="0" y="381000"/>
                                </a:lnTo>
                                <a:lnTo>
                                  <a:pt x="0" y="316864"/>
                                </a:lnTo>
                                <a:lnTo>
                                  <a:pt x="0" y="222376"/>
                                </a:lnTo>
                                <a:lnTo>
                                  <a:pt x="0" y="0"/>
                                </a:lnTo>
                                <a:lnTo>
                                  <a:pt x="1319783" y="0"/>
                                </a:lnTo>
                                <a:lnTo>
                                  <a:pt x="3299459" y="0"/>
                                </a:lnTo>
                                <a:lnTo>
                                  <a:pt x="7764653" y="0"/>
                                </a:lnTo>
                              </a:path>
                            </a:pathLst>
                          </a:custGeom>
                          <a:ln w="12192">
                            <a:solidFill>
                              <a:srgbClr val="04233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4.639717pt;width:612.35pt;height:34.7pt;mso-position-horizontal-relative:page;mso-position-vertical-relative:paragraph;z-index:-16762880" id="docshapegroup101" coordorigin="-10,-93" coordsize="12247,694">
                <v:shape style="position:absolute;left:0;top:-84;width:12228;height:675" id="docshape102" coordorigin="0,-83" coordsize="12228,675" path="m12228,-83l0,-83,0,517,2078,517,3636,591,5196,517,12228,517,12228,-83xe" filled="true" fillcolor="#145f82" stroked="false">
                  <v:path arrowok="t"/>
                  <v:fill type="solid"/>
                </v:shape>
                <v:shape style="position:absolute;left:0;top:-84;width:12228;height:675" id="docshape103" coordorigin="0,-83" coordsize="12228,675" path="m12228,517l5196,517,3636,591,2078,517,0,517,0,416,0,267,0,-83,2078,-83,5196,-83,12228,-83e" filled="false" stroked="true" strokeweight=".96pt" strokecolor="#042332">
                  <v:path arrowok="t"/>
                  <v:stroke dashstyle="solid"/>
                </v:shape>
                <w10:wrap type="none"/>
              </v:group>
            </w:pict>
          </mc:Fallback>
        </mc:AlternateContent>
      </w:r>
      <w:r>
        <w:rPr>
          <w:color w:val="FFFFFF"/>
        </w:rPr>
        <w:t>Priority</w:t>
      </w:r>
      <w:r>
        <w:rPr>
          <w:color w:val="FFFFFF"/>
          <w:spacing w:val="-3"/>
        </w:rPr>
        <w:t> </w:t>
      </w:r>
      <w:r>
        <w:rPr>
          <w:color w:val="FFFFFF"/>
          <w:spacing w:val="-2"/>
        </w:rPr>
        <w:t>Areas</w:t>
      </w:r>
    </w:p>
    <w:p>
      <w:pPr>
        <w:pStyle w:val="BodyText"/>
        <w:ind w:left="0"/>
        <w:rPr>
          <w:b/>
        </w:rPr>
      </w:pPr>
    </w:p>
    <w:p>
      <w:pPr>
        <w:pStyle w:val="BodyText"/>
        <w:spacing w:before="16"/>
        <w:ind w:left="0"/>
        <w:rPr>
          <w:b/>
        </w:rPr>
      </w:pPr>
    </w:p>
    <w:p>
      <w:pPr>
        <w:pStyle w:val="BodyText"/>
      </w:pPr>
      <w:r>
        <w:rPr/>
        <w:t>Yates</w:t>
      </w:r>
      <w:r>
        <w:rPr>
          <w:spacing w:val="-7"/>
        </w:rPr>
        <w:t> </w:t>
      </w:r>
      <w:r>
        <w:rPr/>
        <w:t>County</w:t>
      </w:r>
      <w:r>
        <w:rPr>
          <w:spacing w:val="-7"/>
        </w:rPr>
        <w:t> </w:t>
      </w:r>
      <w:r>
        <w:rPr/>
        <w:t>idenfiﬁed</w:t>
      </w:r>
      <w:r>
        <w:rPr>
          <w:spacing w:val="-9"/>
        </w:rPr>
        <w:t> </w:t>
      </w:r>
      <w:r>
        <w:rPr/>
        <w:t>three</w:t>
      </w:r>
      <w:r>
        <w:rPr>
          <w:spacing w:val="-5"/>
        </w:rPr>
        <w:t> </w:t>
      </w:r>
      <w:r>
        <w:rPr/>
        <w:t>priority</w:t>
      </w:r>
      <w:r>
        <w:rPr>
          <w:spacing w:val="-7"/>
        </w:rPr>
        <w:t> </w:t>
      </w:r>
      <w:r>
        <w:rPr/>
        <w:t>areas</w:t>
      </w:r>
      <w:r>
        <w:rPr>
          <w:spacing w:val="-6"/>
        </w:rPr>
        <w:t> </w:t>
      </w:r>
      <w:r>
        <w:rPr/>
        <w:t>for</w:t>
      </w:r>
      <w:r>
        <w:rPr>
          <w:spacing w:val="-8"/>
        </w:rPr>
        <w:t> </w:t>
      </w:r>
      <w:r>
        <w:rPr/>
        <w:t>this</w:t>
      </w:r>
      <w:r>
        <w:rPr>
          <w:spacing w:val="-6"/>
        </w:rPr>
        <w:t> </w:t>
      </w:r>
      <w:r>
        <w:rPr/>
        <w:t>CHA.</w:t>
      </w:r>
      <w:r>
        <w:rPr>
          <w:spacing w:val="-7"/>
        </w:rPr>
        <w:t> </w:t>
      </w:r>
      <w:r>
        <w:rPr/>
        <w:t>They</w:t>
      </w:r>
      <w:r>
        <w:rPr>
          <w:spacing w:val="-7"/>
        </w:rPr>
        <w:t> </w:t>
      </w:r>
      <w:r>
        <w:rPr>
          <w:spacing w:val="-4"/>
        </w:rPr>
        <w:t>are:</w:t>
      </w:r>
    </w:p>
    <w:p>
      <w:pPr>
        <w:pStyle w:val="ListParagraph"/>
        <w:numPr>
          <w:ilvl w:val="0"/>
          <w:numId w:val="3"/>
        </w:numPr>
        <w:tabs>
          <w:tab w:pos="2159" w:val="left" w:leader="none"/>
        </w:tabs>
        <w:spacing w:line="240" w:lineRule="auto" w:before="183" w:after="0"/>
        <w:ind w:left="2159" w:right="0" w:hanging="359"/>
        <w:jc w:val="left"/>
        <w:rPr>
          <w:sz w:val="22"/>
        </w:rPr>
      </w:pPr>
      <w:r>
        <w:rPr>
          <w:sz w:val="22"/>
        </w:rPr>
        <w:t>Housing</w:t>
      </w:r>
      <w:r>
        <w:rPr>
          <w:spacing w:val="-5"/>
          <w:sz w:val="22"/>
        </w:rPr>
        <w:t> </w:t>
      </w:r>
      <w:r>
        <w:rPr>
          <w:sz w:val="22"/>
        </w:rPr>
        <w:t>Stability</w:t>
      </w:r>
      <w:r>
        <w:rPr>
          <w:spacing w:val="-6"/>
          <w:sz w:val="22"/>
        </w:rPr>
        <w:t> </w:t>
      </w:r>
      <w:r>
        <w:rPr>
          <w:sz w:val="22"/>
        </w:rPr>
        <w:t>and</w:t>
      </w:r>
      <w:r>
        <w:rPr>
          <w:spacing w:val="-4"/>
          <w:sz w:val="22"/>
        </w:rPr>
        <w:t> </w:t>
      </w:r>
      <w:r>
        <w:rPr>
          <w:spacing w:val="-2"/>
          <w:sz w:val="22"/>
        </w:rPr>
        <w:t>Aﬀordability</w:t>
      </w:r>
    </w:p>
    <w:p>
      <w:pPr>
        <w:pStyle w:val="ListParagraph"/>
        <w:numPr>
          <w:ilvl w:val="0"/>
          <w:numId w:val="3"/>
        </w:numPr>
        <w:tabs>
          <w:tab w:pos="2159" w:val="left" w:leader="none"/>
        </w:tabs>
        <w:spacing w:line="240" w:lineRule="auto" w:before="20" w:after="0"/>
        <w:ind w:left="2159" w:right="0" w:hanging="359"/>
        <w:jc w:val="left"/>
        <w:rPr>
          <w:sz w:val="22"/>
        </w:rPr>
      </w:pPr>
      <w:r>
        <w:rPr>
          <w:sz w:val="22"/>
        </w:rPr>
        <w:t>Prevenfive</w:t>
      </w:r>
      <w:r>
        <w:rPr>
          <w:spacing w:val="-7"/>
          <w:sz w:val="22"/>
        </w:rPr>
        <w:t> </w:t>
      </w:r>
      <w:r>
        <w:rPr>
          <w:sz w:val="22"/>
        </w:rPr>
        <w:t>Services</w:t>
      </w:r>
      <w:r>
        <w:rPr>
          <w:spacing w:val="-7"/>
          <w:sz w:val="22"/>
        </w:rPr>
        <w:t> </w:t>
      </w:r>
      <w:r>
        <w:rPr>
          <w:sz w:val="22"/>
        </w:rPr>
        <w:t>for</w:t>
      </w:r>
      <w:r>
        <w:rPr>
          <w:spacing w:val="-8"/>
          <w:sz w:val="22"/>
        </w:rPr>
        <w:t> </w:t>
      </w:r>
      <w:r>
        <w:rPr>
          <w:sz w:val="22"/>
        </w:rPr>
        <w:t>Chronic</w:t>
      </w:r>
      <w:r>
        <w:rPr>
          <w:spacing w:val="-9"/>
          <w:sz w:val="22"/>
        </w:rPr>
        <w:t> </w:t>
      </w:r>
      <w:r>
        <w:rPr>
          <w:sz w:val="22"/>
        </w:rPr>
        <w:t>Disease</w:t>
      </w:r>
      <w:r>
        <w:rPr>
          <w:spacing w:val="-8"/>
          <w:sz w:val="22"/>
        </w:rPr>
        <w:t> </w:t>
      </w:r>
      <w:r>
        <w:rPr>
          <w:sz w:val="22"/>
        </w:rPr>
        <w:t>Prevenfion</w:t>
      </w:r>
      <w:r>
        <w:rPr>
          <w:spacing w:val="-8"/>
          <w:sz w:val="22"/>
        </w:rPr>
        <w:t> </w:t>
      </w:r>
      <w:r>
        <w:rPr>
          <w:sz w:val="22"/>
        </w:rPr>
        <w:t>and</w:t>
      </w:r>
      <w:r>
        <w:rPr>
          <w:spacing w:val="-7"/>
          <w:sz w:val="22"/>
        </w:rPr>
        <w:t> </w:t>
      </w:r>
      <w:r>
        <w:rPr>
          <w:spacing w:val="-2"/>
          <w:sz w:val="22"/>
        </w:rPr>
        <w:t>Control</w:t>
      </w:r>
    </w:p>
    <w:p>
      <w:pPr>
        <w:pStyle w:val="ListParagraph"/>
        <w:numPr>
          <w:ilvl w:val="0"/>
          <w:numId w:val="3"/>
        </w:numPr>
        <w:tabs>
          <w:tab w:pos="2159" w:val="left" w:leader="none"/>
        </w:tabs>
        <w:spacing w:line="240" w:lineRule="auto" w:before="22" w:after="0"/>
        <w:ind w:left="2159" w:right="0" w:hanging="359"/>
        <w:jc w:val="left"/>
        <w:rPr>
          <w:sz w:val="22"/>
        </w:rPr>
      </w:pPr>
      <w:r>
        <w:rPr>
          <w:sz w:val="22"/>
        </w:rPr>
        <w:t>Anxiety</w:t>
      </w:r>
      <w:r>
        <w:rPr>
          <w:spacing w:val="-4"/>
          <w:sz w:val="22"/>
        </w:rPr>
        <w:t> </w:t>
      </w:r>
      <w:r>
        <w:rPr>
          <w:sz w:val="22"/>
        </w:rPr>
        <w:t>and</w:t>
      </w:r>
      <w:r>
        <w:rPr>
          <w:spacing w:val="-3"/>
          <w:sz w:val="22"/>
        </w:rPr>
        <w:t> </w:t>
      </w:r>
      <w:r>
        <w:rPr>
          <w:spacing w:val="-2"/>
          <w:sz w:val="22"/>
        </w:rPr>
        <w:t>Stress</w:t>
      </w:r>
    </w:p>
    <w:p>
      <w:pPr>
        <w:pStyle w:val="BodyText"/>
        <w:spacing w:line="259" w:lineRule="auto" w:before="180"/>
        <w:ind w:right="1467"/>
      </w:pPr>
      <w:r>
        <w:rPr/>
        <w:t>These</w:t>
      </w:r>
      <w:r>
        <w:rPr>
          <w:spacing w:val="-3"/>
        </w:rPr>
        <w:t> </w:t>
      </w:r>
      <w:r>
        <w:rPr/>
        <w:t>priority</w:t>
      </w:r>
      <w:r>
        <w:rPr>
          <w:spacing w:val="-3"/>
        </w:rPr>
        <w:t> </w:t>
      </w:r>
      <w:r>
        <w:rPr/>
        <w:t>areas</w:t>
      </w:r>
      <w:r>
        <w:rPr>
          <w:spacing w:val="-4"/>
        </w:rPr>
        <w:t> </w:t>
      </w:r>
      <w:r>
        <w:rPr/>
        <w:t>were</w:t>
      </w:r>
      <w:r>
        <w:rPr>
          <w:spacing w:val="-5"/>
        </w:rPr>
        <w:t> </w:t>
      </w:r>
      <w:r>
        <w:rPr/>
        <w:t>selected</w:t>
      </w:r>
      <w:r>
        <w:rPr>
          <w:spacing w:val="-5"/>
        </w:rPr>
        <w:t> </w:t>
      </w:r>
      <w:r>
        <w:rPr/>
        <w:t>in</w:t>
      </w:r>
      <w:r>
        <w:rPr>
          <w:spacing w:val="-4"/>
        </w:rPr>
        <w:t> </w:t>
      </w:r>
      <w:r>
        <w:rPr/>
        <w:t>December</w:t>
      </w:r>
      <w:r>
        <w:rPr>
          <w:spacing w:val="-7"/>
        </w:rPr>
        <w:t> </w:t>
      </w:r>
      <w:r>
        <w:rPr/>
        <w:t>2025</w:t>
      </w:r>
      <w:r>
        <w:rPr>
          <w:spacing w:val="-5"/>
        </w:rPr>
        <w:t> </w:t>
      </w:r>
      <w:r>
        <w:rPr/>
        <w:t>using</w:t>
      </w:r>
      <w:r>
        <w:rPr>
          <w:spacing w:val="-4"/>
        </w:rPr>
        <w:t> </w:t>
      </w:r>
      <w:r>
        <w:rPr/>
        <w:t>a</w:t>
      </w:r>
      <w:r>
        <w:rPr>
          <w:spacing w:val="-4"/>
        </w:rPr>
        <w:t> </w:t>
      </w:r>
      <w:r>
        <w:rPr/>
        <w:t>ranking</w:t>
      </w:r>
      <w:r>
        <w:rPr>
          <w:spacing w:val="-4"/>
        </w:rPr>
        <w:t> </w:t>
      </w:r>
      <w:r>
        <w:rPr/>
        <w:t>systemafic</w:t>
      </w:r>
      <w:r>
        <w:rPr>
          <w:spacing w:val="-6"/>
        </w:rPr>
        <w:t> </w:t>
      </w:r>
      <w:r>
        <w:rPr/>
        <w:t>survey</w:t>
      </w:r>
      <w:r>
        <w:rPr>
          <w:spacing w:val="-5"/>
        </w:rPr>
        <w:t> </w:t>
      </w:r>
      <w:r>
        <w:rPr/>
        <w:t>to</w:t>
      </w:r>
      <w:r>
        <w:rPr>
          <w:spacing w:val="-5"/>
        </w:rPr>
        <w:t> </w:t>
      </w:r>
      <w:r>
        <w:rPr/>
        <w:t>select</w:t>
      </w:r>
      <w:r>
        <w:rPr>
          <w:spacing w:val="-6"/>
        </w:rPr>
        <w:t> </w:t>
      </w:r>
      <w:r>
        <w:rPr/>
        <w:t>the above priorifies, in addifion to using secondary data and community feedback.</w:t>
      </w:r>
    </w:p>
    <w:p>
      <w:pPr>
        <w:pStyle w:val="Heading1"/>
        <w:spacing w:before="160"/>
      </w:pPr>
      <w:r>
        <w:rPr/>
        <w:t>Housing</w:t>
      </w:r>
      <w:r>
        <w:rPr>
          <w:spacing w:val="-6"/>
        </w:rPr>
        <w:t> </w:t>
      </w:r>
      <w:r>
        <w:rPr/>
        <w:t>Stability</w:t>
      </w:r>
      <w:r>
        <w:rPr>
          <w:spacing w:val="-6"/>
        </w:rPr>
        <w:t> </w:t>
      </w:r>
      <w:r>
        <w:rPr/>
        <w:t>and</w:t>
      </w:r>
      <w:r>
        <w:rPr>
          <w:spacing w:val="-5"/>
        </w:rPr>
        <w:t> </w:t>
      </w:r>
      <w:r>
        <w:rPr>
          <w:spacing w:val="-2"/>
        </w:rPr>
        <w:t>Aﬀordability</w:t>
      </w:r>
    </w:p>
    <w:p>
      <w:pPr>
        <w:pStyle w:val="BodyText"/>
        <w:spacing w:before="9"/>
        <w:ind w:left="0"/>
        <w:rPr>
          <w:b/>
          <w:sz w:val="10"/>
        </w:rPr>
      </w:pPr>
    </w:p>
    <w:p>
      <w:pPr>
        <w:pStyle w:val="BodyText"/>
        <w:spacing w:after="0"/>
        <w:rPr>
          <w:b/>
          <w:sz w:val="10"/>
        </w:rPr>
        <w:sectPr>
          <w:pgSz w:w="12240" w:h="15840"/>
          <w:pgMar w:header="161" w:footer="1223" w:top="1360" w:bottom="1420" w:left="0" w:right="0"/>
        </w:sectPr>
      </w:pPr>
    </w:p>
    <w:p>
      <w:pPr>
        <w:pStyle w:val="BodyText"/>
        <w:spacing w:line="259" w:lineRule="auto" w:before="57"/>
        <w:ind w:right="-4"/>
      </w:pPr>
      <w:r>
        <w:rPr/>
        <w:t>Although housing cost burden is lower than the state average, community partners and focus groups consistently idenfify</w:t>
      </w:r>
      <w:r>
        <w:rPr>
          <w:spacing w:val="-13"/>
        </w:rPr>
        <w:t> </w:t>
      </w:r>
      <w:r>
        <w:rPr/>
        <w:t>housing</w:t>
      </w:r>
      <w:r>
        <w:rPr>
          <w:spacing w:val="-12"/>
        </w:rPr>
        <w:t> </w:t>
      </w:r>
      <w:r>
        <w:rPr/>
        <w:t>quality,</w:t>
      </w:r>
      <w:r>
        <w:rPr>
          <w:spacing w:val="-13"/>
        </w:rPr>
        <w:t> </w:t>
      </w:r>
      <w:r>
        <w:rPr/>
        <w:t>availability,</w:t>
      </w:r>
      <w:r>
        <w:rPr>
          <w:spacing w:val="-12"/>
        </w:rPr>
        <w:t> </w:t>
      </w:r>
      <w:r>
        <w:rPr/>
        <w:t>and aﬀordability as urgent concerns.</w:t>
      </w:r>
    </w:p>
    <w:p>
      <w:pPr>
        <w:pStyle w:val="BodyText"/>
        <w:spacing w:line="259" w:lineRule="auto"/>
        <w:ind w:right="-4"/>
      </w:pPr>
      <w:r>
        <w:rPr/>
        <w:t>Homeownership</w:t>
      </w:r>
      <w:r>
        <w:rPr>
          <w:spacing w:val="-13"/>
        </w:rPr>
        <w:t> </w:t>
      </w:r>
      <w:r>
        <w:rPr/>
        <w:t>rates</w:t>
      </w:r>
      <w:r>
        <w:rPr>
          <w:spacing w:val="-12"/>
        </w:rPr>
        <w:t> </w:t>
      </w:r>
      <w:r>
        <w:rPr/>
        <w:t>are</w:t>
      </w:r>
      <w:r>
        <w:rPr>
          <w:spacing w:val="-13"/>
        </w:rPr>
        <w:t> </w:t>
      </w:r>
      <w:r>
        <w:rPr/>
        <w:t>declining</w:t>
      </w:r>
      <w:r>
        <w:rPr>
          <w:spacing w:val="-12"/>
        </w:rPr>
        <w:t> </w:t>
      </w:r>
      <w:r>
        <w:rPr/>
        <w:t>in Yates County while the cost of living confinues to rise.</w:t>
      </w:r>
    </w:p>
    <w:p>
      <w:pPr>
        <w:pStyle w:val="BodyText"/>
        <w:spacing w:before="2" w:after="25"/>
        <w:ind w:left="0"/>
        <w:rPr>
          <w:sz w:val="9"/>
        </w:rPr>
      </w:pPr>
      <w:r>
        <w:rPr/>
        <w:br w:type="column"/>
      </w:r>
      <w:r>
        <w:rPr>
          <w:sz w:val="9"/>
        </w:rPr>
      </w:r>
    </w:p>
    <w:p>
      <w:pPr>
        <w:spacing w:line="24" w:lineRule="exact"/>
        <w:ind w:left="405" w:right="0" w:firstLine="0"/>
        <w:rPr>
          <w:sz w:val="2"/>
        </w:rPr>
      </w:pPr>
      <w:r>
        <w:rPr>
          <w:sz w:val="2"/>
        </w:rPr>
        <mc:AlternateContent>
          <mc:Choice Requires="wps">
            <w:drawing>
              <wp:inline distT="0" distB="0" distL="0" distR="0">
                <wp:extent cx="3195955" cy="44450"/>
                <wp:effectExtent l="19050" t="9525" r="13969" b="22225"/>
                <wp:docPr id="140" name="Group 140"/>
                <wp:cNvGraphicFramePr>
                  <a:graphicFrameLocks/>
                </wp:cNvGraphicFramePr>
                <a:graphic>
                  <a:graphicData uri="http://schemas.microsoft.com/office/word/2010/wordprocessingGroup">
                    <wpg:wgp>
                      <wpg:cNvPr id="140" name="Group 140"/>
                      <wpg:cNvGrpSpPr/>
                      <wpg:grpSpPr>
                        <a:xfrm>
                          <a:off x="0" y="0"/>
                          <a:ext cx="3195955" cy="44450"/>
                          <a:chExt cx="3195955" cy="44450"/>
                        </a:xfrm>
                      </wpg:grpSpPr>
                      <wps:wsp>
                        <wps:cNvPr id="141" name="Graphic 141"/>
                        <wps:cNvSpPr/>
                        <wps:spPr>
                          <a:xfrm>
                            <a:off x="14477" y="14477"/>
                            <a:ext cx="3166745" cy="15240"/>
                          </a:xfrm>
                          <a:custGeom>
                            <a:avLst/>
                            <a:gdLst/>
                            <a:ahLst/>
                            <a:cxnLst/>
                            <a:rect l="l" t="t" r="r" b="b"/>
                            <a:pathLst>
                              <a:path w="3166745" h="15240">
                                <a:moveTo>
                                  <a:pt x="0" y="0"/>
                                </a:moveTo>
                                <a:lnTo>
                                  <a:pt x="3166745" y="15239"/>
                                </a:lnTo>
                              </a:path>
                            </a:pathLst>
                          </a:custGeom>
                          <a:ln w="28954">
                            <a:solidFill>
                              <a:srgbClr val="145F82"/>
                            </a:solidFill>
                            <a:prstDash val="solid"/>
                          </a:ln>
                        </wps:spPr>
                        <wps:bodyPr wrap="square" lIns="0" tIns="0" rIns="0" bIns="0" rtlCol="0">
                          <a:prstTxWarp prst="textNoShape">
                            <a:avLst/>
                          </a:prstTxWarp>
                          <a:noAutofit/>
                        </wps:bodyPr>
                      </wps:wsp>
                    </wpg:wgp>
                  </a:graphicData>
                </a:graphic>
              </wp:inline>
            </w:drawing>
          </mc:Choice>
          <mc:Fallback>
            <w:pict>
              <v:group style="width:251.65pt;height:3.5pt;mso-position-horizontal-relative:char;mso-position-vertical-relative:line" id="docshapegroup104" coordorigin="0,0" coordsize="5033,70">
                <v:line style="position:absolute" from="23,23" to="5010,47" stroked="true" strokeweight="2.2799pt" strokecolor="#145f82">
                  <v:stroke dashstyle="solid"/>
                </v:line>
              </v:group>
            </w:pict>
          </mc:Fallback>
        </mc:AlternateContent>
      </w:r>
      <w:r>
        <w:rPr>
          <w:sz w:val="2"/>
        </w:rPr>
      </w:r>
    </w:p>
    <w:p>
      <w:pPr>
        <w:spacing w:line="276" w:lineRule="auto" w:before="59"/>
        <w:ind w:left="465" w:right="1544" w:firstLine="0"/>
        <w:jc w:val="left"/>
        <w:rPr>
          <w:i/>
          <w:sz w:val="22"/>
        </w:rPr>
      </w:pPr>
      <w:r>
        <w:rPr>
          <w:i/>
          <w:color w:val="145F82"/>
          <w:sz w:val="22"/>
        </w:rPr>
        <w:t>"People of low income will always be aﬀected the</w:t>
      </w:r>
      <w:r>
        <w:rPr>
          <w:i/>
          <w:color w:val="145F82"/>
          <w:sz w:val="22"/>
        </w:rPr>
        <w:t> most...as</w:t>
      </w:r>
      <w:r>
        <w:rPr>
          <w:i/>
          <w:color w:val="145F82"/>
          <w:spacing w:val="-5"/>
          <w:sz w:val="22"/>
        </w:rPr>
        <w:t> </w:t>
      </w:r>
      <w:r>
        <w:rPr>
          <w:i/>
          <w:color w:val="145F82"/>
          <w:sz w:val="22"/>
        </w:rPr>
        <w:t>those</w:t>
      </w:r>
      <w:r>
        <w:rPr>
          <w:i/>
          <w:color w:val="145F82"/>
          <w:spacing w:val="-8"/>
          <w:sz w:val="22"/>
        </w:rPr>
        <w:t> </w:t>
      </w:r>
      <w:r>
        <w:rPr>
          <w:i/>
          <w:color w:val="145F82"/>
          <w:sz w:val="22"/>
        </w:rPr>
        <w:t>with</w:t>
      </w:r>
      <w:r>
        <w:rPr>
          <w:i/>
          <w:color w:val="145F82"/>
          <w:spacing w:val="-6"/>
          <w:sz w:val="22"/>
        </w:rPr>
        <w:t> </w:t>
      </w:r>
      <w:r>
        <w:rPr>
          <w:i/>
          <w:color w:val="145F82"/>
          <w:sz w:val="22"/>
        </w:rPr>
        <w:t>adequate</w:t>
      </w:r>
      <w:r>
        <w:rPr>
          <w:i/>
          <w:color w:val="145F82"/>
          <w:spacing w:val="-5"/>
          <w:sz w:val="22"/>
        </w:rPr>
        <w:t> </w:t>
      </w:r>
      <w:r>
        <w:rPr>
          <w:i/>
          <w:color w:val="145F82"/>
          <w:sz w:val="22"/>
        </w:rPr>
        <w:t>funds</w:t>
      </w:r>
      <w:r>
        <w:rPr>
          <w:i/>
          <w:color w:val="145F82"/>
          <w:spacing w:val="-5"/>
          <w:sz w:val="22"/>
        </w:rPr>
        <w:t> </w:t>
      </w:r>
      <w:r>
        <w:rPr>
          <w:i/>
          <w:color w:val="145F82"/>
          <w:sz w:val="22"/>
        </w:rPr>
        <w:t>have</w:t>
      </w:r>
      <w:r>
        <w:rPr>
          <w:i/>
          <w:color w:val="145F82"/>
          <w:spacing w:val="-6"/>
          <w:sz w:val="22"/>
        </w:rPr>
        <w:t> </w:t>
      </w:r>
      <w:r>
        <w:rPr>
          <w:i/>
          <w:color w:val="145F82"/>
          <w:sz w:val="22"/>
        </w:rPr>
        <w:t>choices</w:t>
      </w:r>
      <w:r>
        <w:rPr>
          <w:i/>
          <w:color w:val="145F82"/>
          <w:spacing w:val="-5"/>
          <w:sz w:val="22"/>
        </w:rPr>
        <w:t> </w:t>
      </w:r>
      <w:r>
        <w:rPr>
          <w:i/>
          <w:color w:val="145F82"/>
          <w:sz w:val="22"/>
        </w:rPr>
        <w:t>-</w:t>
      </w:r>
      <w:r>
        <w:rPr>
          <w:i/>
          <w:color w:val="145F82"/>
          <w:spacing w:val="-8"/>
          <w:sz w:val="22"/>
        </w:rPr>
        <w:t> </w:t>
      </w:r>
      <w:r>
        <w:rPr>
          <w:i/>
          <w:color w:val="145F82"/>
          <w:sz w:val="22"/>
        </w:rPr>
        <w:t>where to live, work, spend their money, and where to get their </w:t>
      </w:r>
      <w:r>
        <w:rPr>
          <w:i/>
          <w:color w:val="145F82"/>
          <w:spacing w:val="-2"/>
          <w:sz w:val="22"/>
        </w:rPr>
        <w:t>healthcare."</w:t>
      </w:r>
    </w:p>
    <w:p>
      <w:pPr>
        <w:spacing w:before="161"/>
        <w:ind w:left="0" w:right="262" w:firstLine="0"/>
        <w:jc w:val="center"/>
        <w:rPr>
          <w:i/>
          <w:sz w:val="20"/>
        </w:rPr>
      </w:pPr>
      <w:r>
        <w:rPr>
          <w:i/>
          <w:color w:val="145F82"/>
          <w:sz w:val="20"/>
        </w:rPr>
        <w:t>-</w:t>
      </w:r>
      <w:r>
        <w:rPr>
          <w:i/>
          <w:color w:val="145F82"/>
          <w:spacing w:val="-8"/>
          <w:sz w:val="20"/>
        </w:rPr>
        <w:t> </w:t>
      </w:r>
      <w:r>
        <w:rPr>
          <w:i/>
          <w:color w:val="145F82"/>
          <w:sz w:val="20"/>
        </w:rPr>
        <w:t>YCC</w:t>
      </w:r>
      <w:r>
        <w:rPr>
          <w:i/>
          <w:color w:val="145F82"/>
          <w:spacing w:val="-7"/>
          <w:sz w:val="20"/>
        </w:rPr>
        <w:t> </w:t>
      </w:r>
      <w:r>
        <w:rPr>
          <w:i/>
          <w:color w:val="145F82"/>
          <w:sz w:val="20"/>
        </w:rPr>
        <w:t>Focus</w:t>
      </w:r>
      <w:r>
        <w:rPr>
          <w:i/>
          <w:color w:val="145F82"/>
          <w:spacing w:val="-8"/>
          <w:sz w:val="20"/>
        </w:rPr>
        <w:t> </w:t>
      </w:r>
      <w:r>
        <w:rPr>
          <w:i/>
          <w:color w:val="145F82"/>
          <w:sz w:val="20"/>
        </w:rPr>
        <w:t>Group</w:t>
      </w:r>
      <w:r>
        <w:rPr>
          <w:i/>
          <w:color w:val="145F82"/>
          <w:spacing w:val="-6"/>
          <w:sz w:val="20"/>
        </w:rPr>
        <w:t> </w:t>
      </w:r>
      <w:r>
        <w:rPr>
          <w:i/>
          <w:color w:val="145F82"/>
          <w:spacing w:val="-2"/>
          <w:sz w:val="20"/>
        </w:rPr>
        <w:t>Parficipant</w:t>
      </w:r>
    </w:p>
    <w:p>
      <w:pPr>
        <w:pStyle w:val="BodyText"/>
        <w:spacing w:before="11"/>
        <w:ind w:left="0"/>
        <w:rPr>
          <w:i/>
          <w:sz w:val="4"/>
        </w:rPr>
      </w:pPr>
      <w:r>
        <w:rPr>
          <w:i/>
          <w:sz w:val="4"/>
        </w:rPr>
        <mc:AlternateContent>
          <mc:Choice Requires="wps">
            <w:drawing>
              <wp:anchor distT="0" distB="0" distL="0" distR="0" allowOverlap="1" layoutInCell="1" locked="0" behindDoc="1" simplePos="0" relativeHeight="487611392">
                <wp:simplePos x="0" y="0"/>
                <wp:positionH relativeFrom="page">
                  <wp:posOffset>3456432</wp:posOffset>
                </wp:positionH>
                <wp:positionV relativeFrom="paragraph">
                  <wp:posOffset>53281</wp:posOffset>
                </wp:positionV>
                <wp:extent cx="3166745" cy="139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3166745" cy="13970"/>
                        </a:xfrm>
                        <a:custGeom>
                          <a:avLst/>
                          <a:gdLst/>
                          <a:ahLst/>
                          <a:cxnLst/>
                          <a:rect l="l" t="t" r="r" b="b"/>
                          <a:pathLst>
                            <a:path w="3166745" h="13970">
                              <a:moveTo>
                                <a:pt x="0" y="0"/>
                              </a:moveTo>
                              <a:lnTo>
                                <a:pt x="3166745" y="13589"/>
                              </a:lnTo>
                            </a:path>
                          </a:pathLst>
                        </a:custGeom>
                        <a:ln w="28954">
                          <a:solidFill>
                            <a:srgbClr val="145F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05088;mso-wrap-distance-left:0;mso-wrap-distance-right:0" from="272.160004pt,4.195391pt" to="521.510004pt,5.265391pt" stroked="true" strokeweight="2.2799pt" strokecolor="#145f82">
                <v:stroke dashstyle="solid"/>
                <w10:wrap type="topAndBottom"/>
              </v:line>
            </w:pict>
          </mc:Fallback>
        </mc:AlternateContent>
      </w:r>
    </w:p>
    <w:p>
      <w:pPr>
        <w:pStyle w:val="BodyText"/>
        <w:spacing w:after="0"/>
        <w:rPr>
          <w:i/>
          <w:sz w:val="4"/>
        </w:rPr>
        <w:sectPr>
          <w:type w:val="continuous"/>
          <w:pgSz w:w="12240" w:h="15840"/>
          <w:pgMar w:header="161" w:footer="1223" w:top="1360" w:bottom="1420" w:left="0" w:right="0"/>
          <w:cols w:num="2" w:equalWidth="0">
            <w:col w:w="4998" w:space="40"/>
            <w:col w:w="7202"/>
          </w:cols>
        </w:sectPr>
      </w:pPr>
    </w:p>
    <w:p>
      <w:pPr>
        <w:pStyle w:val="BodyText"/>
        <w:spacing w:line="259" w:lineRule="auto" w:before="156"/>
        <w:ind w:right="1467"/>
      </w:pPr>
      <w:r>
        <w:rPr/>
        <w:t>Focus groups in Yates County highlighted signiﬁcant concerns about local housing, nofing a shortage of safe and funcfional homes. Older housing, parficularly pre-1950s structures, often lacks inspecfions for lead</w:t>
      </w:r>
      <w:r>
        <w:rPr>
          <w:spacing w:val="-6"/>
        </w:rPr>
        <w:t> </w:t>
      </w:r>
      <w:r>
        <w:rPr/>
        <w:t>and</w:t>
      </w:r>
      <w:r>
        <w:rPr>
          <w:spacing w:val="-6"/>
        </w:rPr>
        <w:t> </w:t>
      </w:r>
      <w:r>
        <w:rPr/>
        <w:t>mold,</w:t>
      </w:r>
      <w:r>
        <w:rPr>
          <w:spacing w:val="-4"/>
        </w:rPr>
        <w:t> </w:t>
      </w:r>
      <w:r>
        <w:rPr/>
        <w:t>increasing</w:t>
      </w:r>
      <w:r>
        <w:rPr>
          <w:spacing w:val="-5"/>
        </w:rPr>
        <w:t> </w:t>
      </w:r>
      <w:r>
        <w:rPr/>
        <w:t>risks</w:t>
      </w:r>
      <w:r>
        <w:rPr>
          <w:spacing w:val="-5"/>
        </w:rPr>
        <w:t> </w:t>
      </w:r>
      <w:r>
        <w:rPr/>
        <w:t>for</w:t>
      </w:r>
      <w:r>
        <w:rPr>
          <w:spacing w:val="-7"/>
        </w:rPr>
        <w:t> </w:t>
      </w:r>
      <w:r>
        <w:rPr/>
        <w:t>respiratory</w:t>
      </w:r>
      <w:r>
        <w:rPr>
          <w:spacing w:val="-4"/>
        </w:rPr>
        <w:t> </w:t>
      </w:r>
      <w:r>
        <w:rPr/>
        <w:t>illnesses,</w:t>
      </w:r>
      <w:r>
        <w:rPr>
          <w:spacing w:val="-5"/>
        </w:rPr>
        <w:t> </w:t>
      </w:r>
      <w:r>
        <w:rPr/>
        <w:t>developmental</w:t>
      </w:r>
      <w:r>
        <w:rPr>
          <w:spacing w:val="-5"/>
        </w:rPr>
        <w:t> </w:t>
      </w:r>
      <w:r>
        <w:rPr/>
        <w:t>issues,</w:t>
      </w:r>
      <w:r>
        <w:rPr>
          <w:spacing w:val="-5"/>
        </w:rPr>
        <w:t> </w:t>
      </w:r>
      <w:r>
        <w:rPr/>
        <w:t>and</w:t>
      </w:r>
      <w:r>
        <w:rPr>
          <w:spacing w:val="-5"/>
        </w:rPr>
        <w:t> </w:t>
      </w:r>
      <w:r>
        <w:rPr/>
        <w:t>chronic</w:t>
      </w:r>
      <w:r>
        <w:rPr>
          <w:spacing w:val="-7"/>
        </w:rPr>
        <w:t> </w:t>
      </w:r>
      <w:r>
        <w:rPr/>
        <w:t>condifions,</w:t>
      </w:r>
      <w:r>
        <w:rPr>
          <w:spacing w:val="-5"/>
        </w:rPr>
        <w:t> </w:t>
      </w:r>
      <w:r>
        <w:rPr/>
        <w:t>as well as injuries from falls in poorly maintained homes.</w:t>
      </w:r>
    </w:p>
    <w:p>
      <w:pPr>
        <w:pStyle w:val="BodyText"/>
        <w:spacing w:before="160"/>
      </w:pPr>
      <w:r>
        <w:rPr/>
        <w:t>Further</w:t>
      </w:r>
      <w:r>
        <w:rPr>
          <w:spacing w:val="-9"/>
        </w:rPr>
        <w:t> </w:t>
      </w:r>
      <w:r>
        <w:rPr/>
        <w:t>housing</w:t>
      </w:r>
      <w:r>
        <w:rPr>
          <w:spacing w:val="-9"/>
        </w:rPr>
        <w:t> </w:t>
      </w:r>
      <w:r>
        <w:rPr/>
        <w:t>assessments</w:t>
      </w:r>
      <w:r>
        <w:rPr>
          <w:spacing w:val="-9"/>
        </w:rPr>
        <w:t> </w:t>
      </w:r>
      <w:r>
        <w:rPr/>
        <w:t>are</w:t>
      </w:r>
      <w:r>
        <w:rPr>
          <w:spacing w:val="-10"/>
        </w:rPr>
        <w:t> </w:t>
      </w:r>
      <w:r>
        <w:rPr/>
        <w:t>needed</w:t>
      </w:r>
      <w:r>
        <w:rPr>
          <w:spacing w:val="-9"/>
        </w:rPr>
        <w:t> </w:t>
      </w:r>
      <w:r>
        <w:rPr/>
        <w:t>in</w:t>
      </w:r>
      <w:r>
        <w:rPr>
          <w:spacing w:val="-8"/>
        </w:rPr>
        <w:t> </w:t>
      </w:r>
      <w:r>
        <w:rPr/>
        <w:t>Yates</w:t>
      </w:r>
      <w:r>
        <w:rPr>
          <w:spacing w:val="-9"/>
        </w:rPr>
        <w:t> </w:t>
      </w:r>
      <w:r>
        <w:rPr/>
        <w:t>County</w:t>
      </w:r>
      <w:r>
        <w:rPr>
          <w:spacing w:val="-7"/>
        </w:rPr>
        <w:t> </w:t>
      </w:r>
      <w:r>
        <w:rPr/>
        <w:t>to</w:t>
      </w:r>
      <w:r>
        <w:rPr>
          <w:spacing w:val="-8"/>
        </w:rPr>
        <w:t> </w:t>
      </w:r>
      <w:r>
        <w:rPr/>
        <w:t>befter</w:t>
      </w:r>
      <w:r>
        <w:rPr>
          <w:spacing w:val="-9"/>
        </w:rPr>
        <w:t> </w:t>
      </w:r>
      <w:r>
        <w:rPr/>
        <w:t>understand</w:t>
      </w:r>
      <w:r>
        <w:rPr>
          <w:spacing w:val="-11"/>
        </w:rPr>
        <w:t> </w:t>
      </w:r>
      <w:r>
        <w:rPr/>
        <w:t>the</w:t>
      </w:r>
      <w:r>
        <w:rPr>
          <w:spacing w:val="-7"/>
        </w:rPr>
        <w:t> </w:t>
      </w:r>
      <w:r>
        <w:rPr/>
        <w:t>resources</w:t>
      </w:r>
      <w:r>
        <w:rPr>
          <w:spacing w:val="-9"/>
        </w:rPr>
        <w:t> </w:t>
      </w:r>
      <w:r>
        <w:rPr/>
        <w:t>available</w:t>
      </w:r>
      <w:r>
        <w:rPr>
          <w:spacing w:val="-10"/>
        </w:rPr>
        <w:t> </w:t>
      </w:r>
      <w:r>
        <w:rPr>
          <w:spacing w:val="-5"/>
        </w:rPr>
        <w:t>to</w:t>
      </w:r>
    </w:p>
    <w:p>
      <w:pPr>
        <w:pStyle w:val="BodyText"/>
        <w:spacing w:before="22"/>
      </w:pPr>
      <w:r>
        <w:rPr/>
        <w:t>help</w:t>
      </w:r>
      <w:r>
        <w:rPr>
          <w:spacing w:val="-3"/>
        </w:rPr>
        <w:t> </w:t>
      </w:r>
      <w:r>
        <w:rPr/>
        <w:t>the </w:t>
      </w:r>
      <w:r>
        <w:rPr>
          <w:spacing w:val="-2"/>
        </w:rPr>
        <w:t>community.</w:t>
      </w:r>
    </w:p>
    <w:p>
      <w:pPr>
        <w:pStyle w:val="Heading1"/>
        <w:spacing w:before="181"/>
      </w:pPr>
      <w:r>
        <w:rPr/>
        <w:t>Prevenfive</w:t>
      </w:r>
      <w:r>
        <w:rPr>
          <w:spacing w:val="-8"/>
        </w:rPr>
        <w:t> </w:t>
      </w:r>
      <w:r>
        <w:rPr/>
        <w:t>Services</w:t>
      </w:r>
      <w:r>
        <w:rPr>
          <w:spacing w:val="-7"/>
        </w:rPr>
        <w:t> </w:t>
      </w:r>
      <w:r>
        <w:rPr/>
        <w:t>for</w:t>
      </w:r>
      <w:r>
        <w:rPr>
          <w:spacing w:val="-7"/>
        </w:rPr>
        <w:t> </w:t>
      </w:r>
      <w:r>
        <w:rPr/>
        <w:t>Chronic</w:t>
      </w:r>
      <w:r>
        <w:rPr>
          <w:spacing w:val="-7"/>
        </w:rPr>
        <w:t> </w:t>
      </w:r>
      <w:r>
        <w:rPr/>
        <w:t>Disease</w:t>
      </w:r>
      <w:r>
        <w:rPr>
          <w:spacing w:val="-7"/>
        </w:rPr>
        <w:t> </w:t>
      </w:r>
      <w:r>
        <w:rPr/>
        <w:t>Prevenfion</w:t>
      </w:r>
      <w:r>
        <w:rPr>
          <w:spacing w:val="-8"/>
        </w:rPr>
        <w:t> </w:t>
      </w:r>
      <w:r>
        <w:rPr/>
        <w:t>and</w:t>
      </w:r>
      <w:r>
        <w:rPr>
          <w:spacing w:val="-7"/>
        </w:rPr>
        <w:t> </w:t>
      </w:r>
      <w:r>
        <w:rPr>
          <w:spacing w:val="-2"/>
        </w:rPr>
        <w:t>Control</w:t>
      </w:r>
    </w:p>
    <w:p>
      <w:pPr>
        <w:pStyle w:val="BodyText"/>
        <w:spacing w:before="9"/>
        <w:ind w:left="0"/>
        <w:rPr>
          <w:b/>
          <w:sz w:val="10"/>
        </w:rPr>
      </w:pPr>
    </w:p>
    <w:p>
      <w:pPr>
        <w:pStyle w:val="BodyText"/>
        <w:spacing w:after="0"/>
        <w:rPr>
          <w:b/>
          <w:sz w:val="10"/>
        </w:rPr>
        <w:sectPr>
          <w:type w:val="continuous"/>
          <w:pgSz w:w="12240" w:h="15840"/>
          <w:pgMar w:header="161" w:footer="1223" w:top="1360" w:bottom="1420" w:left="0" w:right="0"/>
        </w:sectPr>
      </w:pPr>
    </w:p>
    <w:p>
      <w:pPr>
        <w:pStyle w:val="BodyText"/>
        <w:spacing w:before="141"/>
        <w:ind w:left="0"/>
        <w:rPr>
          <w:b/>
        </w:rPr>
      </w:pPr>
    </w:p>
    <w:p>
      <w:pPr>
        <w:spacing w:line="276" w:lineRule="auto" w:before="0"/>
        <w:ind w:left="1746" w:right="0" w:firstLine="0"/>
        <w:jc w:val="left"/>
        <w:rPr>
          <w:i/>
          <w:sz w:val="22"/>
        </w:rPr>
      </w:pPr>
      <w:r>
        <w:rPr>
          <w:i/>
          <w:sz w:val="22"/>
        </w:rPr>
        <mc:AlternateContent>
          <mc:Choice Requires="wps">
            <w:drawing>
              <wp:anchor distT="0" distB="0" distL="0" distR="0" allowOverlap="1" layoutInCell="1" locked="0" behindDoc="0" simplePos="0" relativeHeight="15753728">
                <wp:simplePos x="0" y="0"/>
                <wp:positionH relativeFrom="page">
                  <wp:posOffset>1013460</wp:posOffset>
                </wp:positionH>
                <wp:positionV relativeFrom="paragraph">
                  <wp:posOffset>-142617</wp:posOffset>
                </wp:positionV>
                <wp:extent cx="3164205" cy="1524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3164205" cy="15240"/>
                        </a:xfrm>
                        <a:custGeom>
                          <a:avLst/>
                          <a:gdLst/>
                          <a:ahLst/>
                          <a:cxnLst/>
                          <a:rect l="l" t="t" r="r" b="b"/>
                          <a:pathLst>
                            <a:path w="3164205" h="15240">
                              <a:moveTo>
                                <a:pt x="0" y="0"/>
                              </a:moveTo>
                              <a:lnTo>
                                <a:pt x="3163823" y="15113"/>
                              </a:lnTo>
                            </a:path>
                          </a:pathLst>
                        </a:custGeom>
                        <a:ln w="28954">
                          <a:solidFill>
                            <a:srgbClr val="145F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79.800003pt,-11.229707pt" to="328.919993pt,-10.039707pt" stroked="true" strokeweight="2.2799pt" strokecolor="#145f82">
                <v:stroke dashstyle="solid"/>
                <w10:wrap type="none"/>
              </v:line>
            </w:pict>
          </mc:Fallback>
        </mc:AlternateContent>
      </w:r>
      <w:r>
        <w:rPr>
          <w:i/>
          <w:color w:val="145F82"/>
          <w:sz w:val="22"/>
        </w:rPr>
        <w:t>"I</w:t>
      </w:r>
      <w:r>
        <w:rPr>
          <w:i/>
          <w:color w:val="145F82"/>
          <w:spacing w:val="-4"/>
          <w:sz w:val="22"/>
        </w:rPr>
        <w:t> </w:t>
      </w:r>
      <w:r>
        <w:rPr>
          <w:i/>
          <w:color w:val="145F82"/>
          <w:sz w:val="22"/>
        </w:rPr>
        <w:t>feel</w:t>
      </w:r>
      <w:r>
        <w:rPr>
          <w:i/>
          <w:color w:val="145F82"/>
          <w:spacing w:val="-6"/>
          <w:sz w:val="22"/>
        </w:rPr>
        <w:t> </w:t>
      </w:r>
      <w:r>
        <w:rPr>
          <w:i/>
          <w:color w:val="145F82"/>
          <w:sz w:val="22"/>
        </w:rPr>
        <w:t>that</w:t>
      </w:r>
      <w:r>
        <w:rPr>
          <w:i/>
          <w:color w:val="145F82"/>
          <w:spacing w:val="-6"/>
          <w:sz w:val="22"/>
        </w:rPr>
        <w:t> </w:t>
      </w:r>
      <w:r>
        <w:rPr>
          <w:i/>
          <w:color w:val="145F82"/>
          <w:sz w:val="22"/>
        </w:rPr>
        <w:t>we</w:t>
      </w:r>
      <w:r>
        <w:rPr>
          <w:i/>
          <w:color w:val="145F82"/>
          <w:spacing w:val="-4"/>
          <w:sz w:val="22"/>
        </w:rPr>
        <w:t> </w:t>
      </w:r>
      <w:r>
        <w:rPr>
          <w:i/>
          <w:color w:val="145F82"/>
          <w:sz w:val="22"/>
        </w:rPr>
        <w:t>have</w:t>
      </w:r>
      <w:r>
        <w:rPr>
          <w:i/>
          <w:color w:val="145F82"/>
          <w:spacing w:val="-6"/>
          <w:sz w:val="22"/>
        </w:rPr>
        <w:t> </w:t>
      </w:r>
      <w:r>
        <w:rPr>
          <w:i/>
          <w:color w:val="145F82"/>
          <w:sz w:val="22"/>
        </w:rPr>
        <w:t>to</w:t>
      </w:r>
      <w:r>
        <w:rPr>
          <w:i/>
          <w:color w:val="145F82"/>
          <w:spacing w:val="-4"/>
          <w:sz w:val="22"/>
        </w:rPr>
        <w:t> </w:t>
      </w:r>
      <w:r>
        <w:rPr>
          <w:i/>
          <w:color w:val="145F82"/>
          <w:sz w:val="22"/>
        </w:rPr>
        <w:t>be</w:t>
      </w:r>
      <w:r>
        <w:rPr>
          <w:i/>
          <w:color w:val="145F82"/>
          <w:spacing w:val="-5"/>
          <w:sz w:val="22"/>
        </w:rPr>
        <w:t> </w:t>
      </w:r>
      <w:r>
        <w:rPr>
          <w:i/>
          <w:color w:val="145F82"/>
          <w:sz w:val="22"/>
        </w:rPr>
        <w:t>our</w:t>
      </w:r>
      <w:r>
        <w:rPr>
          <w:i/>
          <w:color w:val="145F82"/>
          <w:spacing w:val="-4"/>
          <w:sz w:val="22"/>
        </w:rPr>
        <w:t> </w:t>
      </w:r>
      <w:r>
        <w:rPr>
          <w:i/>
          <w:color w:val="145F82"/>
          <w:sz w:val="22"/>
        </w:rPr>
        <w:t>own</w:t>
      </w:r>
      <w:r>
        <w:rPr>
          <w:i/>
          <w:color w:val="145F82"/>
          <w:spacing w:val="-4"/>
          <w:sz w:val="22"/>
        </w:rPr>
        <w:t> </w:t>
      </w:r>
      <w:r>
        <w:rPr>
          <w:i/>
          <w:color w:val="145F82"/>
          <w:sz w:val="22"/>
        </w:rPr>
        <w:t>advocate</w:t>
      </w:r>
      <w:r>
        <w:rPr>
          <w:i/>
          <w:color w:val="145F82"/>
          <w:spacing w:val="-4"/>
          <w:sz w:val="22"/>
        </w:rPr>
        <w:t> </w:t>
      </w:r>
      <w:r>
        <w:rPr>
          <w:i/>
          <w:color w:val="145F82"/>
          <w:sz w:val="22"/>
        </w:rPr>
        <w:t>when</w:t>
      </w:r>
      <w:r>
        <w:rPr>
          <w:i/>
          <w:color w:val="145F82"/>
          <w:spacing w:val="-5"/>
          <w:sz w:val="22"/>
        </w:rPr>
        <w:t> </w:t>
      </w:r>
      <w:r>
        <w:rPr>
          <w:i/>
          <w:color w:val="145F82"/>
          <w:sz w:val="22"/>
        </w:rPr>
        <w:t>it</w:t>
      </w:r>
      <w:r>
        <w:rPr>
          <w:i/>
          <w:color w:val="145F82"/>
          <w:sz w:val="22"/>
        </w:rPr>
        <w:t> comes to healthcare...if I was to menfion health issues between family and friends, there would be too many to state."</w:t>
      </w:r>
    </w:p>
    <w:p>
      <w:pPr>
        <w:spacing w:before="164"/>
        <w:ind w:left="3242" w:right="0" w:firstLine="0"/>
        <w:jc w:val="left"/>
        <w:rPr>
          <w:i/>
          <w:sz w:val="20"/>
        </w:rPr>
      </w:pPr>
      <w:r>
        <w:rPr>
          <w:i/>
          <w:color w:val="145F82"/>
          <w:sz w:val="20"/>
        </w:rPr>
        <w:t>-</w:t>
      </w:r>
      <w:r>
        <w:rPr>
          <w:i/>
          <w:color w:val="145F82"/>
          <w:spacing w:val="-8"/>
          <w:sz w:val="20"/>
        </w:rPr>
        <w:t> </w:t>
      </w:r>
      <w:r>
        <w:rPr>
          <w:i/>
          <w:color w:val="145F82"/>
          <w:sz w:val="20"/>
        </w:rPr>
        <w:t>YCC</w:t>
      </w:r>
      <w:r>
        <w:rPr>
          <w:i/>
          <w:color w:val="145F82"/>
          <w:spacing w:val="-8"/>
          <w:sz w:val="20"/>
        </w:rPr>
        <w:t> </w:t>
      </w:r>
      <w:r>
        <w:rPr>
          <w:i/>
          <w:color w:val="145F82"/>
          <w:sz w:val="20"/>
        </w:rPr>
        <w:t>Focus</w:t>
      </w:r>
      <w:r>
        <w:rPr>
          <w:i/>
          <w:color w:val="145F82"/>
          <w:spacing w:val="-8"/>
          <w:sz w:val="20"/>
        </w:rPr>
        <w:t> </w:t>
      </w:r>
      <w:r>
        <w:rPr>
          <w:i/>
          <w:color w:val="145F82"/>
          <w:sz w:val="20"/>
        </w:rPr>
        <w:t>Group</w:t>
      </w:r>
      <w:r>
        <w:rPr>
          <w:i/>
          <w:color w:val="145F82"/>
          <w:spacing w:val="-6"/>
          <w:sz w:val="20"/>
        </w:rPr>
        <w:t> </w:t>
      </w:r>
      <w:r>
        <w:rPr>
          <w:i/>
          <w:color w:val="145F82"/>
          <w:spacing w:val="-2"/>
          <w:sz w:val="20"/>
        </w:rPr>
        <w:t>Parficipant</w:t>
      </w:r>
    </w:p>
    <w:p>
      <w:pPr>
        <w:pStyle w:val="BodyText"/>
        <w:spacing w:line="259" w:lineRule="auto" w:before="57"/>
        <w:ind w:left="323" w:right="1587" w:firstLine="79"/>
      </w:pPr>
      <w:r>
        <w:rPr/>
        <w:br w:type="column"/>
      </w:r>
      <w:r>
        <w:rPr/>
        <w:t>Yates County is seeing increased rates of obesity,</w:t>
      </w:r>
      <w:r>
        <w:rPr>
          <w:spacing w:val="-2"/>
        </w:rPr>
        <w:t> </w:t>
      </w:r>
      <w:r>
        <w:rPr/>
        <w:t>cancer,</w:t>
      </w:r>
      <w:r>
        <w:rPr>
          <w:spacing w:val="-2"/>
        </w:rPr>
        <w:t> </w:t>
      </w:r>
      <w:r>
        <w:rPr/>
        <w:t>diabetes, and heart disease and the county’s top two leading causes of death are associated with chronic disease. Prevenfion, early detecfion, and disease management are important to improving overall quality of life.</w:t>
      </w:r>
    </w:p>
    <w:p>
      <w:pPr>
        <w:pStyle w:val="BodyText"/>
        <w:spacing w:after="0" w:line="259" w:lineRule="auto"/>
        <w:sectPr>
          <w:type w:val="continuous"/>
          <w:pgSz w:w="12240" w:h="15840"/>
          <w:pgMar w:header="161" w:footer="1223" w:top="1360" w:bottom="1420" w:left="0" w:right="0"/>
          <w:cols w:num="2" w:equalWidth="0">
            <w:col w:w="6345" w:space="40"/>
            <w:col w:w="5855"/>
          </w:cols>
        </w:sectPr>
      </w:pPr>
    </w:p>
    <w:p>
      <w:pPr>
        <w:pStyle w:val="BodyText"/>
        <w:spacing w:before="2"/>
        <w:ind w:left="0"/>
        <w:rPr>
          <w:sz w:val="5"/>
        </w:rPr>
      </w:pPr>
    </w:p>
    <w:p>
      <w:pPr>
        <w:spacing w:line="24" w:lineRule="exact"/>
        <w:ind w:left="1588" w:right="0" w:firstLine="0"/>
        <w:rPr>
          <w:sz w:val="2"/>
        </w:rPr>
      </w:pPr>
      <w:r>
        <w:rPr>
          <w:sz w:val="2"/>
        </w:rPr>
        <mc:AlternateContent>
          <mc:Choice Requires="wps">
            <w:drawing>
              <wp:inline distT="0" distB="0" distL="0" distR="0">
                <wp:extent cx="3192780" cy="44450"/>
                <wp:effectExtent l="19050" t="9525" r="7619" b="22225"/>
                <wp:docPr id="144" name="Group 144"/>
                <wp:cNvGraphicFramePr>
                  <a:graphicFrameLocks/>
                </wp:cNvGraphicFramePr>
                <a:graphic>
                  <a:graphicData uri="http://schemas.microsoft.com/office/word/2010/wordprocessingGroup">
                    <wpg:wgp>
                      <wpg:cNvPr id="144" name="Group 144"/>
                      <wpg:cNvGrpSpPr/>
                      <wpg:grpSpPr>
                        <a:xfrm>
                          <a:off x="0" y="0"/>
                          <a:ext cx="3192780" cy="44450"/>
                          <a:chExt cx="3192780" cy="44450"/>
                        </a:xfrm>
                      </wpg:grpSpPr>
                      <wps:wsp>
                        <wps:cNvPr id="145" name="Graphic 145"/>
                        <wps:cNvSpPr/>
                        <wps:spPr>
                          <a:xfrm>
                            <a:off x="14477" y="14477"/>
                            <a:ext cx="3164205" cy="15240"/>
                          </a:xfrm>
                          <a:custGeom>
                            <a:avLst/>
                            <a:gdLst/>
                            <a:ahLst/>
                            <a:cxnLst/>
                            <a:rect l="l" t="t" r="r" b="b"/>
                            <a:pathLst>
                              <a:path w="3164205" h="15240">
                                <a:moveTo>
                                  <a:pt x="0" y="0"/>
                                </a:moveTo>
                                <a:lnTo>
                                  <a:pt x="3163697" y="15239"/>
                                </a:lnTo>
                              </a:path>
                            </a:pathLst>
                          </a:custGeom>
                          <a:ln w="28954">
                            <a:solidFill>
                              <a:srgbClr val="145F82"/>
                            </a:solidFill>
                            <a:prstDash val="solid"/>
                          </a:ln>
                        </wps:spPr>
                        <wps:bodyPr wrap="square" lIns="0" tIns="0" rIns="0" bIns="0" rtlCol="0">
                          <a:prstTxWarp prst="textNoShape">
                            <a:avLst/>
                          </a:prstTxWarp>
                          <a:noAutofit/>
                        </wps:bodyPr>
                      </wps:wsp>
                    </wpg:wgp>
                  </a:graphicData>
                </a:graphic>
              </wp:inline>
            </w:drawing>
          </mc:Choice>
          <mc:Fallback>
            <w:pict>
              <v:group style="width:251.4pt;height:3.5pt;mso-position-horizontal-relative:char;mso-position-vertical-relative:line" id="docshapegroup105" coordorigin="0,0" coordsize="5028,70">
                <v:line style="position:absolute" from="23,23" to="5005,47" stroked="true" strokeweight="2.2799pt" strokecolor="#145f82">
                  <v:stroke dashstyle="solid"/>
                </v:line>
              </v:group>
            </w:pict>
          </mc:Fallback>
        </mc:AlternateContent>
      </w:r>
      <w:r>
        <w:rPr>
          <w:sz w:val="2"/>
        </w:rPr>
      </w:r>
    </w:p>
    <w:p>
      <w:pPr>
        <w:pStyle w:val="BodyText"/>
        <w:spacing w:line="259" w:lineRule="auto" w:before="71"/>
        <w:ind w:right="1467" w:firstLine="5347"/>
      </w:pPr>
      <w:r>
        <w:rPr/>
        <w:t>However,</w:t>
      </w:r>
      <w:r>
        <w:rPr>
          <w:spacing w:val="-2"/>
        </w:rPr>
        <w:t> </w:t>
      </w:r>
      <w:r>
        <w:rPr/>
        <w:t>access</w:t>
      </w:r>
      <w:r>
        <w:rPr>
          <w:spacing w:val="-4"/>
        </w:rPr>
        <w:t> </w:t>
      </w:r>
      <w:r>
        <w:rPr/>
        <w:t>to</w:t>
      </w:r>
      <w:r>
        <w:rPr>
          <w:spacing w:val="-1"/>
        </w:rPr>
        <w:t> </w:t>
      </w:r>
      <w:r>
        <w:rPr/>
        <w:t>care</w:t>
      </w:r>
      <w:r>
        <w:rPr>
          <w:spacing w:val="-1"/>
        </w:rPr>
        <w:t> </w:t>
      </w:r>
      <w:r>
        <w:rPr/>
        <w:t>in</w:t>
      </w:r>
      <w:r>
        <w:rPr>
          <w:spacing w:val="-5"/>
        </w:rPr>
        <w:t> </w:t>
      </w:r>
      <w:r>
        <w:rPr/>
        <w:t>Yates</w:t>
      </w:r>
      <w:r>
        <w:rPr>
          <w:spacing w:val="-2"/>
        </w:rPr>
        <w:t> </w:t>
      </w:r>
      <w:r>
        <w:rPr/>
        <w:t>County</w:t>
      </w:r>
      <w:r>
        <w:rPr>
          <w:spacing w:val="-3"/>
        </w:rPr>
        <w:t> </w:t>
      </w:r>
      <w:r>
        <w:rPr/>
        <w:t>is</w:t>
      </w:r>
      <w:r>
        <w:rPr>
          <w:spacing w:val="-2"/>
        </w:rPr>
        <w:t> </w:t>
      </w:r>
      <w:r>
        <w:rPr/>
        <w:t>a widespread</w:t>
      </w:r>
      <w:r>
        <w:rPr>
          <w:spacing w:val="-6"/>
        </w:rPr>
        <w:t> </w:t>
      </w:r>
      <w:r>
        <w:rPr/>
        <w:t>barrier,</w:t>
      </w:r>
      <w:r>
        <w:rPr>
          <w:spacing w:val="-7"/>
        </w:rPr>
        <w:t> </w:t>
      </w:r>
      <w:r>
        <w:rPr/>
        <w:t>especially</w:t>
      </w:r>
      <w:r>
        <w:rPr>
          <w:spacing w:val="-5"/>
        </w:rPr>
        <w:t> </w:t>
      </w:r>
      <w:r>
        <w:rPr/>
        <w:t>for</w:t>
      </w:r>
      <w:r>
        <w:rPr>
          <w:spacing w:val="-7"/>
        </w:rPr>
        <w:t> </w:t>
      </w:r>
      <w:r>
        <w:rPr/>
        <w:t>elderly</w:t>
      </w:r>
      <w:r>
        <w:rPr>
          <w:spacing w:val="-5"/>
        </w:rPr>
        <w:t> </w:t>
      </w:r>
      <w:r>
        <w:rPr/>
        <w:t>and</w:t>
      </w:r>
      <w:r>
        <w:rPr>
          <w:spacing w:val="-6"/>
        </w:rPr>
        <w:t> </w:t>
      </w:r>
      <w:r>
        <w:rPr/>
        <w:t>low-income</w:t>
      </w:r>
      <w:r>
        <w:rPr>
          <w:spacing w:val="-5"/>
        </w:rPr>
        <w:t> </w:t>
      </w:r>
      <w:r>
        <w:rPr/>
        <w:t>populafions.</w:t>
      </w:r>
      <w:r>
        <w:rPr>
          <w:spacing w:val="-8"/>
        </w:rPr>
        <w:t> </w:t>
      </w:r>
      <w:r>
        <w:rPr/>
        <w:t>There</w:t>
      </w:r>
      <w:r>
        <w:rPr>
          <w:spacing w:val="-7"/>
        </w:rPr>
        <w:t> </w:t>
      </w:r>
      <w:r>
        <w:rPr/>
        <w:t>is</w:t>
      </w:r>
      <w:r>
        <w:rPr>
          <w:spacing w:val="-5"/>
        </w:rPr>
        <w:t> </w:t>
      </w:r>
      <w:r>
        <w:rPr/>
        <w:t>limited</w:t>
      </w:r>
      <w:r>
        <w:rPr>
          <w:spacing w:val="-8"/>
        </w:rPr>
        <w:t> </w:t>
      </w:r>
      <w:r>
        <w:rPr/>
        <w:t>access</w:t>
      </w:r>
      <w:r>
        <w:rPr>
          <w:spacing w:val="-5"/>
        </w:rPr>
        <w:t> </w:t>
      </w:r>
      <w:r>
        <w:rPr/>
        <w:t>to</w:t>
      </w:r>
      <w:r>
        <w:rPr>
          <w:spacing w:val="-5"/>
        </w:rPr>
        <w:t> </w:t>
      </w:r>
      <w:r>
        <w:rPr/>
        <w:t>primary care locally, and residents are also forced to travel long distances for specialty care. Addifional barriers</w:t>
      </w:r>
    </w:p>
    <w:p>
      <w:pPr>
        <w:pStyle w:val="BodyText"/>
        <w:spacing w:after="0" w:line="259" w:lineRule="auto"/>
        <w:sectPr>
          <w:type w:val="continuous"/>
          <w:pgSz w:w="12240" w:h="15840"/>
          <w:pgMar w:header="161" w:footer="1223" w:top="1360" w:bottom="1420" w:left="0" w:right="0"/>
        </w:sectPr>
      </w:pPr>
    </w:p>
    <w:p>
      <w:pPr>
        <w:pStyle w:val="BodyText"/>
        <w:spacing w:before="64"/>
      </w:pPr>
      <w:r>
        <w:rPr/>
        <w:t>include</w:t>
      </w:r>
      <w:r>
        <w:rPr>
          <w:spacing w:val="-5"/>
        </w:rPr>
        <w:t> </w:t>
      </w:r>
      <w:r>
        <w:rPr/>
        <w:t>high</w:t>
      </w:r>
      <w:r>
        <w:rPr>
          <w:spacing w:val="-6"/>
        </w:rPr>
        <w:t> </w:t>
      </w:r>
      <w:r>
        <w:rPr/>
        <w:t>medical</w:t>
      </w:r>
      <w:r>
        <w:rPr>
          <w:spacing w:val="-5"/>
        </w:rPr>
        <w:t> </w:t>
      </w:r>
      <w:r>
        <w:rPr/>
        <w:t>costs,</w:t>
      </w:r>
      <w:r>
        <w:rPr>
          <w:spacing w:val="-7"/>
        </w:rPr>
        <w:t> </w:t>
      </w:r>
      <w:r>
        <w:rPr/>
        <w:t>insurance</w:t>
      </w:r>
      <w:r>
        <w:rPr>
          <w:spacing w:val="-5"/>
        </w:rPr>
        <w:t> </w:t>
      </w:r>
      <w:r>
        <w:rPr/>
        <w:t>limitafions,</w:t>
      </w:r>
      <w:r>
        <w:rPr>
          <w:spacing w:val="-7"/>
        </w:rPr>
        <w:t> </w:t>
      </w:r>
      <w:r>
        <w:rPr/>
        <w:t>scheduling</w:t>
      </w:r>
      <w:r>
        <w:rPr>
          <w:spacing w:val="-5"/>
        </w:rPr>
        <w:t> </w:t>
      </w:r>
      <w:r>
        <w:rPr/>
        <w:t>diﬃculfies,</w:t>
      </w:r>
      <w:r>
        <w:rPr>
          <w:spacing w:val="-5"/>
        </w:rPr>
        <w:t> </w:t>
      </w:r>
      <w:r>
        <w:rPr/>
        <w:t>lack</w:t>
      </w:r>
      <w:r>
        <w:rPr>
          <w:spacing w:val="-7"/>
        </w:rPr>
        <w:t> </w:t>
      </w:r>
      <w:r>
        <w:rPr/>
        <w:t>of</w:t>
      </w:r>
      <w:r>
        <w:rPr>
          <w:spacing w:val="-5"/>
        </w:rPr>
        <w:t> </w:t>
      </w:r>
      <w:r>
        <w:rPr/>
        <w:t>transportafion,</w:t>
      </w:r>
      <w:r>
        <w:rPr>
          <w:spacing w:val="-5"/>
        </w:rPr>
        <w:t> </w:t>
      </w:r>
      <w:r>
        <w:rPr/>
        <w:t>and</w:t>
      </w:r>
      <w:r>
        <w:rPr>
          <w:spacing w:val="-6"/>
        </w:rPr>
        <w:t> </w:t>
      </w:r>
      <w:r>
        <w:rPr>
          <w:spacing w:val="-4"/>
        </w:rPr>
        <w:t>poor</w:t>
      </w:r>
    </w:p>
    <w:p>
      <w:pPr>
        <w:pStyle w:val="BodyText"/>
        <w:spacing w:before="22"/>
      </w:pPr>
      <w:r>
        <w:rPr/>
        <w:t>broadband</w:t>
      </w:r>
      <w:r>
        <w:rPr>
          <w:spacing w:val="-9"/>
        </w:rPr>
        <w:t> </w:t>
      </w:r>
      <w:r>
        <w:rPr>
          <w:spacing w:val="-2"/>
        </w:rPr>
        <w:t>access.</w:t>
      </w:r>
    </w:p>
    <w:p>
      <w:pPr>
        <w:pStyle w:val="BodyText"/>
        <w:spacing w:before="180"/>
      </w:pPr>
      <w:r>
        <w:rPr/>
        <w:t>Increasing</w:t>
      </w:r>
      <w:r>
        <w:rPr>
          <w:spacing w:val="-6"/>
        </w:rPr>
        <w:t> </w:t>
      </w:r>
      <w:r>
        <w:rPr/>
        <w:t>access</w:t>
      </w:r>
      <w:r>
        <w:rPr>
          <w:spacing w:val="-5"/>
        </w:rPr>
        <w:t> </w:t>
      </w:r>
      <w:r>
        <w:rPr/>
        <w:t>to</w:t>
      </w:r>
      <w:r>
        <w:rPr>
          <w:spacing w:val="-5"/>
        </w:rPr>
        <w:t> </w:t>
      </w:r>
      <w:r>
        <w:rPr/>
        <w:t>care</w:t>
      </w:r>
      <w:r>
        <w:rPr>
          <w:spacing w:val="-6"/>
        </w:rPr>
        <w:t> </w:t>
      </w:r>
      <w:r>
        <w:rPr/>
        <w:t>through</w:t>
      </w:r>
      <w:r>
        <w:rPr>
          <w:spacing w:val="-6"/>
        </w:rPr>
        <w:t> </w:t>
      </w:r>
      <w:r>
        <w:rPr/>
        <w:t>creafive</w:t>
      </w:r>
      <w:r>
        <w:rPr>
          <w:spacing w:val="-5"/>
        </w:rPr>
        <w:t> </w:t>
      </w:r>
      <w:r>
        <w:rPr/>
        <w:t>community</w:t>
      </w:r>
      <w:r>
        <w:rPr>
          <w:spacing w:val="-9"/>
        </w:rPr>
        <w:t> </w:t>
      </w:r>
      <w:r>
        <w:rPr/>
        <w:t>solufions</w:t>
      </w:r>
      <w:r>
        <w:rPr>
          <w:spacing w:val="-7"/>
        </w:rPr>
        <w:t> </w:t>
      </w:r>
      <w:r>
        <w:rPr/>
        <w:t>and</w:t>
      </w:r>
      <w:r>
        <w:rPr>
          <w:spacing w:val="-6"/>
        </w:rPr>
        <w:t> </w:t>
      </w:r>
      <w:r>
        <w:rPr/>
        <w:t>partnerships</w:t>
      </w:r>
      <w:r>
        <w:rPr>
          <w:spacing w:val="-7"/>
        </w:rPr>
        <w:t> </w:t>
      </w:r>
      <w:r>
        <w:rPr/>
        <w:t>can</w:t>
      </w:r>
      <w:r>
        <w:rPr>
          <w:spacing w:val="-6"/>
        </w:rPr>
        <w:t> </w:t>
      </w:r>
      <w:r>
        <w:rPr/>
        <w:t>reduce</w:t>
      </w:r>
      <w:r>
        <w:rPr>
          <w:spacing w:val="-8"/>
        </w:rPr>
        <w:t> </w:t>
      </w:r>
      <w:r>
        <w:rPr/>
        <w:t>the</w:t>
      </w:r>
      <w:r>
        <w:rPr>
          <w:spacing w:val="-4"/>
        </w:rPr>
        <w:t> </w:t>
      </w:r>
      <w:r>
        <w:rPr>
          <w:spacing w:val="-2"/>
        </w:rPr>
        <w:t>burden</w:t>
      </w:r>
    </w:p>
    <w:p>
      <w:pPr>
        <w:pStyle w:val="BodyText"/>
        <w:spacing w:before="22"/>
      </w:pPr>
      <w:r>
        <w:rPr/>
        <w:t>of</w:t>
      </w:r>
      <w:r>
        <w:rPr>
          <w:spacing w:val="-2"/>
        </w:rPr>
        <w:t> </w:t>
      </w:r>
      <w:r>
        <w:rPr/>
        <w:t>chronic</w:t>
      </w:r>
      <w:r>
        <w:rPr>
          <w:spacing w:val="-4"/>
        </w:rPr>
        <w:t> </w:t>
      </w:r>
      <w:r>
        <w:rPr/>
        <w:t>disease</w:t>
      </w:r>
      <w:r>
        <w:rPr>
          <w:spacing w:val="-4"/>
        </w:rPr>
        <w:t> </w:t>
      </w:r>
      <w:r>
        <w:rPr/>
        <w:t>in</w:t>
      </w:r>
      <w:r>
        <w:rPr>
          <w:spacing w:val="-3"/>
        </w:rPr>
        <w:t> </w:t>
      </w:r>
      <w:r>
        <w:rPr/>
        <w:t>the</w:t>
      </w:r>
      <w:r>
        <w:rPr>
          <w:spacing w:val="-3"/>
        </w:rPr>
        <w:t> </w:t>
      </w:r>
      <w:r>
        <w:rPr>
          <w:spacing w:val="-2"/>
        </w:rPr>
        <w:t>community.</w:t>
      </w:r>
    </w:p>
    <w:p>
      <w:pPr>
        <w:pStyle w:val="BodyText"/>
        <w:spacing w:before="9"/>
        <w:ind w:left="0"/>
        <w:rPr>
          <w:sz w:val="16"/>
        </w:rPr>
      </w:pPr>
    </w:p>
    <w:p>
      <w:pPr>
        <w:spacing w:line="20" w:lineRule="exact"/>
        <w:ind w:left="5589" w:right="0" w:firstLine="0"/>
        <w:rPr>
          <w:sz w:val="2"/>
        </w:rPr>
      </w:pPr>
      <w:r>
        <w:rPr>
          <w:sz w:val="2"/>
        </w:rPr>
        <mc:AlternateContent>
          <mc:Choice Requires="wps">
            <w:drawing>
              <wp:inline distT="0" distB="0" distL="0" distR="0">
                <wp:extent cx="3179445" cy="38100"/>
                <wp:effectExtent l="19050" t="9525" r="11430" b="19050"/>
                <wp:docPr id="146" name="Group 146"/>
                <wp:cNvGraphicFramePr>
                  <a:graphicFrameLocks/>
                </wp:cNvGraphicFramePr>
                <a:graphic>
                  <a:graphicData uri="http://schemas.microsoft.com/office/word/2010/wordprocessingGroup">
                    <wpg:wgp>
                      <wpg:cNvPr id="146" name="Group 146"/>
                      <wpg:cNvGrpSpPr/>
                      <wpg:grpSpPr>
                        <a:xfrm>
                          <a:off x="0" y="0"/>
                          <a:ext cx="3179445" cy="38100"/>
                          <a:chExt cx="3179445" cy="38100"/>
                        </a:xfrm>
                      </wpg:grpSpPr>
                      <wps:wsp>
                        <wps:cNvPr id="147" name="Graphic 147"/>
                        <wps:cNvSpPr/>
                        <wps:spPr>
                          <a:xfrm>
                            <a:off x="14477" y="14477"/>
                            <a:ext cx="3150235" cy="9525"/>
                          </a:xfrm>
                          <a:custGeom>
                            <a:avLst/>
                            <a:gdLst/>
                            <a:ahLst/>
                            <a:cxnLst/>
                            <a:rect l="l" t="t" r="r" b="b"/>
                            <a:pathLst>
                              <a:path w="3150235" h="9525">
                                <a:moveTo>
                                  <a:pt x="0" y="0"/>
                                </a:moveTo>
                                <a:lnTo>
                                  <a:pt x="3149980" y="9017"/>
                                </a:lnTo>
                              </a:path>
                            </a:pathLst>
                          </a:custGeom>
                          <a:ln w="28954">
                            <a:solidFill>
                              <a:srgbClr val="145F82"/>
                            </a:solidFill>
                            <a:prstDash val="solid"/>
                          </a:ln>
                        </wps:spPr>
                        <wps:bodyPr wrap="square" lIns="0" tIns="0" rIns="0" bIns="0" rtlCol="0">
                          <a:prstTxWarp prst="textNoShape">
                            <a:avLst/>
                          </a:prstTxWarp>
                          <a:noAutofit/>
                        </wps:bodyPr>
                      </wps:wsp>
                    </wpg:wgp>
                  </a:graphicData>
                </a:graphic>
              </wp:inline>
            </w:drawing>
          </mc:Choice>
          <mc:Fallback>
            <w:pict>
              <v:group style="width:250.35pt;height:3pt;mso-position-horizontal-relative:char;mso-position-vertical-relative:line" id="docshapegroup106" coordorigin="0,0" coordsize="5007,60">
                <v:line style="position:absolute" from="23,23" to="4983,37" stroked="true" strokeweight="2.2799pt" strokecolor="#145f82">
                  <v:stroke dashstyle="solid"/>
                </v:line>
              </v:group>
            </w:pict>
          </mc:Fallback>
        </mc:AlternateContent>
      </w:r>
      <w:r>
        <w:rPr>
          <w:sz w:val="2"/>
        </w:rPr>
      </w:r>
    </w:p>
    <w:p>
      <w:pPr>
        <w:spacing w:after="0" w:line="20" w:lineRule="exact"/>
        <w:rPr>
          <w:sz w:val="2"/>
        </w:rPr>
        <w:sectPr>
          <w:pgSz w:w="12240" w:h="15840"/>
          <w:pgMar w:header="161" w:footer="1223" w:top="1360" w:bottom="1420" w:left="0" w:right="0"/>
        </w:sectPr>
      </w:pPr>
    </w:p>
    <w:p>
      <w:pPr>
        <w:pStyle w:val="Heading1"/>
        <w:spacing w:line="297" w:lineRule="exact"/>
      </w:pPr>
      <w:r>
        <w:rPr/>
        <w:t>Anxiety</w:t>
      </w:r>
      <w:r>
        <w:rPr>
          <w:spacing w:val="-7"/>
        </w:rPr>
        <w:t> </w:t>
      </w:r>
      <w:r>
        <w:rPr/>
        <w:t>and</w:t>
      </w:r>
      <w:r>
        <w:rPr>
          <w:spacing w:val="-4"/>
        </w:rPr>
        <w:t> </w:t>
      </w:r>
      <w:r>
        <w:rPr>
          <w:spacing w:val="-2"/>
        </w:rPr>
        <w:t>Stress</w:t>
      </w:r>
    </w:p>
    <w:p>
      <w:pPr>
        <w:pStyle w:val="BodyText"/>
        <w:spacing w:line="259" w:lineRule="auto" w:before="188"/>
      </w:pPr>
      <w:r>
        <w:rPr/>
        <w:t>Mental</w:t>
      </w:r>
      <w:r>
        <w:rPr>
          <w:spacing w:val="-7"/>
        </w:rPr>
        <w:t> </w:t>
      </w:r>
      <w:r>
        <w:rPr/>
        <w:t>health</w:t>
      </w:r>
      <w:r>
        <w:rPr>
          <w:spacing w:val="-10"/>
        </w:rPr>
        <w:t> </w:t>
      </w:r>
      <w:r>
        <w:rPr/>
        <w:t>was</w:t>
      </w:r>
      <w:r>
        <w:rPr>
          <w:spacing w:val="-6"/>
        </w:rPr>
        <w:t> </w:t>
      </w:r>
      <w:r>
        <w:rPr/>
        <w:t>noted</w:t>
      </w:r>
      <w:r>
        <w:rPr>
          <w:spacing w:val="-8"/>
        </w:rPr>
        <w:t> </w:t>
      </w:r>
      <w:r>
        <w:rPr/>
        <w:t>as</w:t>
      </w:r>
      <w:r>
        <w:rPr>
          <w:spacing w:val="-7"/>
        </w:rPr>
        <w:t> </w:t>
      </w:r>
      <w:r>
        <w:rPr/>
        <w:t>a</w:t>
      </w:r>
      <w:r>
        <w:rPr>
          <w:spacing w:val="-9"/>
        </w:rPr>
        <w:t> </w:t>
      </w:r>
      <w:r>
        <w:rPr/>
        <w:t>major issue across all focus groups. Youth cited bullying and cyberbullying as</w:t>
      </w:r>
    </w:p>
    <w:p>
      <w:pPr>
        <w:spacing w:before="147"/>
        <w:ind w:left="0" w:right="796" w:firstLine="0"/>
        <w:jc w:val="center"/>
        <w:rPr>
          <w:i/>
          <w:sz w:val="22"/>
        </w:rPr>
      </w:pPr>
      <w:r>
        <w:rPr/>
        <w:br w:type="column"/>
      </w:r>
      <w:r>
        <w:rPr>
          <w:i/>
          <w:color w:val="145F82"/>
          <w:sz w:val="22"/>
        </w:rPr>
        <w:t>"Older</w:t>
      </w:r>
      <w:r>
        <w:rPr>
          <w:i/>
          <w:color w:val="145F82"/>
          <w:spacing w:val="-2"/>
          <w:sz w:val="22"/>
        </w:rPr>
        <w:t> </w:t>
      </w:r>
      <w:r>
        <w:rPr>
          <w:i/>
          <w:color w:val="145F82"/>
          <w:sz w:val="22"/>
        </w:rPr>
        <w:t>people</w:t>
      </w:r>
      <w:r>
        <w:rPr>
          <w:i/>
          <w:color w:val="145F82"/>
          <w:spacing w:val="-5"/>
          <w:sz w:val="22"/>
        </w:rPr>
        <w:t> </w:t>
      </w:r>
      <w:r>
        <w:rPr>
          <w:i/>
          <w:color w:val="145F82"/>
          <w:sz w:val="22"/>
        </w:rPr>
        <w:t>sfill</w:t>
      </w:r>
      <w:r>
        <w:rPr>
          <w:i/>
          <w:color w:val="145F82"/>
          <w:spacing w:val="-3"/>
          <w:sz w:val="22"/>
        </w:rPr>
        <w:t> </w:t>
      </w:r>
      <w:r>
        <w:rPr>
          <w:i/>
          <w:color w:val="145F82"/>
          <w:sz w:val="22"/>
        </w:rPr>
        <w:t>have</w:t>
      </w:r>
      <w:r>
        <w:rPr>
          <w:i/>
          <w:color w:val="145F82"/>
          <w:spacing w:val="-5"/>
          <w:sz w:val="22"/>
        </w:rPr>
        <w:t> </w:t>
      </w:r>
      <w:r>
        <w:rPr>
          <w:i/>
          <w:color w:val="145F82"/>
          <w:sz w:val="22"/>
        </w:rPr>
        <w:t>skills</w:t>
      </w:r>
      <w:r>
        <w:rPr>
          <w:i/>
          <w:color w:val="145F82"/>
          <w:spacing w:val="-1"/>
          <w:sz w:val="22"/>
        </w:rPr>
        <w:t> </w:t>
      </w:r>
      <w:r>
        <w:rPr>
          <w:i/>
          <w:color w:val="145F82"/>
          <w:sz w:val="22"/>
        </w:rPr>
        <w:t>to</w:t>
      </w:r>
      <w:r>
        <w:rPr>
          <w:i/>
          <w:color w:val="145F82"/>
          <w:spacing w:val="-3"/>
          <w:sz w:val="22"/>
        </w:rPr>
        <w:t> </w:t>
      </w:r>
      <w:r>
        <w:rPr>
          <w:i/>
          <w:color w:val="145F82"/>
          <w:sz w:val="22"/>
        </w:rPr>
        <w:t>be</w:t>
      </w:r>
      <w:r>
        <w:rPr>
          <w:i/>
          <w:color w:val="145F82"/>
          <w:spacing w:val="-5"/>
          <w:sz w:val="22"/>
        </w:rPr>
        <w:t> </w:t>
      </w:r>
      <w:r>
        <w:rPr>
          <w:i/>
          <w:color w:val="145F82"/>
          <w:sz w:val="22"/>
        </w:rPr>
        <w:t>useful</w:t>
      </w:r>
      <w:r>
        <w:rPr>
          <w:i/>
          <w:color w:val="145F82"/>
          <w:spacing w:val="-3"/>
          <w:sz w:val="22"/>
        </w:rPr>
        <w:t> </w:t>
      </w:r>
      <w:r>
        <w:rPr>
          <w:i/>
          <w:color w:val="145F82"/>
          <w:sz w:val="22"/>
        </w:rPr>
        <w:t>and</w:t>
      </w:r>
      <w:r>
        <w:rPr>
          <w:i/>
          <w:color w:val="145F82"/>
          <w:spacing w:val="-5"/>
          <w:sz w:val="22"/>
        </w:rPr>
        <w:t> </w:t>
      </w:r>
      <w:r>
        <w:rPr>
          <w:i/>
          <w:color w:val="145F82"/>
          <w:sz w:val="22"/>
        </w:rPr>
        <w:t>want</w:t>
      </w:r>
      <w:r>
        <w:rPr>
          <w:i/>
          <w:color w:val="145F82"/>
          <w:spacing w:val="-3"/>
          <w:sz w:val="22"/>
        </w:rPr>
        <w:t> </w:t>
      </w:r>
      <w:r>
        <w:rPr>
          <w:i/>
          <w:color w:val="145F82"/>
          <w:sz w:val="22"/>
        </w:rPr>
        <w:t>to</w:t>
      </w:r>
      <w:r>
        <w:rPr>
          <w:i/>
          <w:color w:val="145F82"/>
          <w:spacing w:val="-6"/>
          <w:sz w:val="22"/>
        </w:rPr>
        <w:t> </w:t>
      </w:r>
      <w:r>
        <w:rPr>
          <w:i/>
          <w:color w:val="145F82"/>
          <w:spacing w:val="-5"/>
          <w:sz w:val="22"/>
        </w:rPr>
        <w:t>be"</w:t>
      </w:r>
    </w:p>
    <w:p>
      <w:pPr>
        <w:spacing w:before="202"/>
        <w:ind w:left="33" w:right="796" w:firstLine="0"/>
        <w:jc w:val="center"/>
        <w:rPr>
          <w:i/>
          <w:sz w:val="20"/>
        </w:rPr>
      </w:pPr>
      <w:r>
        <w:rPr>
          <w:i/>
          <w:color w:val="145F82"/>
          <w:spacing w:val="-2"/>
          <w:sz w:val="20"/>
        </w:rPr>
        <w:t>-YCC</w:t>
      </w:r>
      <w:r>
        <w:rPr>
          <w:i/>
          <w:color w:val="145F82"/>
          <w:spacing w:val="-4"/>
          <w:sz w:val="20"/>
        </w:rPr>
        <w:t> </w:t>
      </w:r>
      <w:r>
        <w:rPr>
          <w:i/>
          <w:color w:val="145F82"/>
          <w:spacing w:val="-2"/>
          <w:sz w:val="20"/>
        </w:rPr>
        <w:t>Focus</w:t>
      </w:r>
      <w:r>
        <w:rPr>
          <w:i/>
          <w:color w:val="145F82"/>
          <w:spacing w:val="-3"/>
          <w:sz w:val="20"/>
        </w:rPr>
        <w:t> </w:t>
      </w:r>
      <w:r>
        <w:rPr>
          <w:i/>
          <w:color w:val="145F82"/>
          <w:spacing w:val="-2"/>
          <w:sz w:val="20"/>
        </w:rPr>
        <w:t>Group</w:t>
      </w:r>
      <w:r>
        <w:rPr>
          <w:i/>
          <w:color w:val="145F82"/>
          <w:spacing w:val="-3"/>
          <w:sz w:val="20"/>
        </w:rPr>
        <w:t> </w:t>
      </w:r>
      <w:r>
        <w:rPr>
          <w:i/>
          <w:color w:val="145F82"/>
          <w:spacing w:val="-2"/>
          <w:sz w:val="20"/>
        </w:rPr>
        <w:t>Parficipant</w:t>
      </w:r>
    </w:p>
    <w:p>
      <w:pPr>
        <w:pStyle w:val="BodyText"/>
        <w:spacing w:before="4"/>
        <w:ind w:left="0"/>
        <w:rPr>
          <w:i/>
          <w:sz w:val="9"/>
        </w:rPr>
      </w:pPr>
      <w:r>
        <w:rPr>
          <w:i/>
          <w:sz w:val="9"/>
        </w:rPr>
        <mc:AlternateContent>
          <mc:Choice Requires="wps">
            <w:drawing>
              <wp:anchor distT="0" distB="0" distL="0" distR="0" allowOverlap="1" layoutInCell="1" locked="0" behindDoc="1" simplePos="0" relativeHeight="487613952">
                <wp:simplePos x="0" y="0"/>
                <wp:positionH relativeFrom="page">
                  <wp:posOffset>3549396</wp:posOffset>
                </wp:positionH>
                <wp:positionV relativeFrom="paragraph">
                  <wp:posOffset>87823</wp:posOffset>
                </wp:positionV>
                <wp:extent cx="3150235" cy="10795"/>
                <wp:effectExtent l="0" t="0" r="0" b="0"/>
                <wp:wrapTopAndBottom/>
                <wp:docPr id="148" name="Graphic 148"/>
                <wp:cNvGraphicFramePr>
                  <a:graphicFrameLocks/>
                </wp:cNvGraphicFramePr>
                <a:graphic>
                  <a:graphicData uri="http://schemas.microsoft.com/office/word/2010/wordprocessingShape">
                    <wps:wsp>
                      <wps:cNvPr id="148" name="Graphic 148"/>
                      <wps:cNvSpPr/>
                      <wps:spPr>
                        <a:xfrm>
                          <a:off x="0" y="0"/>
                          <a:ext cx="3150235" cy="10795"/>
                        </a:xfrm>
                        <a:custGeom>
                          <a:avLst/>
                          <a:gdLst/>
                          <a:ahLst/>
                          <a:cxnLst/>
                          <a:rect l="l" t="t" r="r" b="b"/>
                          <a:pathLst>
                            <a:path w="3150235" h="10795">
                              <a:moveTo>
                                <a:pt x="0" y="0"/>
                              </a:moveTo>
                              <a:lnTo>
                                <a:pt x="3149980" y="10541"/>
                              </a:lnTo>
                            </a:path>
                          </a:pathLst>
                        </a:custGeom>
                        <a:ln w="28954">
                          <a:solidFill>
                            <a:srgbClr val="145F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02528;mso-wrap-distance-left:0;mso-wrap-distance-right:0" from="279.480011pt,6.915235pt" to="527.509991pt,7.745235pt" stroked="true" strokeweight="2.2799pt" strokecolor="#145f82">
                <v:stroke dashstyle="solid"/>
                <w10:wrap type="topAndBottom"/>
              </v:line>
            </w:pict>
          </mc:Fallback>
        </mc:AlternateContent>
      </w:r>
    </w:p>
    <w:p>
      <w:pPr>
        <w:pStyle w:val="BodyText"/>
        <w:spacing w:after="0"/>
        <w:rPr>
          <w:i/>
          <w:sz w:val="9"/>
        </w:rPr>
        <w:sectPr>
          <w:type w:val="continuous"/>
          <w:pgSz w:w="12240" w:h="15840"/>
          <w:pgMar w:header="161" w:footer="1223" w:top="1360" w:bottom="1420" w:left="0" w:right="0"/>
          <w:cols w:num="2" w:equalWidth="0">
            <w:col w:w="4649" w:space="40"/>
            <w:col w:w="7551"/>
          </w:cols>
        </w:sectPr>
      </w:pPr>
    </w:p>
    <w:p>
      <w:pPr>
        <w:pStyle w:val="BodyText"/>
        <w:spacing w:line="259" w:lineRule="auto"/>
        <w:ind w:right="1733"/>
        <w:jc w:val="both"/>
      </w:pPr>
      <w:r>
        <w:rPr/>
        <w:t>factors</w:t>
      </w:r>
      <w:r>
        <w:rPr>
          <w:spacing w:val="-5"/>
        </w:rPr>
        <w:t> </w:t>
      </w:r>
      <w:r>
        <w:rPr/>
        <w:t>inﬂuencing</w:t>
      </w:r>
      <w:r>
        <w:rPr>
          <w:spacing w:val="-8"/>
        </w:rPr>
        <w:t> </w:t>
      </w:r>
      <w:r>
        <w:rPr/>
        <w:t>mental</w:t>
      </w:r>
      <w:r>
        <w:rPr>
          <w:spacing w:val="-10"/>
        </w:rPr>
        <w:t> </w:t>
      </w:r>
      <w:r>
        <w:rPr/>
        <w:t>health</w:t>
      </w:r>
      <w:r>
        <w:rPr>
          <w:spacing w:val="-6"/>
        </w:rPr>
        <w:t> </w:t>
      </w:r>
      <w:r>
        <w:rPr/>
        <w:t>while</w:t>
      </w:r>
      <w:r>
        <w:rPr>
          <w:spacing w:val="-7"/>
        </w:rPr>
        <w:t> </w:t>
      </w:r>
      <w:r>
        <w:rPr/>
        <w:t>older</w:t>
      </w:r>
      <w:r>
        <w:rPr>
          <w:spacing w:val="-7"/>
        </w:rPr>
        <w:t> </w:t>
      </w:r>
      <w:r>
        <w:rPr/>
        <w:t>adults</w:t>
      </w:r>
      <w:r>
        <w:rPr>
          <w:spacing w:val="-5"/>
        </w:rPr>
        <w:t> </w:t>
      </w:r>
      <w:r>
        <w:rPr/>
        <w:t>noted</w:t>
      </w:r>
      <w:r>
        <w:rPr>
          <w:spacing w:val="-6"/>
        </w:rPr>
        <w:t> </w:t>
      </w:r>
      <w:r>
        <w:rPr/>
        <w:t>isolafion</w:t>
      </w:r>
      <w:r>
        <w:rPr>
          <w:spacing w:val="-6"/>
        </w:rPr>
        <w:t> </w:t>
      </w:r>
      <w:r>
        <w:rPr/>
        <w:t>as</w:t>
      </w:r>
      <w:r>
        <w:rPr>
          <w:spacing w:val="-5"/>
        </w:rPr>
        <w:t> </w:t>
      </w:r>
      <w:r>
        <w:rPr/>
        <w:t>a</w:t>
      </w:r>
      <w:r>
        <w:rPr>
          <w:spacing w:val="-7"/>
        </w:rPr>
        <w:t> </w:t>
      </w:r>
      <w:r>
        <w:rPr/>
        <w:t>key</w:t>
      </w:r>
      <w:r>
        <w:rPr>
          <w:spacing w:val="-6"/>
        </w:rPr>
        <w:t> </w:t>
      </w:r>
      <w:r>
        <w:rPr/>
        <w:t>contributor.</w:t>
      </w:r>
      <w:r>
        <w:rPr>
          <w:spacing w:val="-5"/>
        </w:rPr>
        <w:t> </w:t>
      </w:r>
      <w:r>
        <w:rPr/>
        <w:t>A</w:t>
      </w:r>
      <w:r>
        <w:rPr>
          <w:spacing w:val="-5"/>
        </w:rPr>
        <w:t> </w:t>
      </w:r>
      <w:r>
        <w:rPr/>
        <w:t>shortage</w:t>
      </w:r>
      <w:r>
        <w:rPr>
          <w:spacing w:val="-6"/>
        </w:rPr>
        <w:t> </w:t>
      </w:r>
      <w:r>
        <w:rPr/>
        <w:t>of mental</w:t>
      </w:r>
      <w:r>
        <w:rPr>
          <w:spacing w:val="-5"/>
        </w:rPr>
        <w:t> </w:t>
      </w:r>
      <w:r>
        <w:rPr/>
        <w:t>health</w:t>
      </w:r>
      <w:r>
        <w:rPr>
          <w:spacing w:val="-3"/>
        </w:rPr>
        <w:t> </w:t>
      </w:r>
      <w:r>
        <w:rPr/>
        <w:t>providers</w:t>
      </w:r>
      <w:r>
        <w:rPr>
          <w:spacing w:val="-4"/>
        </w:rPr>
        <w:t> </w:t>
      </w:r>
      <w:r>
        <w:rPr/>
        <w:t>and</w:t>
      </w:r>
      <w:r>
        <w:rPr>
          <w:spacing w:val="-3"/>
        </w:rPr>
        <w:t> </w:t>
      </w:r>
      <w:r>
        <w:rPr/>
        <w:t>ongoing</w:t>
      </w:r>
      <w:r>
        <w:rPr>
          <w:spacing w:val="-2"/>
        </w:rPr>
        <w:t> </w:t>
      </w:r>
      <w:r>
        <w:rPr/>
        <w:t>barriers</w:t>
      </w:r>
      <w:r>
        <w:rPr>
          <w:spacing w:val="-2"/>
        </w:rPr>
        <w:t> </w:t>
      </w:r>
      <w:r>
        <w:rPr/>
        <w:t>to seeking</w:t>
      </w:r>
      <w:r>
        <w:rPr>
          <w:spacing w:val="-2"/>
        </w:rPr>
        <w:t> </w:t>
      </w:r>
      <w:r>
        <w:rPr/>
        <w:t>help,</w:t>
      </w:r>
      <w:r>
        <w:rPr>
          <w:spacing w:val="-2"/>
        </w:rPr>
        <w:t> </w:t>
      </w:r>
      <w:r>
        <w:rPr/>
        <w:t>especially</w:t>
      </w:r>
      <w:r>
        <w:rPr>
          <w:spacing w:val="-1"/>
        </w:rPr>
        <w:t> </w:t>
      </w:r>
      <w:r>
        <w:rPr/>
        <w:t>for</w:t>
      </w:r>
      <w:r>
        <w:rPr>
          <w:spacing w:val="-4"/>
        </w:rPr>
        <w:t> </w:t>
      </w:r>
      <w:r>
        <w:rPr/>
        <w:t>marginalized</w:t>
      </w:r>
      <w:r>
        <w:rPr>
          <w:spacing w:val="-3"/>
        </w:rPr>
        <w:t> </w:t>
      </w:r>
      <w:r>
        <w:rPr/>
        <w:t>groups,</w:t>
      </w:r>
      <w:r>
        <w:rPr>
          <w:spacing w:val="-2"/>
        </w:rPr>
        <w:t> </w:t>
      </w:r>
      <w:r>
        <w:rPr/>
        <w:t>was cited as cause for concern.</w:t>
      </w:r>
    </w:p>
    <w:p>
      <w:pPr>
        <w:pStyle w:val="BodyText"/>
        <w:spacing w:line="259" w:lineRule="auto" w:before="158"/>
        <w:ind w:right="1467"/>
      </w:pPr>
      <w:r>
        <w:rPr/>
        <w:t>Declining</w:t>
      </w:r>
      <w:r>
        <w:rPr>
          <w:spacing w:val="-7"/>
        </w:rPr>
        <w:t> </w:t>
      </w:r>
      <w:r>
        <w:rPr/>
        <w:t>mental</w:t>
      </w:r>
      <w:r>
        <w:rPr>
          <w:spacing w:val="-4"/>
        </w:rPr>
        <w:t> </w:t>
      </w:r>
      <w:r>
        <w:rPr/>
        <w:t>health</w:t>
      </w:r>
      <w:r>
        <w:rPr>
          <w:spacing w:val="-5"/>
        </w:rPr>
        <w:t> </w:t>
      </w:r>
      <w:r>
        <w:rPr/>
        <w:t>can</w:t>
      </w:r>
      <w:r>
        <w:rPr>
          <w:spacing w:val="-5"/>
        </w:rPr>
        <w:t> </w:t>
      </w:r>
      <w:r>
        <w:rPr/>
        <w:t>signal</w:t>
      </w:r>
      <w:r>
        <w:rPr>
          <w:spacing w:val="-4"/>
        </w:rPr>
        <w:t> </w:t>
      </w:r>
      <w:r>
        <w:rPr/>
        <w:t>underlying</w:t>
      </w:r>
      <w:r>
        <w:rPr>
          <w:spacing w:val="-5"/>
        </w:rPr>
        <w:t> </w:t>
      </w:r>
      <w:r>
        <w:rPr/>
        <w:t>concerns</w:t>
      </w:r>
      <w:r>
        <w:rPr>
          <w:spacing w:val="-4"/>
        </w:rPr>
        <w:t> </w:t>
      </w:r>
      <w:r>
        <w:rPr/>
        <w:t>around</w:t>
      </w:r>
      <w:r>
        <w:rPr>
          <w:spacing w:val="-4"/>
        </w:rPr>
        <w:t> </w:t>
      </w:r>
      <w:r>
        <w:rPr/>
        <w:t>rising</w:t>
      </w:r>
      <w:r>
        <w:rPr>
          <w:spacing w:val="-4"/>
        </w:rPr>
        <w:t> </w:t>
      </w:r>
      <w:r>
        <w:rPr/>
        <w:t>stress,</w:t>
      </w:r>
      <w:r>
        <w:rPr>
          <w:spacing w:val="-3"/>
        </w:rPr>
        <w:t> </w:t>
      </w:r>
      <w:r>
        <w:rPr/>
        <w:t>depression,</w:t>
      </w:r>
      <w:r>
        <w:rPr>
          <w:spacing w:val="-6"/>
        </w:rPr>
        <w:t> </w:t>
      </w:r>
      <w:r>
        <w:rPr/>
        <w:t>or</w:t>
      </w:r>
      <w:r>
        <w:rPr>
          <w:spacing w:val="-7"/>
        </w:rPr>
        <w:t> </w:t>
      </w:r>
      <w:r>
        <w:rPr/>
        <w:t>anxiety</w:t>
      </w:r>
      <w:r>
        <w:rPr>
          <w:spacing w:val="-3"/>
        </w:rPr>
        <w:t> </w:t>
      </w:r>
      <w:r>
        <w:rPr/>
        <w:t>in</w:t>
      </w:r>
      <w:r>
        <w:rPr>
          <w:spacing w:val="-7"/>
        </w:rPr>
        <w:t> </w:t>
      </w:r>
      <w:r>
        <w:rPr/>
        <w:t>the community. This may lead to higher rates of chronic disease, substance use, reduced producfivity, and greater demand for mental health and medical services.</w:t>
      </w:r>
    </w:p>
    <w:p>
      <w:pPr>
        <w:pStyle w:val="BodyText"/>
        <w:spacing w:line="256" w:lineRule="auto" w:before="163"/>
        <w:ind w:right="1467"/>
        <w:rPr>
          <w:rFonts w:ascii="Arial"/>
        </w:rPr>
      </w:pPr>
      <w:r>
        <w:rPr>
          <w:rFonts w:ascii="Arial"/>
        </w:rPr>
        <w:t>Building</w:t>
      </w:r>
      <w:r>
        <w:rPr>
          <w:rFonts w:ascii="Arial"/>
          <w:spacing w:val="-2"/>
        </w:rPr>
        <w:t> </w:t>
      </w:r>
      <w:r>
        <w:rPr>
          <w:rFonts w:ascii="Arial"/>
        </w:rPr>
        <w:t>community</w:t>
      </w:r>
      <w:r>
        <w:rPr>
          <w:rFonts w:ascii="Arial"/>
          <w:spacing w:val="-6"/>
        </w:rPr>
        <w:t> </w:t>
      </w:r>
      <w:r>
        <w:rPr>
          <w:rFonts w:ascii="Arial"/>
        </w:rPr>
        <w:t>support</w:t>
      </w:r>
      <w:r>
        <w:rPr>
          <w:rFonts w:ascii="Arial"/>
          <w:spacing w:val="-5"/>
        </w:rPr>
        <w:t> </w:t>
      </w:r>
      <w:r>
        <w:rPr>
          <w:rFonts w:ascii="Arial"/>
        </w:rPr>
        <w:t>systems</w:t>
      </w:r>
      <w:r>
        <w:rPr>
          <w:rFonts w:ascii="Arial"/>
          <w:spacing w:val="-8"/>
        </w:rPr>
        <w:t> </w:t>
      </w:r>
      <w:r>
        <w:rPr>
          <w:rFonts w:ascii="Arial"/>
        </w:rPr>
        <w:t>focused</w:t>
      </w:r>
      <w:r>
        <w:rPr>
          <w:rFonts w:ascii="Arial"/>
          <w:spacing w:val="-3"/>
        </w:rPr>
        <w:t> </w:t>
      </w:r>
      <w:r>
        <w:rPr>
          <w:rFonts w:ascii="Arial"/>
        </w:rPr>
        <w:t>on</w:t>
      </w:r>
      <w:r>
        <w:rPr>
          <w:rFonts w:ascii="Arial"/>
          <w:spacing w:val="-6"/>
        </w:rPr>
        <w:t> </w:t>
      </w:r>
      <w:r>
        <w:rPr>
          <w:rFonts w:ascii="Arial"/>
        </w:rPr>
        <w:t>resilience-building</w:t>
      </w:r>
      <w:r>
        <w:rPr>
          <w:rFonts w:ascii="Arial"/>
          <w:spacing w:val="-2"/>
        </w:rPr>
        <w:t> </w:t>
      </w:r>
      <w:r>
        <w:rPr>
          <w:rFonts w:ascii="Arial"/>
        </w:rPr>
        <w:t>strategies</w:t>
      </w:r>
      <w:r>
        <w:rPr>
          <w:rFonts w:ascii="Arial"/>
          <w:spacing w:val="-3"/>
        </w:rPr>
        <w:t> </w:t>
      </w:r>
      <w:r>
        <w:rPr>
          <w:rFonts w:ascii="Arial"/>
        </w:rPr>
        <w:t>and</w:t>
      </w:r>
      <w:r>
        <w:rPr>
          <w:rFonts w:ascii="Arial"/>
          <w:spacing w:val="-4"/>
        </w:rPr>
        <w:t> </w:t>
      </w:r>
      <w:r>
        <w:rPr>
          <w:rFonts w:ascii="Arial"/>
        </w:rPr>
        <w:t>social connections can improve community well-being.</w:t>
      </w:r>
    </w:p>
    <w:p>
      <w:pPr>
        <w:pStyle w:val="BodyText"/>
        <w:ind w:left="0"/>
        <w:rPr>
          <w:rFonts w:ascii="Arial"/>
          <w:sz w:val="28"/>
        </w:rPr>
      </w:pPr>
    </w:p>
    <w:p>
      <w:pPr>
        <w:pStyle w:val="BodyText"/>
        <w:spacing w:before="33"/>
        <w:ind w:left="0"/>
        <w:rPr>
          <w:rFonts w:ascii="Arial"/>
          <w:sz w:val="28"/>
        </w:rPr>
      </w:pPr>
    </w:p>
    <w:p>
      <w:pPr>
        <w:pStyle w:val="Heading1"/>
        <w:ind w:left="277" w:right="85"/>
        <w:jc w:val="center"/>
      </w:pPr>
      <w:r>
        <w:rPr/>
        <mc:AlternateContent>
          <mc:Choice Requires="wps">
            <w:drawing>
              <wp:anchor distT="0" distB="0" distL="0" distR="0" allowOverlap="1" layoutInCell="1" locked="0" behindDoc="1" simplePos="0" relativeHeight="486555648">
                <wp:simplePos x="0" y="0"/>
                <wp:positionH relativeFrom="page">
                  <wp:posOffset>-6095</wp:posOffset>
                </wp:positionH>
                <wp:positionV relativeFrom="paragraph">
                  <wp:posOffset>-60366</wp:posOffset>
                </wp:positionV>
                <wp:extent cx="7776845" cy="44069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7776845" cy="440690"/>
                          <a:chExt cx="7776845" cy="440690"/>
                        </a:xfrm>
                      </wpg:grpSpPr>
                      <wps:wsp>
                        <wps:cNvPr id="150" name="Graphic 150"/>
                        <wps:cNvSpPr/>
                        <wps:spPr>
                          <a:xfrm>
                            <a:off x="6095" y="6223"/>
                            <a:ext cx="7764780" cy="428625"/>
                          </a:xfrm>
                          <a:custGeom>
                            <a:avLst/>
                            <a:gdLst/>
                            <a:ahLst/>
                            <a:cxnLst/>
                            <a:rect l="l" t="t" r="r" b="b"/>
                            <a:pathLst>
                              <a:path w="7764780" h="428625">
                                <a:moveTo>
                                  <a:pt x="3285616" y="380872"/>
                                </a:moveTo>
                                <a:lnTo>
                                  <a:pt x="1313688" y="380872"/>
                                </a:lnTo>
                                <a:lnTo>
                                  <a:pt x="2299589" y="428116"/>
                                </a:lnTo>
                                <a:lnTo>
                                  <a:pt x="3285616" y="380872"/>
                                </a:lnTo>
                                <a:close/>
                              </a:path>
                              <a:path w="7764780" h="428625">
                                <a:moveTo>
                                  <a:pt x="7764653" y="0"/>
                                </a:moveTo>
                                <a:lnTo>
                                  <a:pt x="0" y="0"/>
                                </a:lnTo>
                                <a:lnTo>
                                  <a:pt x="0" y="380872"/>
                                </a:lnTo>
                                <a:lnTo>
                                  <a:pt x="7764653" y="380872"/>
                                </a:lnTo>
                                <a:lnTo>
                                  <a:pt x="7764653" y="0"/>
                                </a:lnTo>
                                <a:close/>
                              </a:path>
                            </a:pathLst>
                          </a:custGeom>
                          <a:solidFill>
                            <a:srgbClr val="145F82"/>
                          </a:solidFill>
                        </wps:spPr>
                        <wps:bodyPr wrap="square" lIns="0" tIns="0" rIns="0" bIns="0" rtlCol="0">
                          <a:prstTxWarp prst="textNoShape">
                            <a:avLst/>
                          </a:prstTxWarp>
                          <a:noAutofit/>
                        </wps:bodyPr>
                      </wps:wsp>
                      <wps:wsp>
                        <wps:cNvPr id="151" name="Graphic 151"/>
                        <wps:cNvSpPr/>
                        <wps:spPr>
                          <a:xfrm>
                            <a:off x="6095" y="6095"/>
                            <a:ext cx="7764780" cy="428625"/>
                          </a:xfrm>
                          <a:custGeom>
                            <a:avLst/>
                            <a:gdLst/>
                            <a:ahLst/>
                            <a:cxnLst/>
                            <a:rect l="l" t="t" r="r" b="b"/>
                            <a:pathLst>
                              <a:path w="7764780" h="428625">
                                <a:moveTo>
                                  <a:pt x="7764653" y="381000"/>
                                </a:moveTo>
                                <a:lnTo>
                                  <a:pt x="3285616" y="381000"/>
                                </a:lnTo>
                                <a:lnTo>
                                  <a:pt x="2299589" y="428116"/>
                                </a:lnTo>
                                <a:lnTo>
                                  <a:pt x="1313688" y="381000"/>
                                </a:lnTo>
                                <a:lnTo>
                                  <a:pt x="0" y="381000"/>
                                </a:lnTo>
                                <a:lnTo>
                                  <a:pt x="0" y="316864"/>
                                </a:lnTo>
                                <a:lnTo>
                                  <a:pt x="0" y="222376"/>
                                </a:lnTo>
                                <a:lnTo>
                                  <a:pt x="0" y="0"/>
                                </a:lnTo>
                                <a:lnTo>
                                  <a:pt x="1313688" y="0"/>
                                </a:lnTo>
                                <a:lnTo>
                                  <a:pt x="3285616" y="0"/>
                                </a:lnTo>
                                <a:lnTo>
                                  <a:pt x="7764653" y="0"/>
                                </a:lnTo>
                              </a:path>
                            </a:pathLst>
                          </a:custGeom>
                          <a:ln w="12192">
                            <a:solidFill>
                              <a:srgbClr val="04233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4.753286pt;width:612.35pt;height:34.7pt;mso-position-horizontal-relative:page;mso-position-vertical-relative:paragraph;z-index:-16760832" id="docshapegroup107" coordorigin="-10,-95" coordsize="12247,694">
                <v:shape style="position:absolute;left:0;top:-86;width:12228;height:675" id="docshape108" coordorigin="0,-85" coordsize="12228,675" path="m5174,515l2069,515,3621,589,5174,515xm12228,-85l0,-85,0,515,12228,515,12228,-85xe" filled="true" fillcolor="#145f82" stroked="false">
                  <v:path arrowok="t"/>
                  <v:fill type="solid"/>
                </v:shape>
                <v:shape style="position:absolute;left:0;top:-86;width:12228;height:675" id="docshape109" coordorigin="0,-85" coordsize="12228,675" path="m12228,515l5174,515,3621,589,2069,515,0,515,0,414,0,265,0,-85,2069,-85,5174,-85,12228,-85e" filled="false" stroked="true" strokeweight=".96pt" strokecolor="#042332">
                  <v:path arrowok="t"/>
                  <v:stroke dashstyle="solid"/>
                </v:shape>
                <w10:wrap type="none"/>
              </v:group>
            </w:pict>
          </mc:Fallback>
        </mc:AlternateContent>
      </w:r>
      <w:r>
        <w:rPr>
          <w:color w:val="FFFFFF"/>
        </w:rPr>
        <w:t>Community</w:t>
      </w:r>
      <w:r>
        <w:rPr>
          <w:color w:val="FFFFFF"/>
          <w:spacing w:val="-6"/>
        </w:rPr>
        <w:t> </w:t>
      </w:r>
      <w:r>
        <w:rPr>
          <w:color w:val="FFFFFF"/>
        </w:rPr>
        <w:t>Assets</w:t>
      </w:r>
      <w:r>
        <w:rPr>
          <w:color w:val="FFFFFF"/>
          <w:spacing w:val="-4"/>
        </w:rPr>
        <w:t> </w:t>
      </w:r>
      <w:r>
        <w:rPr>
          <w:color w:val="FFFFFF"/>
        </w:rPr>
        <w:t>and</w:t>
      </w:r>
      <w:r>
        <w:rPr>
          <w:color w:val="FFFFFF"/>
          <w:spacing w:val="-3"/>
        </w:rPr>
        <w:t> </w:t>
      </w:r>
      <w:r>
        <w:rPr>
          <w:color w:val="FFFFFF"/>
          <w:spacing w:val="-2"/>
        </w:rPr>
        <w:t>Resources</w:t>
      </w:r>
    </w:p>
    <w:p>
      <w:pPr>
        <w:pStyle w:val="BodyText"/>
        <w:spacing w:before="205"/>
        <w:ind w:left="0"/>
        <w:rPr>
          <w:b/>
        </w:rPr>
      </w:pPr>
    </w:p>
    <w:p>
      <w:pPr>
        <w:pStyle w:val="BodyText"/>
        <w:spacing w:line="259" w:lineRule="auto" w:before="1"/>
        <w:ind w:right="1594"/>
        <w:jc w:val="both"/>
      </w:pPr>
      <w:r>
        <w:rPr/>
        <w:t>Exisfing</w:t>
      </w:r>
      <w:r>
        <w:rPr>
          <w:spacing w:val="-3"/>
        </w:rPr>
        <w:t> </w:t>
      </w:r>
      <w:r>
        <w:rPr/>
        <w:t>and</w:t>
      </w:r>
      <w:r>
        <w:rPr>
          <w:spacing w:val="-3"/>
        </w:rPr>
        <w:t> </w:t>
      </w:r>
      <w:r>
        <w:rPr/>
        <w:t>needed</w:t>
      </w:r>
      <w:r>
        <w:rPr>
          <w:spacing w:val="-6"/>
        </w:rPr>
        <w:t> </w:t>
      </w:r>
      <w:r>
        <w:rPr/>
        <w:t>community</w:t>
      </w:r>
      <w:r>
        <w:rPr>
          <w:spacing w:val="-2"/>
        </w:rPr>
        <w:t> </w:t>
      </w:r>
      <w:r>
        <w:rPr/>
        <w:t>assets</w:t>
      </w:r>
      <w:r>
        <w:rPr>
          <w:spacing w:val="-5"/>
        </w:rPr>
        <w:t> </w:t>
      </w:r>
      <w:r>
        <w:rPr/>
        <w:t>and</w:t>
      </w:r>
      <w:r>
        <w:rPr>
          <w:spacing w:val="-4"/>
        </w:rPr>
        <w:t> </w:t>
      </w:r>
      <w:r>
        <w:rPr/>
        <w:t>resources</w:t>
      </w:r>
      <w:r>
        <w:rPr>
          <w:spacing w:val="-5"/>
        </w:rPr>
        <w:t> </w:t>
      </w:r>
      <w:r>
        <w:rPr/>
        <w:t>supporfing</w:t>
      </w:r>
      <w:r>
        <w:rPr>
          <w:spacing w:val="-3"/>
        </w:rPr>
        <w:t> </w:t>
      </w:r>
      <w:r>
        <w:rPr/>
        <w:t>health</w:t>
      </w:r>
      <w:r>
        <w:rPr>
          <w:spacing w:val="-4"/>
        </w:rPr>
        <w:t> </w:t>
      </w:r>
      <w:r>
        <w:rPr/>
        <w:t>were</w:t>
      </w:r>
      <w:r>
        <w:rPr>
          <w:spacing w:val="-2"/>
        </w:rPr>
        <w:t> </w:t>
      </w:r>
      <w:r>
        <w:rPr/>
        <w:t>idenfiﬁed</w:t>
      </w:r>
      <w:r>
        <w:rPr>
          <w:spacing w:val="-3"/>
        </w:rPr>
        <w:t> </w:t>
      </w:r>
      <w:r>
        <w:rPr/>
        <w:t>throughout</w:t>
      </w:r>
      <w:r>
        <w:rPr>
          <w:spacing w:val="-5"/>
        </w:rPr>
        <w:t> </w:t>
      </w:r>
      <w:r>
        <w:rPr/>
        <w:t>the Community Health</w:t>
      </w:r>
      <w:r>
        <w:rPr>
          <w:spacing w:val="-1"/>
        </w:rPr>
        <w:t> </w:t>
      </w:r>
      <w:r>
        <w:rPr/>
        <w:t>Assessment</w:t>
      </w:r>
      <w:r>
        <w:rPr>
          <w:spacing w:val="-1"/>
        </w:rPr>
        <w:t> </w:t>
      </w:r>
      <w:r>
        <w:rPr/>
        <w:t>process.</w:t>
      </w:r>
      <w:r>
        <w:rPr>
          <w:spacing w:val="-4"/>
        </w:rPr>
        <w:t> </w:t>
      </w:r>
      <w:r>
        <w:rPr/>
        <w:t>The community partners</w:t>
      </w:r>
      <w:r>
        <w:rPr>
          <w:spacing w:val="-1"/>
        </w:rPr>
        <w:t> </w:t>
      </w:r>
      <w:r>
        <w:rPr/>
        <w:t>listed</w:t>
      </w:r>
      <w:r>
        <w:rPr>
          <w:spacing w:val="-1"/>
        </w:rPr>
        <w:t> </w:t>
      </w:r>
      <w:r>
        <w:rPr/>
        <w:t>in</w:t>
      </w:r>
      <w:r>
        <w:rPr>
          <w:spacing w:val="-1"/>
        </w:rPr>
        <w:t> </w:t>
      </w:r>
      <w:r>
        <w:rPr/>
        <w:t>Appendix 1 provide</w:t>
      </w:r>
      <w:r>
        <w:rPr>
          <w:spacing w:val="-2"/>
        </w:rPr>
        <w:t> </w:t>
      </w:r>
      <w:r>
        <w:rPr/>
        <w:t>valuable resources to support posifive health outcomes for Yates County residents.</w:t>
      </w:r>
    </w:p>
    <w:p>
      <w:pPr>
        <w:pStyle w:val="BodyText"/>
        <w:spacing w:line="259" w:lineRule="auto" w:before="159"/>
        <w:ind w:right="1467"/>
      </w:pPr>
      <w:r>
        <w:rPr/>
        <w:t>Pivital Public Health Partnership and Common Ground Health are two agencies that promote and facilitate regional collaborafion. Pivital is a partnership of eight rural health departments in the Finger Lakes Region, focusing on improving the health and well-being of Finger Lakes residents. Common Ground</w:t>
      </w:r>
      <w:r>
        <w:rPr>
          <w:spacing w:val="-6"/>
        </w:rPr>
        <w:t> </w:t>
      </w:r>
      <w:r>
        <w:rPr/>
        <w:t>Health</w:t>
      </w:r>
      <w:r>
        <w:rPr>
          <w:spacing w:val="-6"/>
        </w:rPr>
        <w:t> </w:t>
      </w:r>
      <w:r>
        <w:rPr/>
        <w:t>covers</w:t>
      </w:r>
      <w:r>
        <w:rPr>
          <w:spacing w:val="-5"/>
        </w:rPr>
        <w:t> </w:t>
      </w:r>
      <w:r>
        <w:rPr/>
        <w:t>the</w:t>
      </w:r>
      <w:r>
        <w:rPr>
          <w:spacing w:val="-7"/>
        </w:rPr>
        <w:t> </w:t>
      </w:r>
      <w:r>
        <w:rPr/>
        <w:t>same</w:t>
      </w:r>
      <w:r>
        <w:rPr>
          <w:spacing w:val="-6"/>
        </w:rPr>
        <w:t> </w:t>
      </w:r>
      <w:r>
        <w:rPr/>
        <w:t>geographic</w:t>
      </w:r>
      <w:r>
        <w:rPr>
          <w:spacing w:val="-5"/>
        </w:rPr>
        <w:t> </w:t>
      </w:r>
      <w:r>
        <w:rPr/>
        <w:t>footprint,</w:t>
      </w:r>
      <w:r>
        <w:rPr>
          <w:spacing w:val="-7"/>
        </w:rPr>
        <w:t> </w:t>
      </w:r>
      <w:r>
        <w:rPr/>
        <w:t>with</w:t>
      </w:r>
      <w:r>
        <w:rPr>
          <w:spacing w:val="-5"/>
        </w:rPr>
        <w:t> </w:t>
      </w:r>
      <w:r>
        <w:rPr/>
        <w:t>the</w:t>
      </w:r>
      <w:r>
        <w:rPr>
          <w:spacing w:val="-7"/>
        </w:rPr>
        <w:t> </w:t>
      </w:r>
      <w:r>
        <w:rPr/>
        <w:t>addifion</w:t>
      </w:r>
      <w:r>
        <w:rPr>
          <w:spacing w:val="-8"/>
        </w:rPr>
        <w:t> </w:t>
      </w:r>
      <w:r>
        <w:rPr/>
        <w:t>of</w:t>
      </w:r>
      <w:r>
        <w:rPr>
          <w:spacing w:val="-7"/>
        </w:rPr>
        <w:t> </w:t>
      </w:r>
      <w:r>
        <w:rPr/>
        <w:t>Monroe</w:t>
      </w:r>
      <w:r>
        <w:rPr>
          <w:spacing w:val="-4"/>
        </w:rPr>
        <w:t> </w:t>
      </w:r>
      <w:r>
        <w:rPr/>
        <w:t>County,</w:t>
      </w:r>
      <w:r>
        <w:rPr>
          <w:spacing w:val="-7"/>
        </w:rPr>
        <w:t> </w:t>
      </w:r>
      <w:r>
        <w:rPr/>
        <w:t>and</w:t>
      </w:r>
      <w:r>
        <w:rPr>
          <w:spacing w:val="-6"/>
        </w:rPr>
        <w:t> </w:t>
      </w:r>
      <w:r>
        <w:rPr/>
        <w:t>focuses on bringing together leaders from all sectors to collaborate on strategies for improving health in the region. Both agencies provide support, collaborafion and resources to improve the health of Yates County residents.</w:t>
      </w:r>
    </w:p>
    <w:p>
      <w:pPr>
        <w:pStyle w:val="BodyText"/>
        <w:spacing w:line="259" w:lineRule="auto" w:before="158"/>
        <w:ind w:right="1450"/>
      </w:pPr>
      <w:r>
        <w:rPr/>
        <w:t>Yates County has broad engagement from nonproﬁts, healthcare systems, school districts, grassroots groups, and faith-based communifies. Agencies like Finger Lakes Area Counseling &amp; Recovery Agency (FLACRA), Cornell Cooperafive Extension, UR Medicine Finger Lakes Health, Pro Acfion provide mental health, substance use, medical, social, and educafional services. Individuals of all ages and backgrounds—including low-income populafions, older adults, those living with disabilifies, LGBTQIA+ community</w:t>
      </w:r>
      <w:r>
        <w:rPr>
          <w:spacing w:val="-3"/>
        </w:rPr>
        <w:t> </w:t>
      </w:r>
      <w:r>
        <w:rPr/>
        <w:t>members,</w:t>
      </w:r>
      <w:r>
        <w:rPr>
          <w:spacing w:val="-1"/>
        </w:rPr>
        <w:t> </w:t>
      </w:r>
      <w:r>
        <w:rPr/>
        <w:t>immigrants,</w:t>
      </w:r>
      <w:r>
        <w:rPr>
          <w:spacing w:val="-2"/>
        </w:rPr>
        <w:t> </w:t>
      </w:r>
      <w:r>
        <w:rPr/>
        <w:t>and</w:t>
      </w:r>
      <w:r>
        <w:rPr>
          <w:spacing w:val="-3"/>
        </w:rPr>
        <w:t> </w:t>
      </w:r>
      <w:r>
        <w:rPr/>
        <w:t>racial</w:t>
      </w:r>
      <w:r>
        <w:rPr>
          <w:spacing w:val="-5"/>
        </w:rPr>
        <w:t> </w:t>
      </w:r>
      <w:r>
        <w:rPr/>
        <w:t>minorifies—</w:t>
      </w:r>
      <w:r>
        <w:rPr>
          <w:spacing w:val="-2"/>
        </w:rPr>
        <w:t> </w:t>
      </w:r>
      <w:r>
        <w:rPr/>
        <w:t>are</w:t>
      </w:r>
      <w:r>
        <w:rPr>
          <w:spacing w:val="-3"/>
        </w:rPr>
        <w:t> </w:t>
      </w:r>
      <w:r>
        <w:rPr/>
        <w:t>engaged</w:t>
      </w:r>
      <w:r>
        <w:rPr>
          <w:spacing w:val="-2"/>
        </w:rPr>
        <w:t> </w:t>
      </w:r>
      <w:r>
        <w:rPr/>
        <w:t>through</w:t>
      </w:r>
      <w:r>
        <w:rPr>
          <w:spacing w:val="-2"/>
        </w:rPr>
        <w:t> </w:t>
      </w:r>
      <w:r>
        <w:rPr/>
        <w:t>support</w:t>
      </w:r>
      <w:r>
        <w:rPr>
          <w:spacing w:val="-2"/>
        </w:rPr>
        <w:t> </w:t>
      </w:r>
      <w:r>
        <w:rPr/>
        <w:t>groups,</w:t>
      </w:r>
      <w:r>
        <w:rPr>
          <w:spacing w:val="-4"/>
        </w:rPr>
        <w:t> </w:t>
      </w:r>
      <w:r>
        <w:rPr/>
        <w:t>advisory boards, social media, and mulfilingual support. Partners acfively work on policy and advocacy, adapt through</w:t>
      </w:r>
      <w:r>
        <w:rPr>
          <w:spacing w:val="-4"/>
        </w:rPr>
        <w:t> </w:t>
      </w:r>
      <w:r>
        <w:rPr/>
        <w:t>regular</w:t>
      </w:r>
      <w:r>
        <w:rPr>
          <w:spacing w:val="-6"/>
        </w:rPr>
        <w:t> </w:t>
      </w:r>
      <w:r>
        <w:rPr/>
        <w:t>evaluafion</w:t>
      </w:r>
      <w:r>
        <w:rPr>
          <w:spacing w:val="-6"/>
        </w:rPr>
        <w:t> </w:t>
      </w:r>
      <w:r>
        <w:rPr/>
        <w:t>,</w:t>
      </w:r>
      <w:r>
        <w:rPr>
          <w:spacing w:val="-4"/>
        </w:rPr>
        <w:t> </w:t>
      </w:r>
      <w:r>
        <w:rPr/>
        <w:t>and</w:t>
      </w:r>
      <w:r>
        <w:rPr>
          <w:spacing w:val="-4"/>
        </w:rPr>
        <w:t> </w:t>
      </w:r>
      <w:r>
        <w:rPr/>
        <w:t>use</w:t>
      </w:r>
      <w:r>
        <w:rPr>
          <w:spacing w:val="-3"/>
        </w:rPr>
        <w:t> </w:t>
      </w:r>
      <w:r>
        <w:rPr/>
        <w:t>innovafive</w:t>
      </w:r>
      <w:r>
        <w:rPr>
          <w:spacing w:val="-4"/>
        </w:rPr>
        <w:t> </w:t>
      </w:r>
      <w:r>
        <w:rPr/>
        <w:t>tools</w:t>
      </w:r>
      <w:r>
        <w:rPr>
          <w:spacing w:val="-5"/>
        </w:rPr>
        <w:t> </w:t>
      </w:r>
      <w:r>
        <w:rPr/>
        <w:t>and</w:t>
      </w:r>
      <w:r>
        <w:rPr>
          <w:spacing w:val="-4"/>
        </w:rPr>
        <w:t> </w:t>
      </w:r>
      <w:r>
        <w:rPr/>
        <w:t>leadership</w:t>
      </w:r>
      <w:r>
        <w:rPr>
          <w:spacing w:val="-4"/>
        </w:rPr>
        <w:t> </w:t>
      </w:r>
      <w:r>
        <w:rPr/>
        <w:t>opportunifies</w:t>
      </w:r>
      <w:r>
        <w:rPr>
          <w:spacing w:val="-4"/>
        </w:rPr>
        <w:t> </w:t>
      </w:r>
      <w:r>
        <w:rPr/>
        <w:t>to</w:t>
      </w:r>
      <w:r>
        <w:rPr>
          <w:spacing w:val="-4"/>
        </w:rPr>
        <w:t> </w:t>
      </w:r>
      <w:r>
        <w:rPr/>
        <w:t>build</w:t>
      </w:r>
      <w:r>
        <w:rPr>
          <w:spacing w:val="-4"/>
        </w:rPr>
        <w:t> </w:t>
      </w:r>
      <w:r>
        <w:rPr/>
        <w:t>resilience</w:t>
      </w:r>
      <w:r>
        <w:rPr>
          <w:spacing w:val="-3"/>
        </w:rPr>
        <w:t> </w:t>
      </w:r>
      <w:r>
        <w:rPr/>
        <w:t>and local capacity.</w:t>
      </w:r>
    </w:p>
    <w:p>
      <w:pPr>
        <w:pStyle w:val="BodyText"/>
        <w:spacing w:after="0" w:line="259" w:lineRule="auto"/>
        <w:sectPr>
          <w:type w:val="continuous"/>
          <w:pgSz w:w="12240" w:h="15840"/>
          <w:pgMar w:header="161" w:footer="1223" w:top="1360" w:bottom="1420" w:left="0" w:right="0"/>
        </w:sectPr>
      </w:pPr>
    </w:p>
    <w:p>
      <w:pPr>
        <w:pStyle w:val="BodyText"/>
        <w:spacing w:line="259" w:lineRule="auto" w:before="64"/>
        <w:ind w:right="1467"/>
      </w:pPr>
      <w:r>
        <w:rPr/>
        <w:t>There</w:t>
      </w:r>
      <w:r>
        <w:rPr>
          <w:spacing w:val="-5"/>
        </w:rPr>
        <w:t> </w:t>
      </w:r>
      <w:r>
        <w:rPr/>
        <w:t>is</w:t>
      </w:r>
      <w:r>
        <w:rPr>
          <w:spacing w:val="-6"/>
        </w:rPr>
        <w:t> </w:t>
      </w:r>
      <w:r>
        <w:rPr/>
        <w:t>also</w:t>
      </w:r>
      <w:r>
        <w:rPr>
          <w:spacing w:val="-5"/>
        </w:rPr>
        <w:t> </w:t>
      </w:r>
      <w:r>
        <w:rPr/>
        <w:t>a</w:t>
      </w:r>
      <w:r>
        <w:rPr>
          <w:spacing w:val="-8"/>
        </w:rPr>
        <w:t> </w:t>
      </w:r>
      <w:r>
        <w:rPr/>
        <w:t>strong</w:t>
      </w:r>
      <w:r>
        <w:rPr>
          <w:spacing w:val="-6"/>
        </w:rPr>
        <w:t> </w:t>
      </w:r>
      <w:r>
        <w:rPr/>
        <w:t>emphasis</w:t>
      </w:r>
      <w:r>
        <w:rPr>
          <w:spacing w:val="-6"/>
        </w:rPr>
        <w:t> </w:t>
      </w:r>
      <w:r>
        <w:rPr/>
        <w:t>on</w:t>
      </w:r>
      <w:r>
        <w:rPr>
          <w:spacing w:val="-7"/>
        </w:rPr>
        <w:t> </w:t>
      </w:r>
      <w:r>
        <w:rPr/>
        <w:t>community</w:t>
      </w:r>
      <w:r>
        <w:rPr>
          <w:spacing w:val="-7"/>
        </w:rPr>
        <w:t> </w:t>
      </w:r>
      <w:r>
        <w:rPr/>
        <w:t>within</w:t>
      </w:r>
      <w:r>
        <w:rPr>
          <w:spacing w:val="-6"/>
        </w:rPr>
        <w:t> </w:t>
      </w:r>
      <w:r>
        <w:rPr/>
        <w:t>the</w:t>
      </w:r>
      <w:r>
        <w:rPr>
          <w:spacing w:val="-5"/>
        </w:rPr>
        <w:t> </w:t>
      </w:r>
      <w:r>
        <w:rPr/>
        <w:t>county</w:t>
      </w:r>
      <w:r>
        <w:rPr>
          <w:spacing w:val="-7"/>
        </w:rPr>
        <w:t> </w:t>
      </w:r>
      <w:r>
        <w:rPr/>
        <w:t>as</w:t>
      </w:r>
      <w:r>
        <w:rPr>
          <w:spacing w:val="-8"/>
        </w:rPr>
        <w:t> </w:t>
      </w:r>
      <w:r>
        <w:rPr/>
        <w:t>exempliﬁed</w:t>
      </w:r>
      <w:r>
        <w:rPr>
          <w:spacing w:val="-7"/>
        </w:rPr>
        <w:t> </w:t>
      </w:r>
      <w:r>
        <w:rPr/>
        <w:t>by</w:t>
      </w:r>
      <w:r>
        <w:rPr>
          <w:spacing w:val="-5"/>
        </w:rPr>
        <w:t> </w:t>
      </w:r>
      <w:r>
        <w:rPr/>
        <w:t>commifted</w:t>
      </w:r>
      <w:r>
        <w:rPr>
          <w:spacing w:val="-7"/>
        </w:rPr>
        <w:t> </w:t>
      </w:r>
      <w:r>
        <w:rPr/>
        <w:t>staﬀ, volunteers, and</w:t>
      </w:r>
      <w:r>
        <w:rPr>
          <w:spacing w:val="-1"/>
        </w:rPr>
        <w:t> </w:t>
      </w:r>
      <w:r>
        <w:rPr/>
        <w:t>resource</w:t>
      </w:r>
      <w:r>
        <w:rPr>
          <w:spacing w:val="-2"/>
        </w:rPr>
        <w:t> </w:t>
      </w:r>
      <w:r>
        <w:rPr/>
        <w:t>sharing</w:t>
      </w:r>
      <w:r>
        <w:rPr>
          <w:spacing w:val="-1"/>
        </w:rPr>
        <w:t> </w:t>
      </w:r>
      <w:r>
        <w:rPr/>
        <w:t>(spaces,</w:t>
      </w:r>
      <w:r>
        <w:rPr>
          <w:spacing w:val="-2"/>
        </w:rPr>
        <w:t> </w:t>
      </w:r>
      <w:r>
        <w:rPr/>
        <w:t>technology,</w:t>
      </w:r>
      <w:r>
        <w:rPr>
          <w:spacing w:val="-2"/>
        </w:rPr>
        <w:t> </w:t>
      </w:r>
      <w:r>
        <w:rPr/>
        <w:t>event support). Social hubs such as libraries, community centers, churches, and schools anchor programming and promote referrals across health/wellness, social, and prevenfive services.</w:t>
      </w:r>
    </w:p>
    <w:p>
      <w:pPr>
        <w:pStyle w:val="BodyText"/>
        <w:spacing w:line="259" w:lineRule="auto" w:before="160"/>
        <w:ind w:right="1467"/>
      </w:pPr>
      <w:r>
        <w:rPr/>
        <w:t>While</w:t>
      </w:r>
      <w:r>
        <w:rPr>
          <w:spacing w:val="-6"/>
        </w:rPr>
        <w:t> </w:t>
      </w:r>
      <w:r>
        <w:rPr/>
        <w:t>partnerships</w:t>
      </w:r>
      <w:r>
        <w:rPr>
          <w:spacing w:val="-9"/>
        </w:rPr>
        <w:t> </w:t>
      </w:r>
      <w:r>
        <w:rPr/>
        <w:t>and</w:t>
      </w:r>
      <w:r>
        <w:rPr>
          <w:spacing w:val="-8"/>
        </w:rPr>
        <w:t> </w:t>
      </w:r>
      <w:r>
        <w:rPr/>
        <w:t>organizafions</w:t>
      </w:r>
      <w:r>
        <w:rPr>
          <w:spacing w:val="-7"/>
        </w:rPr>
        <w:t> </w:t>
      </w:r>
      <w:r>
        <w:rPr/>
        <w:t>exist</w:t>
      </w:r>
      <w:r>
        <w:rPr>
          <w:spacing w:val="-9"/>
        </w:rPr>
        <w:t> </w:t>
      </w:r>
      <w:r>
        <w:rPr/>
        <w:t>to</w:t>
      </w:r>
      <w:r>
        <w:rPr>
          <w:spacing w:val="-5"/>
        </w:rPr>
        <w:t> </w:t>
      </w:r>
      <w:r>
        <w:rPr/>
        <w:t>foster</w:t>
      </w:r>
      <w:r>
        <w:rPr>
          <w:spacing w:val="-10"/>
        </w:rPr>
        <w:t> </w:t>
      </w:r>
      <w:r>
        <w:rPr/>
        <w:t>collaborafion</w:t>
      </w:r>
      <w:r>
        <w:rPr>
          <w:spacing w:val="-8"/>
        </w:rPr>
        <w:t> </w:t>
      </w:r>
      <w:r>
        <w:rPr/>
        <w:t>in</w:t>
      </w:r>
      <w:r>
        <w:rPr>
          <w:spacing w:val="-8"/>
        </w:rPr>
        <w:t> </w:t>
      </w:r>
      <w:r>
        <w:rPr/>
        <w:t>the</w:t>
      </w:r>
      <w:r>
        <w:rPr>
          <w:spacing w:val="-6"/>
        </w:rPr>
        <w:t> </w:t>
      </w:r>
      <w:r>
        <w:rPr/>
        <w:t>community,</w:t>
      </w:r>
      <w:r>
        <w:rPr>
          <w:spacing w:val="-6"/>
        </w:rPr>
        <w:t> </w:t>
      </w:r>
      <w:r>
        <w:rPr/>
        <w:t>gaps</w:t>
      </w:r>
      <w:r>
        <w:rPr>
          <w:spacing w:val="-7"/>
        </w:rPr>
        <w:t> </w:t>
      </w:r>
      <w:r>
        <w:rPr/>
        <w:t>sfill</w:t>
      </w:r>
      <w:r>
        <w:rPr>
          <w:spacing w:val="-10"/>
        </w:rPr>
        <w:t> </w:t>
      </w:r>
      <w:r>
        <w:rPr/>
        <w:t>exist</w:t>
      </w:r>
      <w:r>
        <w:rPr>
          <w:spacing w:val="-6"/>
        </w:rPr>
        <w:t> </w:t>
      </w:r>
      <w:r>
        <w:rPr/>
        <w:t>that may inhibit growth. Several partners discussed the need to expand community engagement for youth inclusion. Engagement must go beyond social media to include more one-to-one interacfion. Many populafions, especially the older populafion, expressed the desire to mentor youth and foster </w:t>
      </w:r>
      <w:r>
        <w:rPr>
          <w:spacing w:val="-2"/>
        </w:rPr>
        <w:t>relafionships.</w:t>
      </w:r>
    </w:p>
    <w:p>
      <w:pPr>
        <w:pStyle w:val="BodyText"/>
        <w:spacing w:line="259" w:lineRule="auto" w:before="157"/>
        <w:ind w:right="1467"/>
      </w:pPr>
      <w:r>
        <w:rPr/>
        <w:t>Addifionally,</w:t>
      </w:r>
      <w:r>
        <w:rPr>
          <w:spacing w:val="-6"/>
        </w:rPr>
        <w:t> </w:t>
      </w:r>
      <w:r>
        <w:rPr/>
        <w:t>community</w:t>
      </w:r>
      <w:r>
        <w:rPr>
          <w:spacing w:val="-6"/>
        </w:rPr>
        <w:t> </w:t>
      </w:r>
      <w:r>
        <w:rPr/>
        <w:t>partners</w:t>
      </w:r>
      <w:r>
        <w:rPr>
          <w:spacing w:val="-7"/>
        </w:rPr>
        <w:t> </w:t>
      </w:r>
      <w:r>
        <w:rPr/>
        <w:t>and</w:t>
      </w:r>
      <w:r>
        <w:rPr>
          <w:spacing w:val="-7"/>
        </w:rPr>
        <w:t> </w:t>
      </w:r>
      <w:r>
        <w:rPr/>
        <w:t>businesses</w:t>
      </w:r>
      <w:r>
        <w:rPr>
          <w:spacing w:val="-8"/>
        </w:rPr>
        <w:t> </w:t>
      </w:r>
      <w:r>
        <w:rPr/>
        <w:t>must</w:t>
      </w:r>
      <w:r>
        <w:rPr>
          <w:spacing w:val="-8"/>
        </w:rPr>
        <w:t> </w:t>
      </w:r>
      <w:r>
        <w:rPr/>
        <w:t>confinue</w:t>
      </w:r>
      <w:r>
        <w:rPr>
          <w:spacing w:val="-6"/>
        </w:rPr>
        <w:t> </w:t>
      </w:r>
      <w:r>
        <w:rPr/>
        <w:t>to</w:t>
      </w:r>
      <w:r>
        <w:rPr>
          <w:spacing w:val="-5"/>
        </w:rPr>
        <w:t> </w:t>
      </w:r>
      <w:r>
        <w:rPr/>
        <w:t>address</w:t>
      </w:r>
      <w:r>
        <w:rPr>
          <w:spacing w:val="-8"/>
        </w:rPr>
        <w:t> </w:t>
      </w:r>
      <w:r>
        <w:rPr/>
        <w:t>organizafional</w:t>
      </w:r>
      <w:r>
        <w:rPr>
          <w:spacing w:val="-7"/>
        </w:rPr>
        <w:t> </w:t>
      </w:r>
      <w:r>
        <w:rPr/>
        <w:t>awareness</w:t>
      </w:r>
      <w:r>
        <w:rPr>
          <w:spacing w:val="-8"/>
        </w:rPr>
        <w:t> </w:t>
      </w:r>
      <w:r>
        <w:rPr/>
        <w:t>of structural determinants of health. In doing so, creafing more invenfive, comfortable, and accessible meefing and engagement spaces are needed.</w:t>
      </w:r>
    </w:p>
    <w:p>
      <w:pPr>
        <w:pStyle w:val="BodyText"/>
        <w:spacing w:line="259" w:lineRule="auto" w:before="160"/>
        <w:ind w:right="1499"/>
      </w:pPr>
      <w:r>
        <w:rPr/>
        <w:t>Through implementafion of the Community Health Improvement Plan (CHIP), Yates County and its community partners will work to leverage exisfing relafionships, knowledge, and resources. The Yates County</w:t>
      </w:r>
      <w:r>
        <w:rPr>
          <w:spacing w:val="-1"/>
        </w:rPr>
        <w:t> </w:t>
      </w:r>
      <w:r>
        <w:rPr/>
        <w:t>CHIP</w:t>
      </w:r>
      <w:r>
        <w:rPr>
          <w:spacing w:val="-3"/>
        </w:rPr>
        <w:t> </w:t>
      </w:r>
      <w:r>
        <w:rPr/>
        <w:t>workplan</w:t>
      </w:r>
      <w:r>
        <w:rPr>
          <w:spacing w:val="-3"/>
        </w:rPr>
        <w:t> </w:t>
      </w:r>
      <w:r>
        <w:rPr/>
        <w:t>will</w:t>
      </w:r>
      <w:r>
        <w:rPr>
          <w:spacing w:val="-2"/>
        </w:rPr>
        <w:t> </w:t>
      </w:r>
      <w:r>
        <w:rPr/>
        <w:t>include</w:t>
      </w:r>
      <w:r>
        <w:rPr>
          <w:spacing w:val="-1"/>
        </w:rPr>
        <w:t> </w:t>
      </w:r>
      <w:r>
        <w:rPr/>
        <w:t>a</w:t>
      </w:r>
      <w:r>
        <w:rPr>
          <w:spacing w:val="-2"/>
        </w:rPr>
        <w:t> </w:t>
      </w:r>
      <w:r>
        <w:rPr/>
        <w:t>full</w:t>
      </w:r>
      <w:r>
        <w:rPr>
          <w:spacing w:val="-2"/>
        </w:rPr>
        <w:t> </w:t>
      </w:r>
      <w:r>
        <w:rPr/>
        <w:t>descripfion</w:t>
      </w:r>
      <w:r>
        <w:rPr>
          <w:spacing w:val="-5"/>
        </w:rPr>
        <w:t> </w:t>
      </w:r>
      <w:r>
        <w:rPr/>
        <w:t>of</w:t>
      </w:r>
      <w:r>
        <w:rPr>
          <w:spacing w:val="-5"/>
        </w:rPr>
        <w:t> </w:t>
      </w:r>
      <w:r>
        <w:rPr/>
        <w:t>intervenfions</w:t>
      </w:r>
      <w:r>
        <w:rPr>
          <w:spacing w:val="-2"/>
        </w:rPr>
        <w:t> </w:t>
      </w:r>
      <w:r>
        <w:rPr/>
        <w:t>and</w:t>
      </w:r>
      <w:r>
        <w:rPr>
          <w:spacing w:val="-3"/>
        </w:rPr>
        <w:t> </w:t>
      </w:r>
      <w:r>
        <w:rPr/>
        <w:t>partner</w:t>
      </w:r>
      <w:r>
        <w:rPr>
          <w:spacing w:val="-4"/>
        </w:rPr>
        <w:t> </w:t>
      </w:r>
      <w:r>
        <w:rPr/>
        <w:t>roles</w:t>
      </w:r>
      <w:r>
        <w:rPr>
          <w:spacing w:val="-4"/>
        </w:rPr>
        <w:t> </w:t>
      </w:r>
      <w:r>
        <w:rPr/>
        <w:t>that</w:t>
      </w:r>
      <w:r>
        <w:rPr>
          <w:spacing w:val="-4"/>
        </w:rPr>
        <w:t> </w:t>
      </w:r>
      <w:r>
        <w:rPr/>
        <w:t>will</w:t>
      </w:r>
      <w:r>
        <w:rPr>
          <w:spacing w:val="-2"/>
        </w:rPr>
        <w:t> </w:t>
      </w:r>
      <w:r>
        <w:rPr/>
        <w:t>be</w:t>
      </w:r>
      <w:r>
        <w:rPr>
          <w:spacing w:val="-1"/>
        </w:rPr>
        <w:t> </w:t>
      </w:r>
      <w:r>
        <w:rPr/>
        <w:t>used to address chosen priorifies and objecfives.</w:t>
      </w:r>
    </w:p>
    <w:p>
      <w:pPr>
        <w:pStyle w:val="BodyText"/>
        <w:spacing w:before="160"/>
      </w:pPr>
      <w:r>
        <w:rPr/>
        <w:t>Table</w:t>
      </w:r>
      <w:r>
        <w:rPr>
          <w:spacing w:val="-8"/>
        </w:rPr>
        <w:t> </w:t>
      </w:r>
      <w:r>
        <w:rPr/>
        <w:t>Y7</w:t>
      </w:r>
      <w:r>
        <w:rPr>
          <w:spacing w:val="-5"/>
        </w:rPr>
        <w:t> </w:t>
      </w:r>
      <w:r>
        <w:rPr/>
        <w:t>highlights</w:t>
      </w:r>
      <w:r>
        <w:rPr>
          <w:spacing w:val="-6"/>
        </w:rPr>
        <w:t> </w:t>
      </w:r>
      <w:r>
        <w:rPr/>
        <w:t>the</w:t>
      </w:r>
      <w:r>
        <w:rPr>
          <w:spacing w:val="-7"/>
        </w:rPr>
        <w:t> </w:t>
      </w:r>
      <w:r>
        <w:rPr/>
        <w:t>speciﬁc</w:t>
      </w:r>
      <w:r>
        <w:rPr>
          <w:spacing w:val="-7"/>
        </w:rPr>
        <w:t> </w:t>
      </w:r>
      <w:r>
        <w:rPr/>
        <w:t>county</w:t>
      </w:r>
      <w:r>
        <w:rPr>
          <w:spacing w:val="-5"/>
        </w:rPr>
        <w:t> </w:t>
      </w:r>
      <w:r>
        <w:rPr/>
        <w:t>partners</w:t>
      </w:r>
      <w:r>
        <w:rPr>
          <w:spacing w:val="-6"/>
        </w:rPr>
        <w:t> </w:t>
      </w:r>
      <w:r>
        <w:rPr/>
        <w:t>associated</w:t>
      </w:r>
      <w:r>
        <w:rPr>
          <w:spacing w:val="-7"/>
        </w:rPr>
        <w:t> </w:t>
      </w:r>
      <w:r>
        <w:rPr/>
        <w:t>with</w:t>
      </w:r>
      <w:r>
        <w:rPr>
          <w:spacing w:val="-9"/>
        </w:rPr>
        <w:t> </w:t>
      </w:r>
      <w:r>
        <w:rPr/>
        <w:t>each</w:t>
      </w:r>
      <w:r>
        <w:rPr>
          <w:spacing w:val="-6"/>
        </w:rPr>
        <w:t> </w:t>
      </w:r>
      <w:r>
        <w:rPr/>
        <w:t>priority</w:t>
      </w:r>
      <w:r>
        <w:rPr>
          <w:spacing w:val="-5"/>
        </w:rPr>
        <w:t> </w:t>
      </w:r>
      <w:r>
        <w:rPr/>
        <w:t>area</w:t>
      </w:r>
      <w:r>
        <w:rPr>
          <w:spacing w:val="-8"/>
        </w:rPr>
        <w:t> </w:t>
      </w:r>
      <w:r>
        <w:rPr/>
        <w:t>and</w:t>
      </w:r>
      <w:r>
        <w:rPr>
          <w:spacing w:val="-7"/>
        </w:rPr>
        <w:t> </w:t>
      </w:r>
      <w:r>
        <w:rPr/>
        <w:t>how</w:t>
      </w:r>
      <w:r>
        <w:rPr>
          <w:spacing w:val="-8"/>
        </w:rPr>
        <w:t> </w:t>
      </w:r>
      <w:r>
        <w:rPr/>
        <w:t>they</w:t>
      </w:r>
      <w:r>
        <w:rPr>
          <w:spacing w:val="-7"/>
        </w:rPr>
        <w:t> </w:t>
      </w:r>
      <w:r>
        <w:rPr>
          <w:spacing w:val="-5"/>
        </w:rPr>
        <w:t>may</w:t>
      </w:r>
    </w:p>
    <w:p>
      <w:pPr>
        <w:pStyle w:val="BodyText"/>
        <w:spacing w:before="21"/>
      </w:pPr>
      <w:r>
        <w:rPr/>
        <w:t>support</w:t>
      </w:r>
      <w:r>
        <w:rPr>
          <w:spacing w:val="-7"/>
        </w:rPr>
        <w:t> </w:t>
      </w:r>
      <w:r>
        <w:rPr/>
        <w:t>Yates</w:t>
      </w:r>
      <w:r>
        <w:rPr>
          <w:spacing w:val="-7"/>
        </w:rPr>
        <w:t> </w:t>
      </w:r>
      <w:r>
        <w:rPr/>
        <w:t>County</w:t>
      </w:r>
      <w:r>
        <w:rPr>
          <w:spacing w:val="-8"/>
        </w:rPr>
        <w:t> </w:t>
      </w:r>
      <w:r>
        <w:rPr/>
        <w:t>in</w:t>
      </w:r>
      <w:r>
        <w:rPr>
          <w:spacing w:val="-8"/>
        </w:rPr>
        <w:t> </w:t>
      </w:r>
      <w:r>
        <w:rPr/>
        <w:t>achieving</w:t>
      </w:r>
      <w:r>
        <w:rPr>
          <w:spacing w:val="-7"/>
        </w:rPr>
        <w:t> </w:t>
      </w:r>
      <w:r>
        <w:rPr/>
        <w:t>its</w:t>
      </w:r>
      <w:r>
        <w:rPr>
          <w:spacing w:val="-6"/>
        </w:rPr>
        <w:t> </w:t>
      </w:r>
      <w:r>
        <w:rPr>
          <w:spacing w:val="-2"/>
        </w:rPr>
        <w:t>goals.</w:t>
      </w:r>
    </w:p>
    <w:p>
      <w:pPr>
        <w:spacing w:before="181"/>
        <w:ind w:left="1440" w:right="0" w:firstLine="0"/>
        <w:jc w:val="left"/>
        <w:rPr>
          <w:i/>
          <w:sz w:val="22"/>
        </w:rPr>
      </w:pPr>
      <w:r>
        <w:rPr>
          <w:i/>
          <w:sz w:val="22"/>
        </w:rPr>
        <w:t>Table</w:t>
      </w:r>
      <w:r>
        <w:rPr>
          <w:i/>
          <w:spacing w:val="-9"/>
          <w:sz w:val="22"/>
        </w:rPr>
        <w:t> </w:t>
      </w:r>
      <w:r>
        <w:rPr>
          <w:i/>
          <w:sz w:val="22"/>
        </w:rPr>
        <w:t>Y7:</w:t>
      </w:r>
      <w:r>
        <w:rPr>
          <w:i/>
          <w:spacing w:val="-9"/>
          <w:sz w:val="22"/>
        </w:rPr>
        <w:t> </w:t>
      </w:r>
      <w:r>
        <w:rPr>
          <w:i/>
          <w:sz w:val="22"/>
        </w:rPr>
        <w:t>County</w:t>
      </w:r>
      <w:r>
        <w:rPr>
          <w:i/>
          <w:spacing w:val="-9"/>
          <w:sz w:val="22"/>
        </w:rPr>
        <w:t> </w:t>
      </w:r>
      <w:r>
        <w:rPr>
          <w:i/>
          <w:sz w:val="22"/>
        </w:rPr>
        <w:t>Resources</w:t>
      </w:r>
      <w:r>
        <w:rPr>
          <w:i/>
          <w:spacing w:val="-9"/>
          <w:sz w:val="22"/>
        </w:rPr>
        <w:t> </w:t>
      </w:r>
      <w:r>
        <w:rPr>
          <w:i/>
          <w:sz w:val="22"/>
        </w:rPr>
        <w:t>to</w:t>
      </w:r>
      <w:r>
        <w:rPr>
          <w:i/>
          <w:spacing w:val="-9"/>
          <w:sz w:val="22"/>
        </w:rPr>
        <w:t> </w:t>
      </w:r>
      <w:r>
        <w:rPr>
          <w:i/>
          <w:sz w:val="22"/>
        </w:rPr>
        <w:t>Accomplish</w:t>
      </w:r>
      <w:r>
        <w:rPr>
          <w:i/>
          <w:spacing w:val="-9"/>
          <w:sz w:val="22"/>
        </w:rPr>
        <w:t> </w:t>
      </w:r>
      <w:r>
        <w:rPr>
          <w:i/>
          <w:sz w:val="22"/>
        </w:rPr>
        <w:t>CHA/CHIP</w:t>
      </w:r>
      <w:r>
        <w:rPr>
          <w:i/>
          <w:spacing w:val="-8"/>
          <w:sz w:val="22"/>
        </w:rPr>
        <w:t> </w:t>
      </w:r>
      <w:r>
        <w:rPr>
          <w:i/>
          <w:spacing w:val="-2"/>
          <w:sz w:val="22"/>
        </w:rPr>
        <w:t>Goals</w:t>
      </w:r>
    </w:p>
    <w:p>
      <w:pPr>
        <w:pStyle w:val="BodyText"/>
        <w:spacing w:before="10"/>
        <w:ind w:left="0"/>
        <w:rPr>
          <w:i/>
          <w:sz w:val="14"/>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1"/>
        <w:gridCol w:w="3000"/>
        <w:gridCol w:w="3624"/>
      </w:tblGrid>
      <w:tr>
        <w:trPr>
          <w:trHeight w:val="1026" w:hRule="atLeast"/>
        </w:trPr>
        <w:tc>
          <w:tcPr>
            <w:tcW w:w="2731" w:type="dxa"/>
            <w:shd w:val="clear" w:color="auto" w:fill="83C9EB"/>
          </w:tcPr>
          <w:p>
            <w:pPr>
              <w:pStyle w:val="TableParagraph"/>
              <w:spacing w:line="240" w:lineRule="auto"/>
              <w:ind w:left="0"/>
              <w:rPr>
                <w:i/>
                <w:sz w:val="28"/>
              </w:rPr>
            </w:pPr>
          </w:p>
          <w:p>
            <w:pPr>
              <w:pStyle w:val="TableParagraph"/>
              <w:spacing w:line="240" w:lineRule="auto" w:before="1"/>
              <w:ind w:left="625"/>
              <w:rPr>
                <w:b/>
                <w:sz w:val="28"/>
              </w:rPr>
            </w:pPr>
            <w:r>
              <w:rPr>
                <w:b/>
                <w:sz w:val="28"/>
              </w:rPr>
              <w:t>Priority</w:t>
            </w:r>
            <w:r>
              <w:rPr>
                <w:b/>
                <w:spacing w:val="-4"/>
                <w:sz w:val="28"/>
              </w:rPr>
              <w:t> Area</w:t>
            </w:r>
          </w:p>
        </w:tc>
        <w:tc>
          <w:tcPr>
            <w:tcW w:w="3000" w:type="dxa"/>
            <w:shd w:val="clear" w:color="auto" w:fill="83C9EB"/>
          </w:tcPr>
          <w:p>
            <w:pPr>
              <w:pStyle w:val="TableParagraph"/>
              <w:spacing w:line="341" w:lineRule="exact" w:before="172"/>
              <w:ind w:left="11" w:right="1"/>
              <w:jc w:val="center"/>
              <w:rPr>
                <w:b/>
                <w:sz w:val="28"/>
              </w:rPr>
            </w:pPr>
            <w:r>
              <w:rPr>
                <w:b/>
                <w:sz w:val="28"/>
              </w:rPr>
              <w:t>Sample</w:t>
            </w:r>
            <w:r>
              <w:rPr>
                <w:b/>
                <w:spacing w:val="-5"/>
                <w:sz w:val="28"/>
              </w:rPr>
              <w:t> </w:t>
            </w:r>
            <w:r>
              <w:rPr>
                <w:b/>
                <w:sz w:val="28"/>
              </w:rPr>
              <w:t>Assets</w:t>
            </w:r>
            <w:r>
              <w:rPr>
                <w:b/>
                <w:spacing w:val="-4"/>
                <w:sz w:val="28"/>
              </w:rPr>
              <w:t> </w:t>
            </w:r>
            <w:r>
              <w:rPr>
                <w:b/>
                <w:spacing w:val="-10"/>
                <w:sz w:val="28"/>
              </w:rPr>
              <w:t>&amp;</w:t>
            </w:r>
          </w:p>
          <w:p>
            <w:pPr>
              <w:pStyle w:val="TableParagraph"/>
              <w:spacing w:line="341" w:lineRule="exact"/>
              <w:ind w:left="11"/>
              <w:jc w:val="center"/>
              <w:rPr>
                <w:b/>
                <w:sz w:val="28"/>
              </w:rPr>
            </w:pPr>
            <w:r>
              <w:rPr>
                <w:b/>
                <w:sz w:val="28"/>
              </w:rPr>
              <w:t>Collaborafive</w:t>
            </w:r>
            <w:r>
              <w:rPr>
                <w:b/>
                <w:spacing w:val="-14"/>
                <w:sz w:val="28"/>
              </w:rPr>
              <w:t> </w:t>
            </w:r>
            <w:r>
              <w:rPr>
                <w:b/>
                <w:spacing w:val="-2"/>
                <w:sz w:val="28"/>
              </w:rPr>
              <w:t>Resources</w:t>
            </w:r>
          </w:p>
        </w:tc>
        <w:tc>
          <w:tcPr>
            <w:tcW w:w="3624" w:type="dxa"/>
            <w:shd w:val="clear" w:color="auto" w:fill="83C9EB"/>
          </w:tcPr>
          <w:p>
            <w:pPr>
              <w:pStyle w:val="TableParagraph"/>
              <w:spacing w:line="240" w:lineRule="auto" w:before="2"/>
              <w:ind w:left="249" w:right="237" w:hanging="2"/>
              <w:jc w:val="center"/>
              <w:rPr>
                <w:b/>
                <w:sz w:val="28"/>
              </w:rPr>
            </w:pPr>
            <w:r>
              <w:rPr>
                <w:b/>
                <w:sz w:val="28"/>
              </w:rPr>
              <w:t>How They Support Community</w:t>
            </w:r>
            <w:r>
              <w:rPr>
                <w:b/>
                <w:spacing w:val="-15"/>
                <w:sz w:val="28"/>
              </w:rPr>
              <w:t> </w:t>
            </w:r>
            <w:r>
              <w:rPr>
                <w:b/>
                <w:sz w:val="28"/>
              </w:rPr>
              <w:t>Health</w:t>
            </w:r>
            <w:r>
              <w:rPr>
                <w:b/>
                <w:spacing w:val="-14"/>
                <w:sz w:val="28"/>
              </w:rPr>
              <w:t> </w:t>
            </w:r>
            <w:r>
              <w:rPr>
                <w:b/>
                <w:sz w:val="28"/>
              </w:rPr>
              <w:t>&amp;</w:t>
            </w:r>
            <w:r>
              <w:rPr>
                <w:b/>
                <w:spacing w:val="-15"/>
                <w:sz w:val="28"/>
              </w:rPr>
              <w:t> </w:t>
            </w:r>
            <w:r>
              <w:rPr>
                <w:b/>
                <w:sz w:val="28"/>
              </w:rPr>
              <w:t>Well-</w:t>
            </w:r>
          </w:p>
          <w:p>
            <w:pPr>
              <w:pStyle w:val="TableParagraph"/>
              <w:spacing w:line="321" w:lineRule="exact"/>
              <w:ind w:left="13"/>
              <w:jc w:val="center"/>
              <w:rPr>
                <w:b/>
                <w:sz w:val="28"/>
              </w:rPr>
            </w:pPr>
            <w:r>
              <w:rPr>
                <w:b/>
                <w:spacing w:val="-2"/>
                <w:sz w:val="28"/>
              </w:rPr>
              <w:t>being</w:t>
            </w:r>
          </w:p>
        </w:tc>
      </w:tr>
      <w:tr>
        <w:trPr>
          <w:trHeight w:val="4544" w:hRule="atLeast"/>
        </w:trPr>
        <w:tc>
          <w:tcPr>
            <w:tcW w:w="2731" w:type="dxa"/>
            <w:shd w:val="clear" w:color="auto" w:fill="C1E3F5"/>
          </w:tcPr>
          <w:p>
            <w:pPr>
              <w:pStyle w:val="TableParagraph"/>
              <w:spacing w:line="267" w:lineRule="exact"/>
              <w:rPr>
                <w:sz w:val="22"/>
              </w:rPr>
            </w:pPr>
            <w:r>
              <w:rPr>
                <w:sz w:val="22"/>
              </w:rPr>
              <w:t>Housing</w:t>
            </w:r>
            <w:r>
              <w:rPr>
                <w:spacing w:val="-6"/>
                <w:sz w:val="22"/>
              </w:rPr>
              <w:t> </w:t>
            </w:r>
            <w:r>
              <w:rPr>
                <w:sz w:val="22"/>
              </w:rPr>
              <w:t>Stability</w:t>
            </w:r>
            <w:r>
              <w:rPr>
                <w:spacing w:val="-5"/>
                <w:sz w:val="22"/>
              </w:rPr>
              <w:t> </w:t>
            </w:r>
            <w:r>
              <w:rPr>
                <w:spacing w:val="-10"/>
                <w:sz w:val="22"/>
              </w:rPr>
              <w:t>&amp;</w:t>
            </w:r>
          </w:p>
          <w:p>
            <w:pPr>
              <w:pStyle w:val="TableParagraph"/>
              <w:spacing w:line="240" w:lineRule="auto"/>
              <w:rPr>
                <w:sz w:val="22"/>
              </w:rPr>
            </w:pPr>
            <w:r>
              <w:rPr>
                <w:spacing w:val="-2"/>
                <w:sz w:val="22"/>
              </w:rPr>
              <w:t>Aﬀordability</w:t>
            </w:r>
          </w:p>
        </w:tc>
        <w:tc>
          <w:tcPr>
            <w:tcW w:w="3000" w:type="dxa"/>
          </w:tcPr>
          <w:p>
            <w:pPr>
              <w:pStyle w:val="TableParagraph"/>
              <w:spacing w:line="240" w:lineRule="auto"/>
              <w:ind w:right="157"/>
              <w:rPr>
                <w:sz w:val="22"/>
              </w:rPr>
            </w:pPr>
            <w:r>
              <w:rPr>
                <w:sz w:val="22"/>
              </w:rPr>
              <w:t>Yates County DSS; Keuka Housing Council; Cornell Cooperafive Extension (CCE); Yates County Soil and Water; Geneva District Oﬃce for Environmental</w:t>
            </w:r>
            <w:r>
              <w:rPr>
                <w:spacing w:val="-13"/>
                <w:sz w:val="22"/>
              </w:rPr>
              <w:t> </w:t>
            </w:r>
            <w:r>
              <w:rPr>
                <w:sz w:val="22"/>
              </w:rPr>
              <w:t>Health;</w:t>
            </w:r>
            <w:r>
              <w:rPr>
                <w:spacing w:val="-12"/>
                <w:sz w:val="22"/>
              </w:rPr>
              <w:t> </w:t>
            </w:r>
            <w:r>
              <w:rPr>
                <w:sz w:val="22"/>
              </w:rPr>
              <w:t>LAW</w:t>
            </w:r>
            <w:r>
              <w:rPr>
                <w:spacing w:val="-13"/>
                <w:sz w:val="22"/>
              </w:rPr>
              <w:t> </w:t>
            </w:r>
            <w:r>
              <w:rPr>
                <w:sz w:val="22"/>
              </w:rPr>
              <w:t>of NYS; Housing Consorfium</w:t>
            </w:r>
          </w:p>
        </w:tc>
        <w:tc>
          <w:tcPr>
            <w:tcW w:w="3624" w:type="dxa"/>
          </w:tcPr>
          <w:p>
            <w:pPr>
              <w:pStyle w:val="TableParagraph"/>
              <w:spacing w:line="240" w:lineRule="auto"/>
              <w:ind w:right="118"/>
              <w:rPr>
                <w:sz w:val="22"/>
              </w:rPr>
            </w:pPr>
            <w:r>
              <w:rPr>
                <w:sz w:val="22"/>
              </w:rPr>
              <w:t>Ensure basic needs for residents are met (housing, food, safe drinking water, clothing, heat etc.); educafional resources to residents who face environmental hazards within their house; informing residents of their rights as a homeowner; community and governmental collaborafion can help maintain</w:t>
            </w:r>
            <w:r>
              <w:rPr>
                <w:spacing w:val="-13"/>
                <w:sz w:val="22"/>
              </w:rPr>
              <w:t> </w:t>
            </w:r>
            <w:r>
              <w:rPr>
                <w:sz w:val="22"/>
              </w:rPr>
              <w:t>neighborhoods</w:t>
            </w:r>
            <w:r>
              <w:rPr>
                <w:spacing w:val="-12"/>
                <w:sz w:val="22"/>
              </w:rPr>
              <w:t> </w:t>
            </w:r>
            <w:r>
              <w:rPr>
                <w:sz w:val="22"/>
              </w:rPr>
              <w:t>at</w:t>
            </w:r>
            <w:r>
              <w:rPr>
                <w:spacing w:val="-13"/>
                <w:sz w:val="22"/>
              </w:rPr>
              <w:t> </w:t>
            </w:r>
            <w:r>
              <w:rPr>
                <w:sz w:val="22"/>
              </w:rPr>
              <w:t>aﬀordable prices</w:t>
            </w:r>
            <w:r>
              <w:rPr>
                <w:spacing w:val="-9"/>
                <w:sz w:val="22"/>
              </w:rPr>
              <w:t> </w:t>
            </w:r>
            <w:r>
              <w:rPr>
                <w:sz w:val="22"/>
              </w:rPr>
              <w:t>for</w:t>
            </w:r>
            <w:r>
              <w:rPr>
                <w:spacing w:val="-9"/>
                <w:sz w:val="22"/>
              </w:rPr>
              <w:t> </w:t>
            </w:r>
            <w:r>
              <w:rPr>
                <w:sz w:val="22"/>
              </w:rPr>
              <w:t>residents</w:t>
            </w:r>
            <w:r>
              <w:rPr>
                <w:spacing w:val="-10"/>
                <w:sz w:val="22"/>
              </w:rPr>
              <w:t> </w:t>
            </w:r>
            <w:r>
              <w:rPr>
                <w:sz w:val="22"/>
              </w:rPr>
              <w:t>who</w:t>
            </w:r>
            <w:r>
              <w:rPr>
                <w:spacing w:val="-8"/>
                <w:sz w:val="22"/>
              </w:rPr>
              <w:t> </w:t>
            </w:r>
            <w:r>
              <w:rPr>
                <w:sz w:val="22"/>
              </w:rPr>
              <w:t>live</w:t>
            </w:r>
            <w:r>
              <w:rPr>
                <w:spacing w:val="-8"/>
                <w:sz w:val="22"/>
              </w:rPr>
              <w:t> </w:t>
            </w:r>
            <w:r>
              <w:rPr>
                <w:sz w:val="22"/>
              </w:rPr>
              <w:t>and</w:t>
            </w:r>
            <w:r>
              <w:rPr>
                <w:spacing w:val="-9"/>
                <w:sz w:val="22"/>
              </w:rPr>
              <w:t> </w:t>
            </w:r>
            <w:r>
              <w:rPr>
                <w:sz w:val="22"/>
              </w:rPr>
              <w:t>work in the area</w:t>
            </w:r>
          </w:p>
        </w:tc>
      </w:tr>
    </w:tbl>
    <w:p>
      <w:pPr>
        <w:pStyle w:val="TableParagraph"/>
        <w:spacing w:after="0" w:line="240" w:lineRule="auto"/>
        <w:rPr>
          <w:sz w:val="22"/>
        </w:rPr>
        <w:sectPr>
          <w:pgSz w:w="12240" w:h="15840"/>
          <w:pgMar w:header="161" w:footer="1223" w:top="1360" w:bottom="1420" w:left="0" w:right="0"/>
        </w:sectPr>
      </w:pPr>
    </w:p>
    <w:p>
      <w:pPr>
        <w:pStyle w:val="BodyText"/>
        <w:spacing w:before="3"/>
        <w:ind w:left="0"/>
        <w:rPr>
          <w:i/>
          <w:sz w:val="5"/>
        </w:rPr>
      </w:pPr>
    </w:p>
    <w:tbl>
      <w:tblPr>
        <w:tblW w:w="0" w:type="auto"/>
        <w:jc w:val="left"/>
        <w:tblInd w:w="1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1"/>
        <w:gridCol w:w="3000"/>
        <w:gridCol w:w="3624"/>
      </w:tblGrid>
      <w:tr>
        <w:trPr>
          <w:trHeight w:val="5025" w:hRule="atLeast"/>
        </w:trPr>
        <w:tc>
          <w:tcPr>
            <w:tcW w:w="2731" w:type="dxa"/>
            <w:shd w:val="clear" w:color="auto" w:fill="C1E3F5"/>
          </w:tcPr>
          <w:p>
            <w:pPr>
              <w:pStyle w:val="TableParagraph"/>
              <w:spacing w:line="240" w:lineRule="auto"/>
              <w:ind w:right="69"/>
              <w:rPr>
                <w:sz w:val="22"/>
              </w:rPr>
            </w:pPr>
            <w:r>
              <w:rPr>
                <w:sz w:val="22"/>
              </w:rPr>
              <w:t>Prevenfive Services of Chronic</w:t>
            </w:r>
            <w:r>
              <w:rPr>
                <w:spacing w:val="-13"/>
                <w:sz w:val="22"/>
              </w:rPr>
              <w:t> </w:t>
            </w:r>
            <w:r>
              <w:rPr>
                <w:sz w:val="22"/>
              </w:rPr>
              <w:t>Disease</w:t>
            </w:r>
            <w:r>
              <w:rPr>
                <w:spacing w:val="-12"/>
                <w:sz w:val="22"/>
              </w:rPr>
              <w:t> </w:t>
            </w:r>
            <w:r>
              <w:rPr>
                <w:sz w:val="22"/>
              </w:rPr>
              <w:t>Prevenfion &amp; Control</w:t>
            </w:r>
          </w:p>
        </w:tc>
        <w:tc>
          <w:tcPr>
            <w:tcW w:w="3000" w:type="dxa"/>
          </w:tcPr>
          <w:p>
            <w:pPr>
              <w:pStyle w:val="TableParagraph"/>
              <w:spacing w:line="240" w:lineRule="auto"/>
              <w:ind w:right="157"/>
              <w:rPr>
                <w:sz w:val="22"/>
              </w:rPr>
            </w:pPr>
            <w:r>
              <w:rPr>
                <w:sz w:val="22"/>
              </w:rPr>
              <w:t>Cornell</w:t>
            </w:r>
            <w:r>
              <w:rPr>
                <w:spacing w:val="-2"/>
                <w:sz w:val="22"/>
              </w:rPr>
              <w:t> </w:t>
            </w:r>
            <w:r>
              <w:rPr>
                <w:sz w:val="22"/>
              </w:rPr>
              <w:t>Cooperafive</w:t>
            </w:r>
            <w:r>
              <w:rPr>
                <w:spacing w:val="-1"/>
                <w:sz w:val="22"/>
              </w:rPr>
              <w:t> </w:t>
            </w:r>
            <w:r>
              <w:rPr>
                <w:sz w:val="22"/>
              </w:rPr>
              <w:t>Extension (CCE); ProAcfion of Steuben and Yates; Tobacco Acfion Coalifion of the Finger Lakes; Finger Lakes Community Health; Penn Yan Central School District (PYCSD); Dundee</w:t>
            </w:r>
            <w:r>
              <w:rPr>
                <w:spacing w:val="-13"/>
                <w:sz w:val="22"/>
              </w:rPr>
              <w:t> </w:t>
            </w:r>
            <w:r>
              <w:rPr>
                <w:sz w:val="22"/>
              </w:rPr>
              <w:t>Central</w:t>
            </w:r>
            <w:r>
              <w:rPr>
                <w:spacing w:val="-12"/>
                <w:sz w:val="22"/>
              </w:rPr>
              <w:t> </w:t>
            </w:r>
            <w:r>
              <w:rPr>
                <w:sz w:val="22"/>
              </w:rPr>
              <w:t>School</w:t>
            </w:r>
            <w:r>
              <w:rPr>
                <w:spacing w:val="-13"/>
                <w:sz w:val="22"/>
              </w:rPr>
              <w:t> </w:t>
            </w:r>
            <w:r>
              <w:rPr>
                <w:sz w:val="22"/>
              </w:rPr>
              <w:t>District (DCSD); UR Medicine Finger Lakes Health; Dundee Food Pantry-Bapfist Church; The Living Well; Dundee Fresh Grocery, Our Town Rocks; Medical</w:t>
            </w:r>
            <w:r>
              <w:rPr>
                <w:spacing w:val="-5"/>
                <w:sz w:val="22"/>
              </w:rPr>
              <w:t> </w:t>
            </w:r>
            <w:r>
              <w:rPr>
                <w:sz w:val="22"/>
              </w:rPr>
              <w:t>Reserve</w:t>
            </w:r>
            <w:r>
              <w:rPr>
                <w:spacing w:val="-4"/>
                <w:sz w:val="22"/>
              </w:rPr>
              <w:t> </w:t>
            </w:r>
            <w:r>
              <w:rPr>
                <w:sz w:val="22"/>
              </w:rPr>
              <w:t>Corps</w:t>
            </w:r>
            <w:r>
              <w:rPr>
                <w:spacing w:val="-7"/>
                <w:sz w:val="22"/>
              </w:rPr>
              <w:t> </w:t>
            </w:r>
            <w:r>
              <w:rPr>
                <w:sz w:val="22"/>
              </w:rPr>
              <w:t>(MRC); Rochester Regional Health</w:t>
            </w:r>
          </w:p>
        </w:tc>
        <w:tc>
          <w:tcPr>
            <w:tcW w:w="3624" w:type="dxa"/>
          </w:tcPr>
          <w:p>
            <w:pPr>
              <w:pStyle w:val="TableParagraph"/>
              <w:spacing w:line="240" w:lineRule="auto"/>
              <w:ind w:right="54"/>
              <w:rPr>
                <w:sz w:val="22"/>
              </w:rPr>
            </w:pPr>
            <w:r>
              <w:rPr>
                <w:sz w:val="22"/>
              </w:rPr>
              <w:t>Providing educafional resources around</w:t>
            </w:r>
            <w:r>
              <w:rPr>
                <w:spacing w:val="-11"/>
                <w:sz w:val="22"/>
              </w:rPr>
              <w:t> </w:t>
            </w:r>
            <w:r>
              <w:rPr>
                <w:sz w:val="22"/>
              </w:rPr>
              <w:t>general</w:t>
            </w:r>
            <w:r>
              <w:rPr>
                <w:spacing w:val="-13"/>
                <w:sz w:val="22"/>
              </w:rPr>
              <w:t> </w:t>
            </w:r>
            <w:r>
              <w:rPr>
                <w:sz w:val="22"/>
              </w:rPr>
              <w:t>health</w:t>
            </w:r>
            <w:r>
              <w:rPr>
                <w:spacing w:val="-10"/>
                <w:sz w:val="22"/>
              </w:rPr>
              <w:t> </w:t>
            </w:r>
            <w:r>
              <w:rPr>
                <w:sz w:val="22"/>
              </w:rPr>
              <w:t>and</w:t>
            </w:r>
            <w:r>
              <w:rPr>
                <w:spacing w:val="-13"/>
                <w:sz w:val="22"/>
              </w:rPr>
              <w:t> </w:t>
            </w:r>
            <w:r>
              <w:rPr>
                <w:sz w:val="22"/>
              </w:rPr>
              <w:t>well-being, nutrifion, and prevenfion/management of chronic disease; primary, emergency, and specialty health care providers; food and</w:t>
            </w:r>
            <w:r>
              <w:rPr>
                <w:spacing w:val="-4"/>
                <w:sz w:val="22"/>
              </w:rPr>
              <w:t> </w:t>
            </w:r>
            <w:r>
              <w:rPr>
                <w:sz w:val="22"/>
              </w:rPr>
              <w:t>nutrifion</w:t>
            </w:r>
            <w:r>
              <w:rPr>
                <w:spacing w:val="-5"/>
                <w:sz w:val="22"/>
              </w:rPr>
              <w:t> </w:t>
            </w:r>
            <w:r>
              <w:rPr>
                <w:sz w:val="22"/>
              </w:rPr>
              <w:t>security;</w:t>
            </w:r>
            <w:r>
              <w:rPr>
                <w:spacing w:val="-3"/>
                <w:sz w:val="22"/>
              </w:rPr>
              <w:t> </w:t>
            </w:r>
            <w:r>
              <w:rPr>
                <w:sz w:val="22"/>
              </w:rPr>
              <w:t>school</w:t>
            </w:r>
            <w:r>
              <w:rPr>
                <w:spacing w:val="-4"/>
                <w:sz w:val="22"/>
              </w:rPr>
              <w:t> </w:t>
            </w:r>
            <w:r>
              <w:rPr>
                <w:sz w:val="22"/>
              </w:rPr>
              <w:t>systems providing primary prevenfion educafion, healthy food opfions, and educafional opportunifies around health and well-being; organizafions oﬀering community support groups and connecfion to resources</w:t>
            </w:r>
          </w:p>
        </w:tc>
      </w:tr>
      <w:tr>
        <w:trPr>
          <w:trHeight w:val="4029" w:hRule="atLeast"/>
        </w:trPr>
        <w:tc>
          <w:tcPr>
            <w:tcW w:w="2731" w:type="dxa"/>
            <w:shd w:val="clear" w:color="auto" w:fill="C1E3F5"/>
          </w:tcPr>
          <w:p>
            <w:pPr>
              <w:pStyle w:val="TableParagraph"/>
              <w:rPr>
                <w:sz w:val="22"/>
              </w:rPr>
            </w:pPr>
            <w:r>
              <w:rPr>
                <w:sz w:val="22"/>
              </w:rPr>
              <w:t>Anxiety</w:t>
            </w:r>
            <w:r>
              <w:rPr>
                <w:spacing w:val="-6"/>
                <w:sz w:val="22"/>
              </w:rPr>
              <w:t> </w:t>
            </w:r>
            <w:r>
              <w:rPr>
                <w:sz w:val="22"/>
              </w:rPr>
              <w:t>&amp;</w:t>
            </w:r>
            <w:r>
              <w:rPr>
                <w:spacing w:val="-5"/>
                <w:sz w:val="22"/>
              </w:rPr>
              <w:t> </w:t>
            </w:r>
            <w:r>
              <w:rPr>
                <w:spacing w:val="-2"/>
                <w:sz w:val="22"/>
              </w:rPr>
              <w:t>Stress</w:t>
            </w:r>
          </w:p>
        </w:tc>
        <w:tc>
          <w:tcPr>
            <w:tcW w:w="3000" w:type="dxa"/>
          </w:tcPr>
          <w:p>
            <w:pPr>
              <w:pStyle w:val="TableParagraph"/>
              <w:spacing w:line="240" w:lineRule="auto"/>
              <w:ind w:right="123"/>
              <w:rPr>
                <w:sz w:val="22"/>
              </w:rPr>
            </w:pPr>
            <w:r>
              <w:rPr>
                <w:sz w:val="22"/>
              </w:rPr>
              <w:t>Penn Yan Public Library; Yates County Oﬃce of Emergency Services;</w:t>
            </w:r>
            <w:r>
              <w:rPr>
                <w:spacing w:val="-13"/>
                <w:sz w:val="22"/>
              </w:rPr>
              <w:t> </w:t>
            </w:r>
            <w:r>
              <w:rPr>
                <w:sz w:val="22"/>
              </w:rPr>
              <w:t>ProAcfion</w:t>
            </w:r>
            <w:r>
              <w:rPr>
                <w:spacing w:val="-12"/>
                <w:sz w:val="22"/>
              </w:rPr>
              <w:t> </w:t>
            </w:r>
            <w:r>
              <w:rPr>
                <w:sz w:val="22"/>
              </w:rPr>
              <w:t>of</w:t>
            </w:r>
            <w:r>
              <w:rPr>
                <w:spacing w:val="-11"/>
                <w:sz w:val="22"/>
              </w:rPr>
              <w:t> </w:t>
            </w:r>
            <w:r>
              <w:rPr>
                <w:sz w:val="22"/>
              </w:rPr>
              <w:t>Steuben and Yates; Finger Lakes Area Counseling and Referral Agency</w:t>
            </w:r>
            <w:r>
              <w:rPr>
                <w:spacing w:val="-9"/>
                <w:sz w:val="22"/>
              </w:rPr>
              <w:t> </w:t>
            </w:r>
            <w:r>
              <w:rPr>
                <w:sz w:val="22"/>
              </w:rPr>
              <w:t>(FLACRA);</w:t>
            </w:r>
            <w:r>
              <w:rPr>
                <w:spacing w:val="-9"/>
                <w:sz w:val="22"/>
              </w:rPr>
              <w:t> </w:t>
            </w:r>
            <w:r>
              <w:rPr>
                <w:sz w:val="22"/>
              </w:rPr>
              <w:t>Finger</w:t>
            </w:r>
            <w:r>
              <w:rPr>
                <w:spacing w:val="-12"/>
                <w:sz w:val="22"/>
              </w:rPr>
              <w:t> </w:t>
            </w:r>
            <w:r>
              <w:rPr>
                <w:sz w:val="22"/>
              </w:rPr>
              <w:t>Lakes Community Health; Yates County Sheriﬀ’s</w:t>
            </w:r>
            <w:r>
              <w:rPr>
                <w:spacing w:val="-2"/>
                <w:sz w:val="22"/>
              </w:rPr>
              <w:t> </w:t>
            </w:r>
            <w:r>
              <w:rPr>
                <w:sz w:val="22"/>
              </w:rPr>
              <w:t>Oﬃce</w:t>
            </w:r>
            <w:r>
              <w:rPr>
                <w:spacing w:val="-1"/>
                <w:sz w:val="22"/>
              </w:rPr>
              <w:t> </w:t>
            </w:r>
            <w:r>
              <w:rPr>
                <w:sz w:val="22"/>
              </w:rPr>
              <w:t>(YCSO); Lakeview Health Services; Yates County Correcfional Facility; UR Medicine Finger Lakes Health; The Living Well; Yates County Community Services; Our Town Rocks;</w:t>
            </w:r>
          </w:p>
          <w:p>
            <w:pPr>
              <w:pStyle w:val="TableParagraph"/>
              <w:spacing w:line="249" w:lineRule="exact"/>
              <w:rPr>
                <w:sz w:val="22"/>
              </w:rPr>
            </w:pPr>
            <w:r>
              <w:rPr>
                <w:spacing w:val="-2"/>
                <w:sz w:val="22"/>
              </w:rPr>
              <w:t>Yates</w:t>
            </w:r>
            <w:r>
              <w:rPr>
                <w:spacing w:val="-1"/>
                <w:sz w:val="22"/>
              </w:rPr>
              <w:t> </w:t>
            </w:r>
            <w:r>
              <w:rPr>
                <w:spacing w:val="-2"/>
                <w:sz w:val="22"/>
              </w:rPr>
              <w:t>Prevenfion</w:t>
            </w:r>
            <w:r>
              <w:rPr>
                <w:spacing w:val="1"/>
                <w:sz w:val="22"/>
              </w:rPr>
              <w:t> </w:t>
            </w:r>
            <w:r>
              <w:rPr>
                <w:spacing w:val="-2"/>
                <w:sz w:val="22"/>
              </w:rPr>
              <w:t>Coalifion</w:t>
            </w:r>
          </w:p>
        </w:tc>
        <w:tc>
          <w:tcPr>
            <w:tcW w:w="3624" w:type="dxa"/>
          </w:tcPr>
          <w:p>
            <w:pPr>
              <w:pStyle w:val="TableParagraph"/>
              <w:spacing w:line="240" w:lineRule="auto"/>
              <w:ind w:right="119"/>
              <w:rPr>
                <w:sz w:val="22"/>
              </w:rPr>
            </w:pPr>
            <w:r>
              <w:rPr>
                <w:sz w:val="22"/>
              </w:rPr>
              <w:t>Mental health support and care; emergency</w:t>
            </w:r>
            <w:r>
              <w:rPr>
                <w:spacing w:val="-13"/>
                <w:sz w:val="22"/>
              </w:rPr>
              <w:t> </w:t>
            </w:r>
            <w:r>
              <w:rPr>
                <w:sz w:val="22"/>
              </w:rPr>
              <w:t>response</w:t>
            </w:r>
            <w:r>
              <w:rPr>
                <w:spacing w:val="-12"/>
                <w:sz w:val="22"/>
              </w:rPr>
              <w:t> </w:t>
            </w:r>
            <w:r>
              <w:rPr>
                <w:sz w:val="22"/>
              </w:rPr>
              <w:t>to</w:t>
            </w:r>
            <w:r>
              <w:rPr>
                <w:spacing w:val="-13"/>
                <w:sz w:val="22"/>
              </w:rPr>
              <w:t> </w:t>
            </w:r>
            <w:r>
              <w:rPr>
                <w:sz w:val="22"/>
              </w:rPr>
              <w:t>mental</w:t>
            </w:r>
            <w:r>
              <w:rPr>
                <w:spacing w:val="-11"/>
                <w:sz w:val="22"/>
              </w:rPr>
              <w:t> </w:t>
            </w:r>
            <w:r>
              <w:rPr>
                <w:sz w:val="22"/>
              </w:rPr>
              <w:t>health crises; resources for mental health and general well-being; educafional resources for residents who experience mental health concerns; populafion-speciﬁc resources and community support; social</w:t>
            </w:r>
            <w:r>
              <w:rPr>
                <w:spacing w:val="40"/>
                <w:sz w:val="22"/>
              </w:rPr>
              <w:t> </w:t>
            </w:r>
            <w:r>
              <w:rPr>
                <w:sz w:val="22"/>
              </w:rPr>
              <w:t>connecfion opportunifies</w:t>
            </w:r>
          </w:p>
        </w:tc>
      </w:tr>
    </w:tbl>
    <w:p>
      <w:pPr>
        <w:pStyle w:val="TableParagraph"/>
        <w:spacing w:after="0" w:line="240" w:lineRule="auto"/>
        <w:rPr>
          <w:sz w:val="22"/>
        </w:rPr>
        <w:sectPr>
          <w:pgSz w:w="12240" w:h="15840"/>
          <w:pgMar w:header="161" w:footer="1223" w:top="1360" w:bottom="1420" w:left="0" w:right="0"/>
        </w:sectPr>
      </w:pPr>
    </w:p>
    <w:p>
      <w:pPr>
        <w:pStyle w:val="Heading1"/>
        <w:spacing w:before="64"/>
      </w:pPr>
      <w:r>
        <w:rPr/>
        <mc:AlternateContent>
          <mc:Choice Requires="wps">
            <w:drawing>
              <wp:anchor distT="0" distB="0" distL="0" distR="0" allowOverlap="1" layoutInCell="1" locked="0" behindDoc="1" simplePos="0" relativeHeight="486556160">
                <wp:simplePos x="0" y="0"/>
                <wp:positionH relativeFrom="page">
                  <wp:posOffset>-6095</wp:posOffset>
                </wp:positionH>
                <wp:positionV relativeFrom="paragraph">
                  <wp:posOffset>307848</wp:posOffset>
                </wp:positionV>
                <wp:extent cx="7776845" cy="44069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7776845" cy="440690"/>
                          <a:chExt cx="7776845" cy="440690"/>
                        </a:xfrm>
                      </wpg:grpSpPr>
                      <wps:wsp>
                        <wps:cNvPr id="153" name="Graphic 153"/>
                        <wps:cNvSpPr/>
                        <wps:spPr>
                          <a:xfrm>
                            <a:off x="6095" y="6223"/>
                            <a:ext cx="7764780" cy="427990"/>
                          </a:xfrm>
                          <a:custGeom>
                            <a:avLst/>
                            <a:gdLst/>
                            <a:ahLst/>
                            <a:cxnLst/>
                            <a:rect l="l" t="t" r="r" b="b"/>
                            <a:pathLst>
                              <a:path w="7764780" h="427990">
                                <a:moveTo>
                                  <a:pt x="3300984" y="380872"/>
                                </a:moveTo>
                                <a:lnTo>
                                  <a:pt x="1319783" y="380872"/>
                                </a:lnTo>
                                <a:lnTo>
                                  <a:pt x="2310383" y="427990"/>
                                </a:lnTo>
                                <a:lnTo>
                                  <a:pt x="3300984" y="380872"/>
                                </a:lnTo>
                                <a:close/>
                              </a:path>
                              <a:path w="7764780" h="427990">
                                <a:moveTo>
                                  <a:pt x="7764653" y="0"/>
                                </a:moveTo>
                                <a:lnTo>
                                  <a:pt x="0" y="0"/>
                                </a:lnTo>
                                <a:lnTo>
                                  <a:pt x="0" y="380872"/>
                                </a:lnTo>
                                <a:lnTo>
                                  <a:pt x="7764653" y="380872"/>
                                </a:lnTo>
                                <a:lnTo>
                                  <a:pt x="7764653" y="0"/>
                                </a:lnTo>
                                <a:close/>
                              </a:path>
                            </a:pathLst>
                          </a:custGeom>
                          <a:solidFill>
                            <a:srgbClr val="145F82"/>
                          </a:solidFill>
                        </wps:spPr>
                        <wps:bodyPr wrap="square" lIns="0" tIns="0" rIns="0" bIns="0" rtlCol="0">
                          <a:prstTxWarp prst="textNoShape">
                            <a:avLst/>
                          </a:prstTxWarp>
                          <a:noAutofit/>
                        </wps:bodyPr>
                      </wps:wsp>
                      <wps:wsp>
                        <wps:cNvPr id="154" name="Graphic 154"/>
                        <wps:cNvSpPr/>
                        <wps:spPr>
                          <a:xfrm>
                            <a:off x="6095" y="6095"/>
                            <a:ext cx="7764780" cy="428625"/>
                          </a:xfrm>
                          <a:custGeom>
                            <a:avLst/>
                            <a:gdLst/>
                            <a:ahLst/>
                            <a:cxnLst/>
                            <a:rect l="l" t="t" r="r" b="b"/>
                            <a:pathLst>
                              <a:path w="7764780" h="428625">
                                <a:moveTo>
                                  <a:pt x="7764653" y="381000"/>
                                </a:moveTo>
                                <a:lnTo>
                                  <a:pt x="3300984" y="381000"/>
                                </a:lnTo>
                                <a:lnTo>
                                  <a:pt x="2310383" y="428117"/>
                                </a:lnTo>
                                <a:lnTo>
                                  <a:pt x="1319783" y="381000"/>
                                </a:lnTo>
                                <a:lnTo>
                                  <a:pt x="0" y="381000"/>
                                </a:lnTo>
                                <a:lnTo>
                                  <a:pt x="0" y="318389"/>
                                </a:lnTo>
                                <a:lnTo>
                                  <a:pt x="0" y="222376"/>
                                </a:lnTo>
                                <a:lnTo>
                                  <a:pt x="0" y="0"/>
                                </a:lnTo>
                                <a:lnTo>
                                  <a:pt x="1319783" y="0"/>
                                </a:lnTo>
                                <a:lnTo>
                                  <a:pt x="3300984" y="0"/>
                                </a:lnTo>
                                <a:lnTo>
                                  <a:pt x="7764653" y="0"/>
                                </a:lnTo>
                              </a:path>
                            </a:pathLst>
                          </a:custGeom>
                          <a:ln w="12192">
                            <a:solidFill>
                              <a:srgbClr val="042332"/>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8pt;margin-top:24.240009pt;width:612.35pt;height:34.7pt;mso-position-horizontal-relative:page;mso-position-vertical-relative:paragraph;z-index:-16760320" id="docshapegroup110" coordorigin="-10,485" coordsize="12247,694">
                <v:shape style="position:absolute;left:0;top:494;width:12228;height:674" id="docshape111" coordorigin="0,495" coordsize="12228,674" path="m5198,1094l2078,1094,3638,1169,5198,1094xm12228,495l0,495,0,1094,12228,1094,12228,495xe" filled="true" fillcolor="#145f82" stroked="false">
                  <v:path arrowok="t"/>
                  <v:fill type="solid"/>
                </v:shape>
                <v:shape style="position:absolute;left:0;top:494;width:12228;height:675" id="docshape112" coordorigin="0,494" coordsize="12228,675" path="m12228,1094l5198,1094,3638,1169,2078,1094,0,1094,0,996,0,845,0,494,2078,494,5198,494,12228,494e" filled="false" stroked="true" strokeweight=".96pt" strokecolor="#042332">
                  <v:path arrowok="t"/>
                  <v:stroke dashstyle="solid"/>
                </v:shape>
                <w10:wrap type="none"/>
              </v:group>
            </w:pict>
          </mc:Fallback>
        </mc:AlternateContent>
      </w:r>
      <w:r>
        <w:rPr/>
        <w:t>Appendix</w:t>
      </w:r>
      <w:r>
        <w:rPr>
          <w:spacing w:val="-6"/>
        </w:rPr>
        <w:t> </w:t>
      </w:r>
      <w:r>
        <w:rPr>
          <w:spacing w:val="-10"/>
        </w:rPr>
        <w:t>1</w:t>
      </w:r>
    </w:p>
    <w:p>
      <w:pPr>
        <w:spacing w:before="172"/>
        <w:ind w:left="277" w:right="27" w:firstLine="0"/>
        <w:jc w:val="center"/>
        <w:rPr>
          <w:sz w:val="28"/>
        </w:rPr>
      </w:pPr>
      <w:r>
        <w:rPr>
          <w:color w:val="FFFFFF"/>
          <w:sz w:val="28"/>
        </w:rPr>
        <w:t>Parficipafing</w:t>
      </w:r>
      <w:r>
        <w:rPr>
          <w:color w:val="FFFFFF"/>
          <w:spacing w:val="-9"/>
          <w:sz w:val="28"/>
        </w:rPr>
        <w:t> </w:t>
      </w:r>
      <w:r>
        <w:rPr>
          <w:color w:val="FFFFFF"/>
          <w:sz w:val="28"/>
        </w:rPr>
        <w:t>Partners</w:t>
      </w:r>
      <w:r>
        <w:rPr>
          <w:color w:val="FFFFFF"/>
          <w:spacing w:val="-9"/>
          <w:sz w:val="28"/>
        </w:rPr>
        <w:t> </w:t>
      </w:r>
      <w:r>
        <w:rPr>
          <w:color w:val="FFFFFF"/>
          <w:sz w:val="28"/>
        </w:rPr>
        <w:t>and</w:t>
      </w:r>
      <w:r>
        <w:rPr>
          <w:color w:val="FFFFFF"/>
          <w:spacing w:val="-12"/>
          <w:sz w:val="28"/>
        </w:rPr>
        <w:t> </w:t>
      </w:r>
      <w:r>
        <w:rPr>
          <w:color w:val="FFFFFF"/>
          <w:sz w:val="28"/>
        </w:rPr>
        <w:t>Community</w:t>
      </w:r>
      <w:r>
        <w:rPr>
          <w:color w:val="FFFFFF"/>
          <w:spacing w:val="-10"/>
          <w:sz w:val="28"/>
        </w:rPr>
        <w:t> </w:t>
      </w:r>
      <w:r>
        <w:rPr>
          <w:color w:val="FFFFFF"/>
          <w:spacing w:val="-2"/>
          <w:sz w:val="28"/>
        </w:rPr>
        <w:t>Representafion</w:t>
      </w:r>
    </w:p>
    <w:p>
      <w:pPr>
        <w:pStyle w:val="BodyText"/>
        <w:spacing w:before="183"/>
        <w:ind w:left="0"/>
      </w:pPr>
    </w:p>
    <w:p>
      <w:pPr>
        <w:pStyle w:val="BodyText"/>
        <w:ind w:right="1467"/>
      </w:pPr>
      <w:r>
        <w:rPr/>
        <w:t>A diverse coalifion of organizafions and community members parficipated in the Yates County Community</w:t>
      </w:r>
      <w:r>
        <w:rPr>
          <w:spacing w:val="-3"/>
        </w:rPr>
        <w:t> </w:t>
      </w:r>
      <w:r>
        <w:rPr/>
        <w:t>Health</w:t>
      </w:r>
      <w:r>
        <w:rPr>
          <w:spacing w:val="-4"/>
        </w:rPr>
        <w:t> </w:t>
      </w:r>
      <w:r>
        <w:rPr/>
        <w:t>Assessment</w:t>
      </w:r>
      <w:r>
        <w:rPr>
          <w:spacing w:val="-4"/>
        </w:rPr>
        <w:t> </w:t>
      </w:r>
      <w:r>
        <w:rPr/>
        <w:t>process</w:t>
      </w:r>
      <w:r>
        <w:rPr>
          <w:spacing w:val="-6"/>
        </w:rPr>
        <w:t> </w:t>
      </w:r>
      <w:r>
        <w:rPr/>
        <w:t>to</w:t>
      </w:r>
      <w:r>
        <w:rPr>
          <w:spacing w:val="-5"/>
        </w:rPr>
        <w:t> </w:t>
      </w:r>
      <w:r>
        <w:rPr/>
        <w:t>ensure</w:t>
      </w:r>
      <w:r>
        <w:rPr>
          <w:spacing w:val="-3"/>
        </w:rPr>
        <w:t> </w:t>
      </w:r>
      <w:r>
        <w:rPr/>
        <w:t>broad</w:t>
      </w:r>
      <w:r>
        <w:rPr>
          <w:spacing w:val="-5"/>
        </w:rPr>
        <w:t> </w:t>
      </w:r>
      <w:r>
        <w:rPr/>
        <w:t>stakeholder</w:t>
      </w:r>
      <w:r>
        <w:rPr>
          <w:spacing w:val="-6"/>
        </w:rPr>
        <w:t> </w:t>
      </w:r>
      <w:r>
        <w:rPr/>
        <w:t>input</w:t>
      </w:r>
      <w:r>
        <w:rPr>
          <w:spacing w:val="-3"/>
        </w:rPr>
        <w:t> </w:t>
      </w:r>
      <w:r>
        <w:rPr/>
        <w:t>and</w:t>
      </w:r>
      <w:r>
        <w:rPr>
          <w:spacing w:val="-4"/>
        </w:rPr>
        <w:t> </w:t>
      </w:r>
      <w:r>
        <w:rPr/>
        <w:t>representafion</w:t>
      </w:r>
      <w:r>
        <w:rPr>
          <w:spacing w:val="-4"/>
        </w:rPr>
        <w:t> </w:t>
      </w:r>
      <w:r>
        <w:rPr/>
        <w:t>from populafions</w:t>
      </w:r>
      <w:r>
        <w:rPr>
          <w:spacing w:val="-6"/>
        </w:rPr>
        <w:t> </w:t>
      </w:r>
      <w:r>
        <w:rPr/>
        <w:t>experiencing</w:t>
      </w:r>
      <w:r>
        <w:rPr>
          <w:spacing w:val="-4"/>
        </w:rPr>
        <w:t> </w:t>
      </w:r>
      <w:r>
        <w:rPr/>
        <w:t>health</w:t>
      </w:r>
      <w:r>
        <w:rPr>
          <w:spacing w:val="-5"/>
        </w:rPr>
        <w:t> </w:t>
      </w:r>
      <w:r>
        <w:rPr/>
        <w:t>disparifies.</w:t>
      </w:r>
      <w:r>
        <w:rPr>
          <w:spacing w:val="-7"/>
        </w:rPr>
        <w:t> </w:t>
      </w:r>
      <w:r>
        <w:rPr/>
        <w:t>Known</w:t>
      </w:r>
      <w:r>
        <w:rPr>
          <w:spacing w:val="-7"/>
        </w:rPr>
        <w:t> </w:t>
      </w:r>
      <w:r>
        <w:rPr/>
        <w:t>as</w:t>
      </w:r>
      <w:r>
        <w:rPr>
          <w:spacing w:val="-6"/>
        </w:rPr>
        <w:t> </w:t>
      </w:r>
      <w:r>
        <w:rPr/>
        <w:t>Choose</w:t>
      </w:r>
      <w:r>
        <w:rPr>
          <w:spacing w:val="-3"/>
        </w:rPr>
        <w:t> </w:t>
      </w:r>
      <w:r>
        <w:rPr/>
        <w:t>Health</w:t>
      </w:r>
      <w:r>
        <w:rPr>
          <w:spacing w:val="-5"/>
        </w:rPr>
        <w:t> </w:t>
      </w:r>
      <w:r>
        <w:rPr/>
        <w:t>Yates,</w:t>
      </w:r>
      <w:r>
        <w:rPr>
          <w:spacing w:val="-6"/>
        </w:rPr>
        <w:t> </w:t>
      </w:r>
      <w:r>
        <w:rPr/>
        <w:t>this</w:t>
      </w:r>
      <w:r>
        <w:rPr>
          <w:spacing w:val="-4"/>
        </w:rPr>
        <w:t> </w:t>
      </w:r>
      <w:r>
        <w:rPr/>
        <w:t>group</w:t>
      </w:r>
      <w:r>
        <w:rPr>
          <w:spacing w:val="-5"/>
        </w:rPr>
        <w:t> </w:t>
      </w:r>
      <w:r>
        <w:rPr/>
        <w:t>serves</w:t>
      </w:r>
      <w:r>
        <w:rPr>
          <w:spacing w:val="-4"/>
        </w:rPr>
        <w:t> </w:t>
      </w:r>
      <w:r>
        <w:rPr/>
        <w:t>as</w:t>
      </w:r>
      <w:r>
        <w:rPr>
          <w:spacing w:val="-6"/>
        </w:rPr>
        <w:t> </w:t>
      </w:r>
      <w:r>
        <w:rPr/>
        <w:t>the Community Health Improvement Plan (CHIP) steering commiftee for Yates County.</w:t>
      </w:r>
      <w:r>
        <w:rPr>
          <w:spacing w:val="40"/>
        </w:rPr>
        <w:t> </w:t>
      </w:r>
      <w:r>
        <w:rPr/>
        <w:t>The following partners are acfive members of the Choose Health Yates Commiftee:</w:t>
      </w:r>
    </w:p>
    <w:p>
      <w:pPr>
        <w:pStyle w:val="BodyText"/>
        <w:spacing w:before="25"/>
        <w:ind w:left="0"/>
        <w:rPr>
          <w:sz w:val="20"/>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11"/>
        <w:gridCol w:w="3422"/>
        <w:gridCol w:w="3012"/>
      </w:tblGrid>
      <w:tr>
        <w:trPr>
          <w:trHeight w:val="429" w:hRule="atLeast"/>
        </w:trPr>
        <w:tc>
          <w:tcPr>
            <w:tcW w:w="2911" w:type="dxa"/>
            <w:shd w:val="clear" w:color="auto" w:fill="145F82"/>
          </w:tcPr>
          <w:p>
            <w:pPr>
              <w:pStyle w:val="TableParagraph"/>
              <w:spacing w:line="267" w:lineRule="exact"/>
              <w:ind w:left="873"/>
              <w:rPr>
                <w:b/>
                <w:sz w:val="22"/>
              </w:rPr>
            </w:pPr>
            <w:r>
              <w:rPr>
                <w:b/>
                <w:color w:val="FFFFFF"/>
                <w:spacing w:val="-2"/>
                <w:sz w:val="22"/>
              </w:rPr>
              <w:t>Organizafion</w:t>
            </w:r>
          </w:p>
        </w:tc>
        <w:tc>
          <w:tcPr>
            <w:tcW w:w="3422" w:type="dxa"/>
            <w:shd w:val="clear" w:color="auto" w:fill="145F82"/>
          </w:tcPr>
          <w:p>
            <w:pPr>
              <w:pStyle w:val="TableParagraph"/>
              <w:spacing w:line="267" w:lineRule="exact"/>
              <w:ind w:left="11"/>
              <w:jc w:val="center"/>
              <w:rPr>
                <w:b/>
                <w:sz w:val="22"/>
              </w:rPr>
            </w:pPr>
            <w:r>
              <w:rPr>
                <w:b/>
                <w:color w:val="FFFFFF"/>
                <w:spacing w:val="-2"/>
                <w:sz w:val="22"/>
              </w:rPr>
              <w:t>Sector</w:t>
            </w:r>
          </w:p>
        </w:tc>
        <w:tc>
          <w:tcPr>
            <w:tcW w:w="3012" w:type="dxa"/>
            <w:shd w:val="clear" w:color="auto" w:fill="145F82"/>
          </w:tcPr>
          <w:p>
            <w:pPr>
              <w:pStyle w:val="TableParagraph"/>
              <w:spacing w:line="267" w:lineRule="exact"/>
              <w:ind w:left="1008"/>
              <w:rPr>
                <w:b/>
                <w:sz w:val="22"/>
              </w:rPr>
            </w:pPr>
            <w:r>
              <w:rPr>
                <w:b/>
                <w:color w:val="FFFFFF"/>
                <w:spacing w:val="-2"/>
                <w:sz w:val="22"/>
              </w:rPr>
              <w:t>Populafion</w:t>
            </w:r>
          </w:p>
        </w:tc>
      </w:tr>
      <w:tr>
        <w:trPr>
          <w:trHeight w:val="429" w:hRule="atLeast"/>
        </w:trPr>
        <w:tc>
          <w:tcPr>
            <w:tcW w:w="2911" w:type="dxa"/>
          </w:tcPr>
          <w:p>
            <w:pPr>
              <w:pStyle w:val="TableParagraph"/>
              <w:ind w:left="6"/>
              <w:rPr>
                <w:sz w:val="22"/>
              </w:rPr>
            </w:pPr>
            <w:r>
              <w:rPr>
                <w:sz w:val="22"/>
              </w:rPr>
              <w:t>Penn</w:t>
            </w:r>
            <w:r>
              <w:rPr>
                <w:spacing w:val="-8"/>
                <w:sz w:val="22"/>
              </w:rPr>
              <w:t> </w:t>
            </w:r>
            <w:r>
              <w:rPr>
                <w:sz w:val="22"/>
              </w:rPr>
              <w:t>Yan</w:t>
            </w:r>
            <w:r>
              <w:rPr>
                <w:spacing w:val="-11"/>
                <w:sz w:val="22"/>
              </w:rPr>
              <w:t> </w:t>
            </w:r>
            <w:r>
              <w:rPr>
                <w:sz w:val="22"/>
              </w:rPr>
              <w:t>Public</w:t>
            </w:r>
            <w:r>
              <w:rPr>
                <w:spacing w:val="-9"/>
                <w:sz w:val="22"/>
              </w:rPr>
              <w:t> </w:t>
            </w:r>
            <w:r>
              <w:rPr>
                <w:spacing w:val="-2"/>
                <w:sz w:val="22"/>
              </w:rPr>
              <w:t>Library</w:t>
            </w:r>
          </w:p>
        </w:tc>
        <w:tc>
          <w:tcPr>
            <w:tcW w:w="3422" w:type="dxa"/>
          </w:tcPr>
          <w:p>
            <w:pPr>
              <w:pStyle w:val="TableParagraph"/>
              <w:ind w:left="7"/>
              <w:rPr>
                <w:sz w:val="22"/>
              </w:rPr>
            </w:pPr>
            <w:r>
              <w:rPr>
                <w:sz w:val="22"/>
              </w:rPr>
              <w:t>Non-proﬁt</w:t>
            </w:r>
            <w:r>
              <w:rPr>
                <w:spacing w:val="-9"/>
                <w:sz w:val="22"/>
              </w:rPr>
              <w:t> </w:t>
            </w:r>
            <w:r>
              <w:rPr>
                <w:spacing w:val="-2"/>
                <w:sz w:val="22"/>
              </w:rPr>
              <w:t>organizafion</w:t>
            </w:r>
          </w:p>
        </w:tc>
        <w:tc>
          <w:tcPr>
            <w:tcW w:w="3012" w:type="dxa"/>
          </w:tcPr>
          <w:p>
            <w:pPr>
              <w:pStyle w:val="TableParagraph"/>
              <w:ind w:left="7"/>
              <w:rPr>
                <w:sz w:val="22"/>
              </w:rPr>
            </w:pPr>
            <w:r>
              <w:rPr>
                <w:sz w:val="22"/>
              </w:rPr>
              <w:t>All</w:t>
            </w:r>
            <w:r>
              <w:rPr>
                <w:spacing w:val="-3"/>
                <w:sz w:val="22"/>
              </w:rPr>
              <w:t> </w:t>
            </w:r>
            <w:r>
              <w:rPr>
                <w:sz w:val="22"/>
              </w:rPr>
              <w:t>populafions,</w:t>
            </w:r>
            <w:r>
              <w:rPr>
                <w:spacing w:val="-5"/>
                <w:sz w:val="22"/>
              </w:rPr>
              <w:t> </w:t>
            </w:r>
            <w:r>
              <w:rPr>
                <w:spacing w:val="-2"/>
                <w:sz w:val="22"/>
              </w:rPr>
              <w:t>LGBTQ+</w:t>
            </w:r>
          </w:p>
        </w:tc>
      </w:tr>
      <w:tr>
        <w:trPr>
          <w:trHeight w:val="697" w:hRule="atLeast"/>
        </w:trPr>
        <w:tc>
          <w:tcPr>
            <w:tcW w:w="2911" w:type="dxa"/>
          </w:tcPr>
          <w:p>
            <w:pPr>
              <w:pStyle w:val="TableParagraph"/>
              <w:spacing w:line="240" w:lineRule="auto"/>
              <w:ind w:left="6" w:right="365"/>
              <w:rPr>
                <w:sz w:val="22"/>
              </w:rPr>
            </w:pPr>
            <w:r>
              <w:rPr>
                <w:sz w:val="22"/>
              </w:rPr>
              <w:t>Pivital</w:t>
            </w:r>
            <w:r>
              <w:rPr>
                <w:spacing w:val="-13"/>
                <w:sz w:val="22"/>
              </w:rPr>
              <w:t> </w:t>
            </w:r>
            <w:r>
              <w:rPr>
                <w:sz w:val="22"/>
              </w:rPr>
              <w:t>Public</w:t>
            </w:r>
            <w:r>
              <w:rPr>
                <w:spacing w:val="-12"/>
                <w:sz w:val="22"/>
              </w:rPr>
              <w:t> </w:t>
            </w:r>
            <w:r>
              <w:rPr>
                <w:sz w:val="22"/>
              </w:rPr>
              <w:t>Health </w:t>
            </w:r>
            <w:r>
              <w:rPr>
                <w:spacing w:val="-2"/>
                <w:sz w:val="22"/>
              </w:rPr>
              <w:t>Partnership</w:t>
            </w:r>
          </w:p>
        </w:tc>
        <w:tc>
          <w:tcPr>
            <w:tcW w:w="3422" w:type="dxa"/>
          </w:tcPr>
          <w:p>
            <w:pPr>
              <w:pStyle w:val="TableParagraph"/>
              <w:ind w:left="7"/>
              <w:rPr>
                <w:sz w:val="22"/>
              </w:rPr>
            </w:pPr>
            <w:r>
              <w:rPr>
                <w:sz w:val="22"/>
              </w:rPr>
              <w:t>Non-proﬁt</w:t>
            </w:r>
            <w:r>
              <w:rPr>
                <w:spacing w:val="-9"/>
                <w:sz w:val="22"/>
              </w:rPr>
              <w:t> </w:t>
            </w:r>
            <w:r>
              <w:rPr>
                <w:spacing w:val="-2"/>
                <w:sz w:val="22"/>
              </w:rPr>
              <w:t>organizafion</w:t>
            </w:r>
          </w:p>
        </w:tc>
        <w:tc>
          <w:tcPr>
            <w:tcW w:w="3012" w:type="dxa"/>
          </w:tcPr>
          <w:p>
            <w:pPr>
              <w:pStyle w:val="TableParagraph"/>
              <w:ind w:left="57"/>
              <w:rPr>
                <w:sz w:val="22"/>
              </w:rPr>
            </w:pPr>
            <w:r>
              <w:rPr>
                <w:sz w:val="22"/>
              </w:rPr>
              <w:t>Finger</w:t>
            </w:r>
            <w:r>
              <w:rPr>
                <w:spacing w:val="-8"/>
                <w:sz w:val="22"/>
              </w:rPr>
              <w:t> </w:t>
            </w:r>
            <w:r>
              <w:rPr>
                <w:sz w:val="22"/>
              </w:rPr>
              <w:t>Lakes</w:t>
            </w:r>
            <w:r>
              <w:rPr>
                <w:spacing w:val="-8"/>
                <w:sz w:val="22"/>
              </w:rPr>
              <w:t> </w:t>
            </w:r>
            <w:r>
              <w:rPr>
                <w:spacing w:val="-2"/>
                <w:sz w:val="22"/>
              </w:rPr>
              <w:t>region</w:t>
            </w:r>
          </w:p>
        </w:tc>
      </w:tr>
      <w:tr>
        <w:trPr>
          <w:trHeight w:val="426" w:hRule="atLeast"/>
        </w:trPr>
        <w:tc>
          <w:tcPr>
            <w:tcW w:w="2911" w:type="dxa"/>
          </w:tcPr>
          <w:p>
            <w:pPr>
              <w:pStyle w:val="TableParagraph"/>
              <w:ind w:left="6"/>
              <w:rPr>
                <w:sz w:val="22"/>
              </w:rPr>
            </w:pPr>
            <w:r>
              <w:rPr>
                <w:sz w:val="22"/>
              </w:rPr>
              <w:t>Chamber</w:t>
            </w:r>
            <w:r>
              <w:rPr>
                <w:spacing w:val="-4"/>
                <w:sz w:val="22"/>
              </w:rPr>
              <w:t> </w:t>
            </w:r>
            <w:r>
              <w:rPr>
                <w:sz w:val="22"/>
              </w:rPr>
              <w:t>of </w:t>
            </w:r>
            <w:r>
              <w:rPr>
                <w:spacing w:val="-2"/>
                <w:sz w:val="22"/>
              </w:rPr>
              <w:t>Commerce</w:t>
            </w:r>
          </w:p>
        </w:tc>
        <w:tc>
          <w:tcPr>
            <w:tcW w:w="3422" w:type="dxa"/>
          </w:tcPr>
          <w:p>
            <w:pPr>
              <w:pStyle w:val="TableParagraph"/>
              <w:ind w:left="7"/>
              <w:rPr>
                <w:sz w:val="22"/>
              </w:rPr>
            </w:pPr>
            <w:r>
              <w:rPr>
                <w:sz w:val="22"/>
              </w:rPr>
              <w:t>Local</w:t>
            </w:r>
            <w:r>
              <w:rPr>
                <w:spacing w:val="-9"/>
                <w:sz w:val="22"/>
              </w:rPr>
              <w:t> </w:t>
            </w:r>
            <w:r>
              <w:rPr>
                <w:sz w:val="22"/>
              </w:rPr>
              <w:t>tourism</w:t>
            </w:r>
            <w:r>
              <w:rPr>
                <w:spacing w:val="-3"/>
                <w:sz w:val="22"/>
              </w:rPr>
              <w:t> </w:t>
            </w:r>
            <w:r>
              <w:rPr>
                <w:spacing w:val="-2"/>
                <w:sz w:val="22"/>
              </w:rPr>
              <w:t>agency</w:t>
            </w:r>
          </w:p>
        </w:tc>
        <w:tc>
          <w:tcPr>
            <w:tcW w:w="3012" w:type="dxa"/>
          </w:tcPr>
          <w:p>
            <w:pPr>
              <w:pStyle w:val="TableParagraph"/>
              <w:ind w:left="57"/>
              <w:rPr>
                <w:sz w:val="22"/>
              </w:rPr>
            </w:pPr>
            <w:r>
              <w:rPr>
                <w:spacing w:val="-2"/>
                <w:sz w:val="22"/>
              </w:rPr>
              <w:t>Yates</w:t>
            </w:r>
            <w:r>
              <w:rPr>
                <w:spacing w:val="-5"/>
                <w:sz w:val="22"/>
              </w:rPr>
              <w:t> </w:t>
            </w:r>
            <w:r>
              <w:rPr>
                <w:spacing w:val="-2"/>
                <w:sz w:val="22"/>
              </w:rPr>
              <w:t>County residents</w:t>
            </w:r>
          </w:p>
        </w:tc>
      </w:tr>
      <w:tr>
        <w:trPr>
          <w:trHeight w:val="697" w:hRule="atLeast"/>
        </w:trPr>
        <w:tc>
          <w:tcPr>
            <w:tcW w:w="2911" w:type="dxa"/>
          </w:tcPr>
          <w:p>
            <w:pPr>
              <w:pStyle w:val="TableParagraph"/>
              <w:ind w:left="6"/>
              <w:rPr>
                <w:sz w:val="22"/>
              </w:rPr>
            </w:pPr>
            <w:r>
              <w:rPr>
                <w:sz w:val="22"/>
              </w:rPr>
              <w:t>Yates</w:t>
            </w:r>
            <w:r>
              <w:rPr>
                <w:spacing w:val="-11"/>
                <w:sz w:val="22"/>
              </w:rPr>
              <w:t> </w:t>
            </w:r>
            <w:r>
              <w:rPr>
                <w:sz w:val="22"/>
              </w:rPr>
              <w:t>County</w:t>
            </w:r>
            <w:r>
              <w:rPr>
                <w:spacing w:val="-11"/>
                <w:sz w:val="22"/>
              </w:rPr>
              <w:t> </w:t>
            </w:r>
            <w:r>
              <w:rPr>
                <w:sz w:val="22"/>
              </w:rPr>
              <w:t>Oﬃce</w:t>
            </w:r>
            <w:r>
              <w:rPr>
                <w:spacing w:val="-11"/>
                <w:sz w:val="22"/>
              </w:rPr>
              <w:t> </w:t>
            </w:r>
            <w:r>
              <w:rPr>
                <w:spacing w:val="-5"/>
                <w:sz w:val="22"/>
              </w:rPr>
              <w:t>of</w:t>
            </w:r>
          </w:p>
          <w:p>
            <w:pPr>
              <w:pStyle w:val="TableParagraph"/>
              <w:spacing w:line="240" w:lineRule="auto"/>
              <w:ind w:left="6"/>
              <w:rPr>
                <w:sz w:val="22"/>
              </w:rPr>
            </w:pPr>
            <w:r>
              <w:rPr>
                <w:sz w:val="22"/>
              </w:rPr>
              <w:t>Emergency</w:t>
            </w:r>
            <w:r>
              <w:rPr>
                <w:spacing w:val="-10"/>
                <w:sz w:val="22"/>
              </w:rPr>
              <w:t> </w:t>
            </w:r>
            <w:r>
              <w:rPr>
                <w:spacing w:val="-2"/>
                <w:sz w:val="22"/>
              </w:rPr>
              <w:t>Services</w:t>
            </w:r>
          </w:p>
        </w:tc>
        <w:tc>
          <w:tcPr>
            <w:tcW w:w="3422" w:type="dxa"/>
          </w:tcPr>
          <w:p>
            <w:pPr>
              <w:pStyle w:val="TableParagraph"/>
              <w:spacing w:line="240" w:lineRule="auto" w:before="1"/>
              <w:ind w:left="7"/>
              <w:rPr>
                <w:sz w:val="22"/>
              </w:rPr>
            </w:pPr>
            <w:r>
              <w:rPr>
                <w:sz w:val="22"/>
              </w:rPr>
              <w:t>Local</w:t>
            </w:r>
            <w:r>
              <w:rPr>
                <w:spacing w:val="-3"/>
                <w:sz w:val="22"/>
              </w:rPr>
              <w:t> </w:t>
            </w:r>
            <w:r>
              <w:rPr>
                <w:spacing w:val="-2"/>
                <w:sz w:val="22"/>
              </w:rPr>
              <w:t>government</w:t>
            </w:r>
          </w:p>
        </w:tc>
        <w:tc>
          <w:tcPr>
            <w:tcW w:w="3012" w:type="dxa"/>
          </w:tcPr>
          <w:p>
            <w:pPr>
              <w:pStyle w:val="TableParagraph"/>
              <w:spacing w:line="240" w:lineRule="auto" w:before="1"/>
              <w:ind w:left="57"/>
              <w:rPr>
                <w:sz w:val="22"/>
              </w:rPr>
            </w:pPr>
            <w:r>
              <w:rPr>
                <w:spacing w:val="-2"/>
                <w:sz w:val="22"/>
              </w:rPr>
              <w:t>Yates</w:t>
            </w:r>
            <w:r>
              <w:rPr>
                <w:spacing w:val="-5"/>
                <w:sz w:val="22"/>
              </w:rPr>
              <w:t> </w:t>
            </w:r>
            <w:r>
              <w:rPr>
                <w:spacing w:val="-2"/>
                <w:sz w:val="22"/>
              </w:rPr>
              <w:t>County residents</w:t>
            </w:r>
          </w:p>
        </w:tc>
      </w:tr>
      <w:tr>
        <w:trPr>
          <w:trHeight w:val="697" w:hRule="atLeast"/>
        </w:trPr>
        <w:tc>
          <w:tcPr>
            <w:tcW w:w="2911" w:type="dxa"/>
          </w:tcPr>
          <w:p>
            <w:pPr>
              <w:pStyle w:val="TableParagraph"/>
              <w:ind w:left="6"/>
              <w:rPr>
                <w:sz w:val="22"/>
              </w:rPr>
            </w:pPr>
            <w:r>
              <w:rPr>
                <w:spacing w:val="-2"/>
                <w:sz w:val="22"/>
              </w:rPr>
              <w:t>Yates</w:t>
            </w:r>
            <w:r>
              <w:rPr>
                <w:spacing w:val="-3"/>
                <w:sz w:val="22"/>
              </w:rPr>
              <w:t> </w:t>
            </w:r>
            <w:r>
              <w:rPr>
                <w:spacing w:val="-2"/>
                <w:sz w:val="22"/>
              </w:rPr>
              <w:t>County Cornell</w:t>
            </w:r>
          </w:p>
          <w:p>
            <w:pPr>
              <w:pStyle w:val="TableParagraph"/>
              <w:spacing w:line="240" w:lineRule="auto"/>
              <w:ind w:left="6"/>
              <w:rPr>
                <w:sz w:val="22"/>
              </w:rPr>
            </w:pPr>
            <w:r>
              <w:rPr>
                <w:sz w:val="22"/>
              </w:rPr>
              <w:t>Cooperafive</w:t>
            </w:r>
            <w:r>
              <w:rPr>
                <w:spacing w:val="-10"/>
                <w:sz w:val="22"/>
              </w:rPr>
              <w:t> </w:t>
            </w:r>
            <w:r>
              <w:rPr>
                <w:spacing w:val="-2"/>
                <w:sz w:val="22"/>
              </w:rPr>
              <w:t>Extension</w:t>
            </w:r>
          </w:p>
        </w:tc>
        <w:tc>
          <w:tcPr>
            <w:tcW w:w="3422" w:type="dxa"/>
          </w:tcPr>
          <w:p>
            <w:pPr>
              <w:pStyle w:val="TableParagraph"/>
              <w:ind w:left="7"/>
              <w:rPr>
                <w:sz w:val="22"/>
              </w:rPr>
            </w:pPr>
            <w:r>
              <w:rPr>
                <w:sz w:val="22"/>
              </w:rPr>
              <w:t>Nonproﬁt</w:t>
            </w:r>
            <w:r>
              <w:rPr>
                <w:spacing w:val="-8"/>
                <w:sz w:val="22"/>
              </w:rPr>
              <w:t> </w:t>
            </w:r>
            <w:r>
              <w:rPr>
                <w:sz w:val="22"/>
              </w:rPr>
              <w:t>educafional</w:t>
            </w:r>
            <w:r>
              <w:rPr>
                <w:spacing w:val="-6"/>
                <w:sz w:val="22"/>
              </w:rPr>
              <w:t> </w:t>
            </w:r>
            <w:r>
              <w:rPr>
                <w:spacing w:val="-2"/>
                <w:sz w:val="22"/>
              </w:rPr>
              <w:t>system</w:t>
            </w:r>
          </w:p>
        </w:tc>
        <w:tc>
          <w:tcPr>
            <w:tcW w:w="3012" w:type="dxa"/>
          </w:tcPr>
          <w:p>
            <w:pPr>
              <w:pStyle w:val="TableParagraph"/>
              <w:spacing w:line="240" w:lineRule="auto"/>
              <w:ind w:left="7" w:right="653"/>
              <w:rPr>
                <w:sz w:val="22"/>
              </w:rPr>
            </w:pPr>
            <w:r>
              <w:rPr>
                <w:spacing w:val="-2"/>
                <w:sz w:val="22"/>
              </w:rPr>
              <w:t>Agricultural</w:t>
            </w:r>
            <w:r>
              <w:rPr>
                <w:spacing w:val="-5"/>
                <w:sz w:val="22"/>
              </w:rPr>
              <w:t> </w:t>
            </w:r>
            <w:r>
              <w:rPr>
                <w:spacing w:val="-2"/>
                <w:sz w:val="22"/>
              </w:rPr>
              <w:t>workers,</w:t>
            </w:r>
            <w:r>
              <w:rPr>
                <w:spacing w:val="-5"/>
                <w:sz w:val="22"/>
              </w:rPr>
              <w:t> </w:t>
            </w:r>
            <w:r>
              <w:rPr>
                <w:spacing w:val="-2"/>
                <w:sz w:val="22"/>
              </w:rPr>
              <w:t>low-</w:t>
            </w:r>
            <w:r>
              <w:rPr>
                <w:sz w:val="22"/>
              </w:rPr>
              <w:t>income, veterans</w:t>
            </w:r>
          </w:p>
        </w:tc>
      </w:tr>
      <w:tr>
        <w:trPr>
          <w:trHeight w:val="428" w:hRule="atLeast"/>
        </w:trPr>
        <w:tc>
          <w:tcPr>
            <w:tcW w:w="2911" w:type="dxa"/>
          </w:tcPr>
          <w:p>
            <w:pPr>
              <w:pStyle w:val="TableParagraph"/>
              <w:ind w:left="6"/>
              <w:rPr>
                <w:sz w:val="22"/>
              </w:rPr>
            </w:pPr>
            <w:r>
              <w:rPr>
                <w:sz w:val="22"/>
              </w:rPr>
              <w:t>ProAcfion</w:t>
            </w:r>
            <w:r>
              <w:rPr>
                <w:spacing w:val="-3"/>
                <w:sz w:val="22"/>
              </w:rPr>
              <w:t> </w:t>
            </w:r>
            <w:r>
              <w:rPr>
                <w:sz w:val="22"/>
              </w:rPr>
              <w:t>of</w:t>
            </w:r>
            <w:r>
              <w:rPr>
                <w:spacing w:val="-4"/>
                <w:sz w:val="22"/>
              </w:rPr>
              <w:t> </w:t>
            </w:r>
            <w:r>
              <w:rPr>
                <w:sz w:val="22"/>
              </w:rPr>
              <w:t>Steuben</w:t>
            </w:r>
            <w:r>
              <w:rPr>
                <w:spacing w:val="-3"/>
                <w:sz w:val="22"/>
              </w:rPr>
              <w:t> </w:t>
            </w:r>
            <w:r>
              <w:rPr>
                <w:sz w:val="22"/>
              </w:rPr>
              <w:t>and</w:t>
            </w:r>
            <w:r>
              <w:rPr>
                <w:spacing w:val="-5"/>
                <w:sz w:val="22"/>
              </w:rPr>
              <w:t> </w:t>
            </w:r>
            <w:r>
              <w:rPr>
                <w:spacing w:val="-4"/>
                <w:sz w:val="22"/>
              </w:rPr>
              <w:t>Yates</w:t>
            </w:r>
          </w:p>
        </w:tc>
        <w:tc>
          <w:tcPr>
            <w:tcW w:w="3422" w:type="dxa"/>
          </w:tcPr>
          <w:p>
            <w:pPr>
              <w:pStyle w:val="TableParagraph"/>
              <w:ind w:left="7"/>
              <w:rPr>
                <w:sz w:val="22"/>
              </w:rPr>
            </w:pPr>
            <w:r>
              <w:rPr>
                <w:sz w:val="22"/>
              </w:rPr>
              <w:t>Nonproﬁt</w:t>
            </w:r>
            <w:r>
              <w:rPr>
                <w:spacing w:val="-8"/>
                <w:sz w:val="22"/>
              </w:rPr>
              <w:t> </w:t>
            </w:r>
            <w:r>
              <w:rPr>
                <w:spacing w:val="-2"/>
                <w:sz w:val="22"/>
              </w:rPr>
              <w:t>agency</w:t>
            </w:r>
          </w:p>
        </w:tc>
        <w:tc>
          <w:tcPr>
            <w:tcW w:w="3012" w:type="dxa"/>
          </w:tcPr>
          <w:p>
            <w:pPr>
              <w:pStyle w:val="TableParagraph"/>
              <w:ind w:left="7"/>
              <w:rPr>
                <w:sz w:val="22"/>
              </w:rPr>
            </w:pPr>
            <w:r>
              <w:rPr>
                <w:sz w:val="22"/>
              </w:rPr>
              <w:t>Aging</w:t>
            </w:r>
            <w:r>
              <w:rPr>
                <w:spacing w:val="-8"/>
                <w:sz w:val="22"/>
              </w:rPr>
              <w:t> </w:t>
            </w:r>
            <w:r>
              <w:rPr>
                <w:sz w:val="22"/>
              </w:rPr>
              <w:t>populafion,</w:t>
            </w:r>
            <w:r>
              <w:rPr>
                <w:spacing w:val="-8"/>
                <w:sz w:val="22"/>
              </w:rPr>
              <w:t> </w:t>
            </w:r>
            <w:r>
              <w:rPr>
                <w:sz w:val="22"/>
              </w:rPr>
              <w:t>low-</w:t>
            </w:r>
            <w:r>
              <w:rPr>
                <w:spacing w:val="-2"/>
                <w:sz w:val="22"/>
              </w:rPr>
              <w:t>income</w:t>
            </w:r>
          </w:p>
        </w:tc>
      </w:tr>
      <w:tr>
        <w:trPr>
          <w:trHeight w:val="695" w:hRule="atLeast"/>
        </w:trPr>
        <w:tc>
          <w:tcPr>
            <w:tcW w:w="2911" w:type="dxa"/>
          </w:tcPr>
          <w:p>
            <w:pPr>
              <w:pStyle w:val="TableParagraph"/>
              <w:spacing w:line="240" w:lineRule="auto"/>
              <w:ind w:left="6" w:right="365"/>
              <w:rPr>
                <w:sz w:val="22"/>
              </w:rPr>
            </w:pPr>
            <w:r>
              <w:rPr>
                <w:sz w:val="22"/>
              </w:rPr>
              <w:t>Yates</w:t>
            </w:r>
            <w:r>
              <w:rPr>
                <w:spacing w:val="-13"/>
                <w:sz w:val="22"/>
              </w:rPr>
              <w:t> </w:t>
            </w:r>
            <w:r>
              <w:rPr>
                <w:sz w:val="22"/>
              </w:rPr>
              <w:t>County</w:t>
            </w:r>
            <w:r>
              <w:rPr>
                <w:spacing w:val="-12"/>
                <w:sz w:val="22"/>
              </w:rPr>
              <w:t> </w:t>
            </w:r>
            <w:r>
              <w:rPr>
                <w:sz w:val="22"/>
              </w:rPr>
              <w:t>Department</w:t>
            </w:r>
            <w:r>
              <w:rPr>
                <w:spacing w:val="-13"/>
                <w:sz w:val="22"/>
              </w:rPr>
              <w:t> </w:t>
            </w:r>
            <w:r>
              <w:rPr>
                <w:sz w:val="22"/>
              </w:rPr>
              <w:t>of Social Services</w:t>
            </w:r>
          </w:p>
        </w:tc>
        <w:tc>
          <w:tcPr>
            <w:tcW w:w="3422" w:type="dxa"/>
          </w:tcPr>
          <w:p>
            <w:pPr>
              <w:pStyle w:val="TableParagraph"/>
              <w:ind w:left="7"/>
              <w:rPr>
                <w:sz w:val="22"/>
              </w:rPr>
            </w:pPr>
            <w:r>
              <w:rPr>
                <w:sz w:val="22"/>
              </w:rPr>
              <w:t>Local</w:t>
            </w:r>
            <w:r>
              <w:rPr>
                <w:spacing w:val="-3"/>
                <w:sz w:val="22"/>
              </w:rPr>
              <w:t> </w:t>
            </w:r>
            <w:r>
              <w:rPr>
                <w:spacing w:val="-2"/>
                <w:sz w:val="22"/>
              </w:rPr>
              <w:t>government</w:t>
            </w:r>
          </w:p>
        </w:tc>
        <w:tc>
          <w:tcPr>
            <w:tcW w:w="3012" w:type="dxa"/>
          </w:tcPr>
          <w:p>
            <w:pPr>
              <w:pStyle w:val="TableParagraph"/>
              <w:spacing w:line="240" w:lineRule="auto"/>
              <w:ind w:left="7"/>
              <w:rPr>
                <w:sz w:val="22"/>
              </w:rPr>
            </w:pPr>
            <w:r>
              <w:rPr>
                <w:sz w:val="22"/>
              </w:rPr>
              <w:t>Marginalized</w:t>
            </w:r>
            <w:r>
              <w:rPr>
                <w:spacing w:val="-13"/>
                <w:sz w:val="22"/>
              </w:rPr>
              <w:t> </w:t>
            </w:r>
            <w:r>
              <w:rPr>
                <w:sz w:val="22"/>
              </w:rPr>
              <w:t>populafions-</w:t>
            </w:r>
            <w:r>
              <w:rPr>
                <w:spacing w:val="-12"/>
                <w:sz w:val="22"/>
              </w:rPr>
              <w:t> </w:t>
            </w:r>
            <w:r>
              <w:rPr>
                <w:sz w:val="22"/>
              </w:rPr>
              <w:t>low socioeconomic status</w:t>
            </w:r>
          </w:p>
        </w:tc>
      </w:tr>
      <w:tr>
        <w:trPr>
          <w:trHeight w:val="697" w:hRule="atLeast"/>
        </w:trPr>
        <w:tc>
          <w:tcPr>
            <w:tcW w:w="2911" w:type="dxa"/>
          </w:tcPr>
          <w:p>
            <w:pPr>
              <w:pStyle w:val="TableParagraph"/>
              <w:spacing w:line="240" w:lineRule="auto"/>
              <w:ind w:left="6"/>
              <w:rPr>
                <w:sz w:val="22"/>
              </w:rPr>
            </w:pPr>
            <w:r>
              <w:rPr>
                <w:sz w:val="22"/>
              </w:rPr>
              <w:t>Finger Lakes Area Counseling and</w:t>
            </w:r>
            <w:r>
              <w:rPr>
                <w:spacing w:val="-13"/>
                <w:sz w:val="22"/>
              </w:rPr>
              <w:t> </w:t>
            </w:r>
            <w:r>
              <w:rPr>
                <w:sz w:val="22"/>
              </w:rPr>
              <w:t>Referral</w:t>
            </w:r>
            <w:r>
              <w:rPr>
                <w:spacing w:val="-12"/>
                <w:sz w:val="22"/>
              </w:rPr>
              <w:t> </w:t>
            </w:r>
            <w:r>
              <w:rPr>
                <w:sz w:val="22"/>
              </w:rPr>
              <w:t>Agency</w:t>
            </w:r>
            <w:r>
              <w:rPr>
                <w:spacing w:val="-13"/>
                <w:sz w:val="22"/>
              </w:rPr>
              <w:t> </w:t>
            </w:r>
            <w:r>
              <w:rPr>
                <w:sz w:val="22"/>
              </w:rPr>
              <w:t>(FLACRA)</w:t>
            </w:r>
          </w:p>
        </w:tc>
        <w:tc>
          <w:tcPr>
            <w:tcW w:w="3422" w:type="dxa"/>
          </w:tcPr>
          <w:p>
            <w:pPr>
              <w:pStyle w:val="TableParagraph"/>
              <w:ind w:left="7"/>
              <w:rPr>
                <w:sz w:val="22"/>
              </w:rPr>
            </w:pPr>
            <w:r>
              <w:rPr>
                <w:sz w:val="22"/>
              </w:rPr>
              <w:t>Mental</w:t>
            </w:r>
            <w:r>
              <w:rPr>
                <w:spacing w:val="-10"/>
                <w:sz w:val="22"/>
              </w:rPr>
              <w:t> </w:t>
            </w:r>
            <w:r>
              <w:rPr>
                <w:sz w:val="22"/>
              </w:rPr>
              <w:t>and</w:t>
            </w:r>
            <w:r>
              <w:rPr>
                <w:spacing w:val="-8"/>
                <w:sz w:val="22"/>
              </w:rPr>
              <w:t> </w:t>
            </w:r>
            <w:r>
              <w:rPr>
                <w:sz w:val="22"/>
              </w:rPr>
              <w:t>behavioral</w:t>
            </w:r>
            <w:r>
              <w:rPr>
                <w:spacing w:val="-10"/>
                <w:sz w:val="22"/>
              </w:rPr>
              <w:t> </w:t>
            </w:r>
            <w:r>
              <w:rPr>
                <w:spacing w:val="-2"/>
                <w:sz w:val="22"/>
              </w:rPr>
              <w:t>health</w:t>
            </w:r>
          </w:p>
          <w:p>
            <w:pPr>
              <w:pStyle w:val="TableParagraph"/>
              <w:spacing w:line="240" w:lineRule="auto"/>
              <w:ind w:left="7"/>
              <w:rPr>
                <w:sz w:val="22"/>
              </w:rPr>
            </w:pPr>
            <w:r>
              <w:rPr>
                <w:spacing w:val="-2"/>
                <w:sz w:val="22"/>
              </w:rPr>
              <w:t>organizafion</w:t>
            </w:r>
          </w:p>
        </w:tc>
        <w:tc>
          <w:tcPr>
            <w:tcW w:w="3012" w:type="dxa"/>
          </w:tcPr>
          <w:p>
            <w:pPr>
              <w:pStyle w:val="TableParagraph"/>
              <w:ind w:left="7"/>
              <w:rPr>
                <w:sz w:val="22"/>
              </w:rPr>
            </w:pPr>
            <w:r>
              <w:rPr>
                <w:sz w:val="22"/>
              </w:rPr>
              <w:t>People</w:t>
            </w:r>
            <w:r>
              <w:rPr>
                <w:spacing w:val="-5"/>
                <w:sz w:val="22"/>
              </w:rPr>
              <w:t> </w:t>
            </w:r>
            <w:r>
              <w:rPr>
                <w:sz w:val="22"/>
              </w:rPr>
              <w:t>who</w:t>
            </w:r>
            <w:r>
              <w:rPr>
                <w:spacing w:val="-3"/>
                <w:sz w:val="22"/>
              </w:rPr>
              <w:t> </w:t>
            </w:r>
            <w:r>
              <w:rPr>
                <w:sz w:val="22"/>
              </w:rPr>
              <w:t>use</w:t>
            </w:r>
            <w:r>
              <w:rPr>
                <w:spacing w:val="-4"/>
                <w:sz w:val="22"/>
              </w:rPr>
              <w:t> </w:t>
            </w:r>
            <w:r>
              <w:rPr>
                <w:sz w:val="22"/>
              </w:rPr>
              <w:t>drugs</w:t>
            </w:r>
            <w:r>
              <w:rPr>
                <w:spacing w:val="-4"/>
                <w:sz w:val="22"/>
              </w:rPr>
              <w:t> </w:t>
            </w:r>
            <w:r>
              <w:rPr>
                <w:spacing w:val="-2"/>
                <w:sz w:val="22"/>
              </w:rPr>
              <w:t>(PWUD),</w:t>
            </w:r>
          </w:p>
          <w:p>
            <w:pPr>
              <w:pStyle w:val="TableParagraph"/>
              <w:spacing w:line="240" w:lineRule="auto"/>
              <w:ind w:left="7"/>
              <w:rPr>
                <w:sz w:val="22"/>
              </w:rPr>
            </w:pPr>
            <w:r>
              <w:rPr>
                <w:spacing w:val="-2"/>
                <w:sz w:val="22"/>
              </w:rPr>
              <w:t>marginalized</w:t>
            </w:r>
            <w:r>
              <w:rPr>
                <w:spacing w:val="9"/>
                <w:sz w:val="22"/>
              </w:rPr>
              <w:t> </w:t>
            </w:r>
            <w:r>
              <w:rPr>
                <w:spacing w:val="-2"/>
                <w:sz w:val="22"/>
              </w:rPr>
              <w:t>populafions</w:t>
            </w:r>
          </w:p>
        </w:tc>
      </w:tr>
      <w:tr>
        <w:trPr>
          <w:trHeight w:val="697" w:hRule="atLeast"/>
        </w:trPr>
        <w:tc>
          <w:tcPr>
            <w:tcW w:w="2911" w:type="dxa"/>
          </w:tcPr>
          <w:p>
            <w:pPr>
              <w:pStyle w:val="TableParagraph"/>
              <w:ind w:left="6"/>
              <w:rPr>
                <w:sz w:val="22"/>
              </w:rPr>
            </w:pPr>
            <w:r>
              <w:rPr>
                <w:sz w:val="22"/>
              </w:rPr>
              <w:t>Tobacco</w:t>
            </w:r>
            <w:r>
              <w:rPr>
                <w:spacing w:val="-4"/>
                <w:sz w:val="22"/>
              </w:rPr>
              <w:t> </w:t>
            </w:r>
            <w:r>
              <w:rPr>
                <w:sz w:val="22"/>
              </w:rPr>
              <w:t>Acfion</w:t>
            </w:r>
            <w:r>
              <w:rPr>
                <w:spacing w:val="-6"/>
                <w:sz w:val="22"/>
              </w:rPr>
              <w:t> </w:t>
            </w:r>
            <w:r>
              <w:rPr>
                <w:sz w:val="22"/>
              </w:rPr>
              <w:t>Coalifion</w:t>
            </w:r>
            <w:r>
              <w:rPr>
                <w:spacing w:val="-9"/>
                <w:sz w:val="22"/>
              </w:rPr>
              <w:t> </w:t>
            </w:r>
            <w:r>
              <w:rPr>
                <w:sz w:val="22"/>
              </w:rPr>
              <w:t>of</w:t>
            </w:r>
            <w:r>
              <w:rPr>
                <w:spacing w:val="-8"/>
                <w:sz w:val="22"/>
              </w:rPr>
              <w:t> </w:t>
            </w:r>
            <w:r>
              <w:rPr>
                <w:spacing w:val="-5"/>
                <w:sz w:val="22"/>
              </w:rPr>
              <w:t>the</w:t>
            </w:r>
          </w:p>
          <w:p>
            <w:pPr>
              <w:pStyle w:val="TableParagraph"/>
              <w:spacing w:line="240" w:lineRule="auto"/>
              <w:ind w:left="6"/>
              <w:rPr>
                <w:sz w:val="22"/>
              </w:rPr>
            </w:pPr>
            <w:r>
              <w:rPr>
                <w:sz w:val="22"/>
              </w:rPr>
              <w:t>Finger</w:t>
            </w:r>
            <w:r>
              <w:rPr>
                <w:spacing w:val="-8"/>
                <w:sz w:val="22"/>
              </w:rPr>
              <w:t> </w:t>
            </w:r>
            <w:r>
              <w:rPr>
                <w:spacing w:val="-2"/>
                <w:sz w:val="22"/>
              </w:rPr>
              <w:t>Lakes</w:t>
            </w:r>
          </w:p>
        </w:tc>
        <w:tc>
          <w:tcPr>
            <w:tcW w:w="3422" w:type="dxa"/>
          </w:tcPr>
          <w:p>
            <w:pPr>
              <w:pStyle w:val="TableParagraph"/>
              <w:ind w:left="7"/>
              <w:rPr>
                <w:sz w:val="22"/>
              </w:rPr>
            </w:pPr>
            <w:r>
              <w:rPr>
                <w:sz w:val="22"/>
              </w:rPr>
              <w:t>Nonproﬁt</w:t>
            </w:r>
            <w:r>
              <w:rPr>
                <w:spacing w:val="-8"/>
                <w:sz w:val="22"/>
              </w:rPr>
              <w:t> </w:t>
            </w:r>
            <w:r>
              <w:rPr>
                <w:spacing w:val="-2"/>
                <w:sz w:val="22"/>
              </w:rPr>
              <w:t>organizafion</w:t>
            </w:r>
          </w:p>
        </w:tc>
        <w:tc>
          <w:tcPr>
            <w:tcW w:w="3012" w:type="dxa"/>
          </w:tcPr>
          <w:p>
            <w:pPr>
              <w:pStyle w:val="TableParagraph"/>
              <w:ind w:left="57"/>
              <w:rPr>
                <w:sz w:val="22"/>
              </w:rPr>
            </w:pPr>
            <w:r>
              <w:rPr>
                <w:sz w:val="22"/>
              </w:rPr>
              <w:t>Finger</w:t>
            </w:r>
            <w:r>
              <w:rPr>
                <w:spacing w:val="-8"/>
                <w:sz w:val="22"/>
              </w:rPr>
              <w:t> </w:t>
            </w:r>
            <w:r>
              <w:rPr>
                <w:sz w:val="22"/>
              </w:rPr>
              <w:t>Lakes</w:t>
            </w:r>
            <w:r>
              <w:rPr>
                <w:spacing w:val="-8"/>
                <w:sz w:val="22"/>
              </w:rPr>
              <w:t> </w:t>
            </w:r>
            <w:r>
              <w:rPr>
                <w:spacing w:val="-2"/>
                <w:sz w:val="22"/>
              </w:rPr>
              <w:t>region</w:t>
            </w:r>
          </w:p>
        </w:tc>
      </w:tr>
      <w:tr>
        <w:trPr>
          <w:trHeight w:val="1232" w:hRule="atLeast"/>
        </w:trPr>
        <w:tc>
          <w:tcPr>
            <w:tcW w:w="2911" w:type="dxa"/>
          </w:tcPr>
          <w:p>
            <w:pPr>
              <w:pStyle w:val="TableParagraph"/>
              <w:ind w:left="6"/>
              <w:rPr>
                <w:sz w:val="22"/>
              </w:rPr>
            </w:pPr>
            <w:r>
              <w:rPr>
                <w:sz w:val="22"/>
              </w:rPr>
              <w:t>Finger</w:t>
            </w:r>
            <w:r>
              <w:rPr>
                <w:spacing w:val="-7"/>
                <w:sz w:val="22"/>
              </w:rPr>
              <w:t> </w:t>
            </w:r>
            <w:r>
              <w:rPr>
                <w:sz w:val="22"/>
              </w:rPr>
              <w:t>Lakes</w:t>
            </w:r>
            <w:r>
              <w:rPr>
                <w:spacing w:val="-8"/>
                <w:sz w:val="22"/>
              </w:rPr>
              <w:t> </w:t>
            </w:r>
            <w:r>
              <w:rPr>
                <w:sz w:val="22"/>
              </w:rPr>
              <w:t>Community</w:t>
            </w:r>
            <w:r>
              <w:rPr>
                <w:spacing w:val="-7"/>
                <w:sz w:val="22"/>
              </w:rPr>
              <w:t> </w:t>
            </w:r>
            <w:r>
              <w:rPr>
                <w:spacing w:val="-2"/>
                <w:sz w:val="22"/>
              </w:rPr>
              <w:t>Health</w:t>
            </w:r>
          </w:p>
        </w:tc>
        <w:tc>
          <w:tcPr>
            <w:tcW w:w="3422" w:type="dxa"/>
          </w:tcPr>
          <w:p>
            <w:pPr>
              <w:pStyle w:val="TableParagraph"/>
              <w:ind w:left="7"/>
              <w:rPr>
                <w:sz w:val="22"/>
              </w:rPr>
            </w:pPr>
            <w:r>
              <w:rPr>
                <w:sz w:val="22"/>
              </w:rPr>
              <w:t>Federally</w:t>
            </w:r>
            <w:r>
              <w:rPr>
                <w:spacing w:val="-9"/>
                <w:sz w:val="22"/>
              </w:rPr>
              <w:t> </w:t>
            </w:r>
            <w:r>
              <w:rPr>
                <w:sz w:val="22"/>
              </w:rPr>
              <w:t>Qualiﬁed</w:t>
            </w:r>
            <w:r>
              <w:rPr>
                <w:spacing w:val="-8"/>
                <w:sz w:val="22"/>
              </w:rPr>
              <w:t> </w:t>
            </w:r>
            <w:r>
              <w:rPr>
                <w:sz w:val="22"/>
              </w:rPr>
              <w:t>Health</w:t>
            </w:r>
            <w:r>
              <w:rPr>
                <w:spacing w:val="-10"/>
                <w:sz w:val="22"/>
              </w:rPr>
              <w:t> </w:t>
            </w:r>
            <w:r>
              <w:rPr>
                <w:spacing w:val="-2"/>
                <w:sz w:val="22"/>
              </w:rPr>
              <w:t>Center</w:t>
            </w:r>
          </w:p>
          <w:p>
            <w:pPr>
              <w:pStyle w:val="TableParagraph"/>
              <w:spacing w:line="240" w:lineRule="auto"/>
              <w:ind w:left="7"/>
              <w:rPr>
                <w:sz w:val="22"/>
              </w:rPr>
            </w:pPr>
            <w:r>
              <w:rPr>
                <w:sz w:val="22"/>
              </w:rPr>
              <w:t>(FQHC</w:t>
            </w:r>
            <w:r>
              <w:rPr>
                <w:spacing w:val="-5"/>
                <w:sz w:val="22"/>
              </w:rPr>
              <w:t> </w:t>
            </w:r>
            <w:r>
              <w:rPr>
                <w:spacing w:val="-10"/>
                <w:sz w:val="22"/>
              </w:rPr>
              <w:t>)</w:t>
            </w:r>
          </w:p>
        </w:tc>
        <w:tc>
          <w:tcPr>
            <w:tcW w:w="3012" w:type="dxa"/>
          </w:tcPr>
          <w:p>
            <w:pPr>
              <w:pStyle w:val="TableParagraph"/>
              <w:spacing w:line="240" w:lineRule="auto"/>
              <w:ind w:left="7"/>
              <w:rPr>
                <w:sz w:val="22"/>
              </w:rPr>
            </w:pPr>
            <w:r>
              <w:rPr>
                <w:sz w:val="22"/>
              </w:rPr>
              <w:t>Marginalized communifies-migrant/agriculture workers, </w:t>
            </w:r>
            <w:r>
              <w:rPr>
                <w:spacing w:val="-2"/>
                <w:sz w:val="22"/>
              </w:rPr>
              <w:t>LGBTQ+,</w:t>
            </w:r>
            <w:r>
              <w:rPr>
                <w:spacing w:val="-5"/>
                <w:sz w:val="22"/>
              </w:rPr>
              <w:t> </w:t>
            </w:r>
            <w:r>
              <w:rPr>
                <w:spacing w:val="-2"/>
                <w:sz w:val="22"/>
              </w:rPr>
              <w:t>low-income,</w:t>
            </w:r>
            <w:r>
              <w:rPr>
                <w:spacing w:val="-7"/>
                <w:sz w:val="22"/>
              </w:rPr>
              <w:t> </w:t>
            </w:r>
            <w:r>
              <w:rPr>
                <w:spacing w:val="-2"/>
                <w:sz w:val="22"/>
              </w:rPr>
              <w:t>Medicaid </w:t>
            </w:r>
            <w:r>
              <w:rPr>
                <w:sz w:val="22"/>
              </w:rPr>
              <w:t>recipients, LEP</w:t>
            </w:r>
          </w:p>
        </w:tc>
      </w:tr>
      <w:tr>
        <w:trPr>
          <w:trHeight w:val="697" w:hRule="atLeast"/>
        </w:trPr>
        <w:tc>
          <w:tcPr>
            <w:tcW w:w="2911" w:type="dxa"/>
          </w:tcPr>
          <w:p>
            <w:pPr>
              <w:pStyle w:val="TableParagraph"/>
              <w:spacing w:line="240" w:lineRule="auto"/>
              <w:ind w:left="6"/>
              <w:rPr>
                <w:sz w:val="22"/>
              </w:rPr>
            </w:pPr>
            <w:r>
              <w:rPr>
                <w:sz w:val="22"/>
              </w:rPr>
              <w:t>Penn</w:t>
            </w:r>
            <w:r>
              <w:rPr>
                <w:spacing w:val="-13"/>
                <w:sz w:val="22"/>
              </w:rPr>
              <w:t> </w:t>
            </w:r>
            <w:r>
              <w:rPr>
                <w:sz w:val="22"/>
              </w:rPr>
              <w:t>Yan</w:t>
            </w:r>
            <w:r>
              <w:rPr>
                <w:spacing w:val="-12"/>
                <w:sz w:val="22"/>
              </w:rPr>
              <w:t> </w:t>
            </w:r>
            <w:r>
              <w:rPr>
                <w:sz w:val="22"/>
              </w:rPr>
              <w:t>Central</w:t>
            </w:r>
            <w:r>
              <w:rPr>
                <w:spacing w:val="-13"/>
                <w:sz w:val="22"/>
              </w:rPr>
              <w:t> </w:t>
            </w:r>
            <w:r>
              <w:rPr>
                <w:sz w:val="22"/>
              </w:rPr>
              <w:t>School</w:t>
            </w:r>
            <w:r>
              <w:rPr>
                <w:spacing w:val="-12"/>
                <w:sz w:val="22"/>
              </w:rPr>
              <w:t> </w:t>
            </w:r>
            <w:r>
              <w:rPr>
                <w:sz w:val="22"/>
              </w:rPr>
              <w:t>District </w:t>
            </w:r>
            <w:r>
              <w:rPr>
                <w:spacing w:val="-2"/>
                <w:sz w:val="22"/>
              </w:rPr>
              <w:t>(PYCSD)</w:t>
            </w:r>
          </w:p>
        </w:tc>
        <w:tc>
          <w:tcPr>
            <w:tcW w:w="3422" w:type="dxa"/>
          </w:tcPr>
          <w:p>
            <w:pPr>
              <w:pStyle w:val="TableParagraph"/>
              <w:ind w:left="7"/>
              <w:rPr>
                <w:sz w:val="22"/>
              </w:rPr>
            </w:pPr>
            <w:r>
              <w:rPr>
                <w:spacing w:val="-2"/>
                <w:sz w:val="22"/>
              </w:rPr>
              <w:t>Academics</w:t>
            </w:r>
          </w:p>
        </w:tc>
        <w:tc>
          <w:tcPr>
            <w:tcW w:w="3012" w:type="dxa"/>
          </w:tcPr>
          <w:p>
            <w:pPr>
              <w:pStyle w:val="TableParagraph"/>
              <w:ind w:left="57"/>
              <w:rPr>
                <w:sz w:val="22"/>
              </w:rPr>
            </w:pPr>
            <w:r>
              <w:rPr>
                <w:spacing w:val="-4"/>
                <w:sz w:val="22"/>
              </w:rPr>
              <w:t>Youth</w:t>
            </w:r>
          </w:p>
        </w:tc>
      </w:tr>
      <w:tr>
        <w:trPr>
          <w:trHeight w:val="697" w:hRule="atLeast"/>
        </w:trPr>
        <w:tc>
          <w:tcPr>
            <w:tcW w:w="2911" w:type="dxa"/>
          </w:tcPr>
          <w:p>
            <w:pPr>
              <w:pStyle w:val="TableParagraph"/>
              <w:ind w:left="6"/>
              <w:rPr>
                <w:sz w:val="22"/>
              </w:rPr>
            </w:pPr>
            <w:r>
              <w:rPr>
                <w:sz w:val="22"/>
              </w:rPr>
              <w:t>Yates</w:t>
            </w:r>
            <w:r>
              <w:rPr>
                <w:spacing w:val="-14"/>
                <w:sz w:val="22"/>
              </w:rPr>
              <w:t> </w:t>
            </w:r>
            <w:r>
              <w:rPr>
                <w:sz w:val="22"/>
              </w:rPr>
              <w:t>County</w:t>
            </w:r>
            <w:r>
              <w:rPr>
                <w:spacing w:val="-11"/>
                <w:sz w:val="22"/>
              </w:rPr>
              <w:t> </w:t>
            </w:r>
            <w:r>
              <w:rPr>
                <w:sz w:val="22"/>
              </w:rPr>
              <w:t>Sheriﬀ’s</w:t>
            </w:r>
            <w:r>
              <w:rPr>
                <w:spacing w:val="-11"/>
                <w:sz w:val="22"/>
              </w:rPr>
              <w:t> </w:t>
            </w:r>
            <w:r>
              <w:rPr>
                <w:spacing w:val="-4"/>
                <w:sz w:val="22"/>
              </w:rPr>
              <w:t>Oﬃce</w:t>
            </w:r>
          </w:p>
          <w:p>
            <w:pPr>
              <w:pStyle w:val="TableParagraph"/>
              <w:spacing w:line="240" w:lineRule="auto"/>
              <w:ind w:left="6"/>
              <w:rPr>
                <w:sz w:val="22"/>
              </w:rPr>
            </w:pPr>
            <w:r>
              <w:rPr>
                <w:spacing w:val="-2"/>
                <w:sz w:val="22"/>
              </w:rPr>
              <w:t>(YCSO)</w:t>
            </w:r>
          </w:p>
        </w:tc>
        <w:tc>
          <w:tcPr>
            <w:tcW w:w="3422" w:type="dxa"/>
          </w:tcPr>
          <w:p>
            <w:pPr>
              <w:pStyle w:val="TableParagraph"/>
              <w:ind w:left="7"/>
              <w:rPr>
                <w:sz w:val="22"/>
              </w:rPr>
            </w:pPr>
            <w:r>
              <w:rPr>
                <w:sz w:val="22"/>
              </w:rPr>
              <w:t>Local</w:t>
            </w:r>
            <w:r>
              <w:rPr>
                <w:spacing w:val="-3"/>
                <w:sz w:val="22"/>
              </w:rPr>
              <w:t> </w:t>
            </w:r>
            <w:r>
              <w:rPr>
                <w:spacing w:val="-2"/>
                <w:sz w:val="22"/>
              </w:rPr>
              <w:t>government</w:t>
            </w:r>
          </w:p>
        </w:tc>
        <w:tc>
          <w:tcPr>
            <w:tcW w:w="3012" w:type="dxa"/>
          </w:tcPr>
          <w:p>
            <w:pPr>
              <w:pStyle w:val="TableParagraph"/>
              <w:ind w:left="57"/>
              <w:rPr>
                <w:sz w:val="22"/>
              </w:rPr>
            </w:pPr>
            <w:r>
              <w:rPr>
                <w:spacing w:val="-2"/>
                <w:sz w:val="22"/>
              </w:rPr>
              <w:t>Yates</w:t>
            </w:r>
            <w:r>
              <w:rPr>
                <w:spacing w:val="-5"/>
                <w:sz w:val="22"/>
              </w:rPr>
              <w:t> </w:t>
            </w:r>
            <w:r>
              <w:rPr>
                <w:spacing w:val="-2"/>
                <w:sz w:val="22"/>
              </w:rPr>
              <w:t>County residents</w:t>
            </w:r>
          </w:p>
        </w:tc>
      </w:tr>
      <w:tr>
        <w:trPr>
          <w:trHeight w:val="697" w:hRule="atLeast"/>
        </w:trPr>
        <w:tc>
          <w:tcPr>
            <w:tcW w:w="2911" w:type="dxa"/>
          </w:tcPr>
          <w:p>
            <w:pPr>
              <w:pStyle w:val="TableParagraph"/>
              <w:ind w:left="6"/>
              <w:rPr>
                <w:sz w:val="22"/>
              </w:rPr>
            </w:pPr>
            <w:r>
              <w:rPr>
                <w:sz w:val="22"/>
              </w:rPr>
              <w:t>Lakeview</w:t>
            </w:r>
            <w:r>
              <w:rPr>
                <w:spacing w:val="-7"/>
                <w:sz w:val="22"/>
              </w:rPr>
              <w:t> </w:t>
            </w:r>
            <w:r>
              <w:rPr>
                <w:sz w:val="22"/>
              </w:rPr>
              <w:t>Health</w:t>
            </w:r>
            <w:r>
              <w:rPr>
                <w:spacing w:val="-10"/>
                <w:sz w:val="22"/>
              </w:rPr>
              <w:t> </w:t>
            </w:r>
            <w:r>
              <w:rPr>
                <w:spacing w:val="-2"/>
                <w:sz w:val="22"/>
              </w:rPr>
              <w:t>Services</w:t>
            </w:r>
          </w:p>
        </w:tc>
        <w:tc>
          <w:tcPr>
            <w:tcW w:w="3422" w:type="dxa"/>
          </w:tcPr>
          <w:p>
            <w:pPr>
              <w:pStyle w:val="TableParagraph"/>
              <w:spacing w:line="240" w:lineRule="auto"/>
              <w:ind w:left="7" w:right="120"/>
              <w:rPr>
                <w:sz w:val="22"/>
              </w:rPr>
            </w:pPr>
            <w:r>
              <w:rPr>
                <w:sz w:val="22"/>
              </w:rPr>
              <w:t>Mental</w:t>
            </w:r>
            <w:r>
              <w:rPr>
                <w:spacing w:val="-13"/>
                <w:sz w:val="22"/>
              </w:rPr>
              <w:t> </w:t>
            </w:r>
            <w:r>
              <w:rPr>
                <w:sz w:val="22"/>
              </w:rPr>
              <w:t>and</w:t>
            </w:r>
            <w:r>
              <w:rPr>
                <w:spacing w:val="-12"/>
                <w:sz w:val="22"/>
              </w:rPr>
              <w:t> </w:t>
            </w:r>
            <w:r>
              <w:rPr>
                <w:sz w:val="22"/>
              </w:rPr>
              <w:t>behavioral</w:t>
            </w:r>
            <w:r>
              <w:rPr>
                <w:spacing w:val="-13"/>
                <w:sz w:val="22"/>
              </w:rPr>
              <w:t> </w:t>
            </w:r>
            <w:r>
              <w:rPr>
                <w:sz w:val="22"/>
              </w:rPr>
              <w:t>health </w:t>
            </w:r>
            <w:r>
              <w:rPr>
                <w:spacing w:val="-2"/>
                <w:sz w:val="22"/>
              </w:rPr>
              <w:t>services</w:t>
            </w:r>
          </w:p>
        </w:tc>
        <w:tc>
          <w:tcPr>
            <w:tcW w:w="3012" w:type="dxa"/>
          </w:tcPr>
          <w:p>
            <w:pPr>
              <w:pStyle w:val="TableParagraph"/>
              <w:ind w:left="57"/>
              <w:rPr>
                <w:sz w:val="22"/>
              </w:rPr>
            </w:pPr>
            <w:r>
              <w:rPr>
                <w:sz w:val="22"/>
              </w:rPr>
              <w:t>Finger</w:t>
            </w:r>
            <w:r>
              <w:rPr>
                <w:spacing w:val="-8"/>
                <w:sz w:val="22"/>
              </w:rPr>
              <w:t> </w:t>
            </w:r>
            <w:r>
              <w:rPr>
                <w:sz w:val="22"/>
              </w:rPr>
              <w:t>Lakes</w:t>
            </w:r>
            <w:r>
              <w:rPr>
                <w:spacing w:val="-8"/>
                <w:sz w:val="22"/>
              </w:rPr>
              <w:t> </w:t>
            </w:r>
            <w:r>
              <w:rPr>
                <w:spacing w:val="-2"/>
                <w:sz w:val="22"/>
              </w:rPr>
              <w:t>Region</w:t>
            </w:r>
          </w:p>
        </w:tc>
      </w:tr>
    </w:tbl>
    <w:p>
      <w:pPr>
        <w:pStyle w:val="TableParagraph"/>
        <w:spacing w:after="0"/>
        <w:rPr>
          <w:sz w:val="22"/>
        </w:rPr>
        <w:sectPr>
          <w:pgSz w:w="12240" w:h="15840"/>
          <w:pgMar w:header="161" w:footer="1223" w:top="1360" w:bottom="1420" w:left="0" w:right="0"/>
        </w:sectPr>
      </w:pPr>
    </w:p>
    <w:p>
      <w:pPr>
        <w:pStyle w:val="BodyText"/>
        <w:spacing w:before="3"/>
        <w:ind w:left="0"/>
        <w:rPr>
          <w:sz w:val="5"/>
        </w:rPr>
      </w:pPr>
    </w:p>
    <w:tbl>
      <w:tblPr>
        <w:tblW w:w="0" w:type="auto"/>
        <w:jc w:val="left"/>
        <w:tblInd w:w="1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11"/>
        <w:gridCol w:w="3422"/>
        <w:gridCol w:w="3012"/>
      </w:tblGrid>
      <w:tr>
        <w:trPr>
          <w:trHeight w:val="698" w:hRule="atLeast"/>
        </w:trPr>
        <w:tc>
          <w:tcPr>
            <w:tcW w:w="2911" w:type="dxa"/>
          </w:tcPr>
          <w:p>
            <w:pPr>
              <w:pStyle w:val="TableParagraph"/>
              <w:ind w:left="6"/>
              <w:rPr>
                <w:sz w:val="22"/>
              </w:rPr>
            </w:pPr>
            <w:r>
              <w:rPr>
                <w:spacing w:val="-2"/>
                <w:sz w:val="22"/>
              </w:rPr>
              <w:t>Yates</w:t>
            </w:r>
            <w:r>
              <w:rPr>
                <w:spacing w:val="-3"/>
                <w:sz w:val="22"/>
              </w:rPr>
              <w:t> </w:t>
            </w:r>
            <w:r>
              <w:rPr>
                <w:spacing w:val="-2"/>
                <w:sz w:val="22"/>
              </w:rPr>
              <w:t>County Correcfional</w:t>
            </w:r>
          </w:p>
          <w:p>
            <w:pPr>
              <w:pStyle w:val="TableParagraph"/>
              <w:spacing w:line="240" w:lineRule="auto"/>
              <w:ind w:left="6"/>
              <w:rPr>
                <w:sz w:val="22"/>
              </w:rPr>
            </w:pPr>
            <w:r>
              <w:rPr>
                <w:spacing w:val="-2"/>
                <w:sz w:val="22"/>
              </w:rPr>
              <w:t>Facility</w:t>
            </w:r>
          </w:p>
        </w:tc>
        <w:tc>
          <w:tcPr>
            <w:tcW w:w="3422" w:type="dxa"/>
          </w:tcPr>
          <w:p>
            <w:pPr>
              <w:pStyle w:val="TableParagraph"/>
              <w:ind w:left="7"/>
              <w:rPr>
                <w:sz w:val="22"/>
              </w:rPr>
            </w:pPr>
            <w:r>
              <w:rPr>
                <w:sz w:val="22"/>
              </w:rPr>
              <w:t>Local</w:t>
            </w:r>
            <w:r>
              <w:rPr>
                <w:spacing w:val="-3"/>
                <w:sz w:val="22"/>
              </w:rPr>
              <w:t> </w:t>
            </w:r>
            <w:r>
              <w:rPr>
                <w:spacing w:val="-2"/>
                <w:sz w:val="22"/>
              </w:rPr>
              <w:t>government</w:t>
            </w:r>
          </w:p>
        </w:tc>
        <w:tc>
          <w:tcPr>
            <w:tcW w:w="3012" w:type="dxa"/>
          </w:tcPr>
          <w:p>
            <w:pPr>
              <w:pStyle w:val="TableParagraph"/>
              <w:spacing w:line="240" w:lineRule="auto"/>
              <w:ind w:left="7" w:right="653"/>
              <w:rPr>
                <w:sz w:val="22"/>
              </w:rPr>
            </w:pPr>
            <w:r>
              <w:rPr>
                <w:sz w:val="22"/>
              </w:rPr>
              <w:t>Marginalized</w:t>
            </w:r>
            <w:r>
              <w:rPr>
                <w:spacing w:val="-13"/>
                <w:sz w:val="22"/>
              </w:rPr>
              <w:t> </w:t>
            </w:r>
            <w:r>
              <w:rPr>
                <w:sz w:val="22"/>
              </w:rPr>
              <w:t>populafions-incarcerated individuals</w:t>
            </w:r>
          </w:p>
        </w:tc>
      </w:tr>
      <w:tr>
        <w:trPr>
          <w:trHeight w:val="964" w:hRule="atLeast"/>
        </w:trPr>
        <w:tc>
          <w:tcPr>
            <w:tcW w:w="2911" w:type="dxa"/>
          </w:tcPr>
          <w:p>
            <w:pPr>
              <w:pStyle w:val="TableParagraph"/>
              <w:spacing w:line="240" w:lineRule="auto"/>
              <w:ind w:left="6" w:right="57"/>
              <w:rPr>
                <w:sz w:val="22"/>
              </w:rPr>
            </w:pPr>
            <w:r>
              <w:rPr>
                <w:sz w:val="22"/>
              </w:rPr>
              <w:t>University</w:t>
            </w:r>
            <w:r>
              <w:rPr>
                <w:spacing w:val="-13"/>
                <w:sz w:val="22"/>
              </w:rPr>
              <w:t> </w:t>
            </w:r>
            <w:r>
              <w:rPr>
                <w:sz w:val="22"/>
              </w:rPr>
              <w:t>of</w:t>
            </w:r>
            <w:r>
              <w:rPr>
                <w:spacing w:val="-12"/>
                <w:sz w:val="22"/>
              </w:rPr>
              <w:t> </w:t>
            </w:r>
            <w:r>
              <w:rPr>
                <w:sz w:val="22"/>
              </w:rPr>
              <w:t>Rochester</w:t>
            </w:r>
            <w:r>
              <w:rPr>
                <w:spacing w:val="-13"/>
                <w:sz w:val="22"/>
              </w:rPr>
              <w:t> </w:t>
            </w:r>
            <w:r>
              <w:rPr>
                <w:sz w:val="22"/>
              </w:rPr>
              <w:t>Medical Center- Soldiers &amp; Sailors Memorial Hospital</w:t>
            </w:r>
          </w:p>
        </w:tc>
        <w:tc>
          <w:tcPr>
            <w:tcW w:w="3422" w:type="dxa"/>
          </w:tcPr>
          <w:p>
            <w:pPr>
              <w:pStyle w:val="TableParagraph"/>
              <w:ind w:left="7"/>
              <w:rPr>
                <w:sz w:val="22"/>
              </w:rPr>
            </w:pPr>
            <w:r>
              <w:rPr>
                <w:spacing w:val="-2"/>
                <w:sz w:val="22"/>
              </w:rPr>
              <w:t>Hospital</w:t>
            </w:r>
          </w:p>
        </w:tc>
        <w:tc>
          <w:tcPr>
            <w:tcW w:w="3012" w:type="dxa"/>
          </w:tcPr>
          <w:p>
            <w:pPr>
              <w:pStyle w:val="TableParagraph"/>
              <w:ind w:left="57"/>
              <w:rPr>
                <w:sz w:val="22"/>
              </w:rPr>
            </w:pPr>
            <w:r>
              <w:rPr>
                <w:sz w:val="22"/>
              </w:rPr>
              <w:t>All</w:t>
            </w:r>
            <w:r>
              <w:rPr>
                <w:spacing w:val="-2"/>
                <w:sz w:val="22"/>
              </w:rPr>
              <w:t> populafions</w:t>
            </w:r>
          </w:p>
        </w:tc>
      </w:tr>
      <w:tr>
        <w:trPr>
          <w:trHeight w:val="697" w:hRule="atLeast"/>
        </w:trPr>
        <w:tc>
          <w:tcPr>
            <w:tcW w:w="2911" w:type="dxa"/>
          </w:tcPr>
          <w:p>
            <w:pPr>
              <w:pStyle w:val="TableParagraph"/>
              <w:ind w:left="6"/>
              <w:rPr>
                <w:sz w:val="22"/>
              </w:rPr>
            </w:pPr>
            <w:r>
              <w:rPr>
                <w:sz w:val="22"/>
              </w:rPr>
              <w:t>Dundee</w:t>
            </w:r>
            <w:r>
              <w:rPr>
                <w:spacing w:val="-7"/>
                <w:sz w:val="22"/>
              </w:rPr>
              <w:t> </w:t>
            </w:r>
            <w:r>
              <w:rPr>
                <w:sz w:val="22"/>
              </w:rPr>
              <w:t>Food</w:t>
            </w:r>
            <w:r>
              <w:rPr>
                <w:spacing w:val="-7"/>
                <w:sz w:val="22"/>
              </w:rPr>
              <w:t> </w:t>
            </w:r>
            <w:r>
              <w:rPr>
                <w:sz w:val="22"/>
              </w:rPr>
              <w:t>Pantry-</w:t>
            </w:r>
            <w:r>
              <w:rPr>
                <w:spacing w:val="-9"/>
                <w:sz w:val="22"/>
              </w:rPr>
              <w:t> </w:t>
            </w:r>
            <w:r>
              <w:rPr>
                <w:spacing w:val="-2"/>
                <w:sz w:val="22"/>
              </w:rPr>
              <w:t>Bapfist</w:t>
            </w:r>
          </w:p>
          <w:p>
            <w:pPr>
              <w:pStyle w:val="TableParagraph"/>
              <w:spacing w:line="240" w:lineRule="auto"/>
              <w:ind w:left="6"/>
              <w:rPr>
                <w:sz w:val="22"/>
              </w:rPr>
            </w:pPr>
            <w:r>
              <w:rPr>
                <w:spacing w:val="-2"/>
                <w:sz w:val="22"/>
              </w:rPr>
              <w:t>Church</w:t>
            </w:r>
          </w:p>
        </w:tc>
        <w:tc>
          <w:tcPr>
            <w:tcW w:w="3422" w:type="dxa"/>
          </w:tcPr>
          <w:p>
            <w:pPr>
              <w:pStyle w:val="TableParagraph"/>
              <w:spacing w:line="240" w:lineRule="auto" w:before="1"/>
              <w:ind w:left="7"/>
              <w:rPr>
                <w:sz w:val="22"/>
              </w:rPr>
            </w:pPr>
            <w:r>
              <w:rPr>
                <w:sz w:val="22"/>
              </w:rPr>
              <w:t>Faith</w:t>
            </w:r>
            <w:r>
              <w:rPr>
                <w:spacing w:val="-7"/>
                <w:sz w:val="22"/>
              </w:rPr>
              <w:t> </w:t>
            </w:r>
            <w:r>
              <w:rPr>
                <w:sz w:val="22"/>
              </w:rPr>
              <w:t>based</w:t>
            </w:r>
            <w:r>
              <w:rPr>
                <w:spacing w:val="-8"/>
                <w:sz w:val="22"/>
              </w:rPr>
              <w:t> </w:t>
            </w:r>
            <w:r>
              <w:rPr>
                <w:spacing w:val="-2"/>
                <w:sz w:val="22"/>
              </w:rPr>
              <w:t>organizafion</w:t>
            </w:r>
          </w:p>
        </w:tc>
        <w:tc>
          <w:tcPr>
            <w:tcW w:w="3012" w:type="dxa"/>
          </w:tcPr>
          <w:p>
            <w:pPr>
              <w:pStyle w:val="TableParagraph"/>
              <w:spacing w:line="240" w:lineRule="auto" w:before="1"/>
              <w:ind w:left="7"/>
              <w:rPr>
                <w:sz w:val="22"/>
              </w:rPr>
            </w:pPr>
            <w:r>
              <w:rPr>
                <w:sz w:val="22"/>
              </w:rPr>
              <w:t>Low-income,</w:t>
            </w:r>
            <w:r>
              <w:rPr>
                <w:spacing w:val="-9"/>
                <w:sz w:val="22"/>
              </w:rPr>
              <w:t> </w:t>
            </w:r>
            <w:r>
              <w:rPr>
                <w:sz w:val="22"/>
              </w:rPr>
              <w:t>aging</w:t>
            </w:r>
            <w:r>
              <w:rPr>
                <w:spacing w:val="-9"/>
                <w:sz w:val="22"/>
              </w:rPr>
              <w:t> </w:t>
            </w:r>
            <w:r>
              <w:rPr>
                <w:spacing w:val="-2"/>
                <w:sz w:val="22"/>
              </w:rPr>
              <w:t>populafion</w:t>
            </w:r>
          </w:p>
        </w:tc>
      </w:tr>
      <w:tr>
        <w:trPr>
          <w:trHeight w:val="429" w:hRule="atLeast"/>
        </w:trPr>
        <w:tc>
          <w:tcPr>
            <w:tcW w:w="2911" w:type="dxa"/>
          </w:tcPr>
          <w:p>
            <w:pPr>
              <w:pStyle w:val="TableParagraph"/>
              <w:ind w:left="6"/>
              <w:rPr>
                <w:sz w:val="22"/>
              </w:rPr>
            </w:pPr>
            <w:r>
              <w:rPr>
                <w:sz w:val="22"/>
              </w:rPr>
              <w:t>The</w:t>
            </w:r>
            <w:r>
              <w:rPr>
                <w:spacing w:val="-5"/>
                <w:sz w:val="22"/>
              </w:rPr>
              <w:t> </w:t>
            </w:r>
            <w:r>
              <w:rPr>
                <w:sz w:val="22"/>
              </w:rPr>
              <w:t>Living</w:t>
            </w:r>
            <w:r>
              <w:rPr>
                <w:spacing w:val="-5"/>
                <w:sz w:val="22"/>
              </w:rPr>
              <w:t> </w:t>
            </w:r>
            <w:r>
              <w:rPr>
                <w:spacing w:val="-4"/>
                <w:sz w:val="22"/>
              </w:rPr>
              <w:t>Well</w:t>
            </w:r>
          </w:p>
        </w:tc>
        <w:tc>
          <w:tcPr>
            <w:tcW w:w="3422" w:type="dxa"/>
          </w:tcPr>
          <w:p>
            <w:pPr>
              <w:pStyle w:val="TableParagraph"/>
              <w:ind w:left="7"/>
              <w:rPr>
                <w:sz w:val="22"/>
              </w:rPr>
            </w:pPr>
            <w:r>
              <w:rPr>
                <w:spacing w:val="-2"/>
                <w:sz w:val="22"/>
              </w:rPr>
              <w:t>Non-proﬁt</w:t>
            </w:r>
          </w:p>
        </w:tc>
        <w:tc>
          <w:tcPr>
            <w:tcW w:w="3012" w:type="dxa"/>
          </w:tcPr>
          <w:p>
            <w:pPr>
              <w:pStyle w:val="TableParagraph"/>
              <w:ind w:left="7"/>
              <w:rPr>
                <w:sz w:val="22"/>
              </w:rPr>
            </w:pPr>
            <w:r>
              <w:rPr>
                <w:sz w:val="22"/>
              </w:rPr>
              <w:t>Low-income,</w:t>
            </w:r>
            <w:r>
              <w:rPr>
                <w:spacing w:val="-9"/>
                <w:sz w:val="22"/>
              </w:rPr>
              <w:t> </w:t>
            </w:r>
            <w:r>
              <w:rPr>
                <w:sz w:val="22"/>
              </w:rPr>
              <w:t>aging</w:t>
            </w:r>
            <w:r>
              <w:rPr>
                <w:spacing w:val="-9"/>
                <w:sz w:val="22"/>
              </w:rPr>
              <w:t> </w:t>
            </w:r>
            <w:r>
              <w:rPr>
                <w:spacing w:val="-2"/>
                <w:sz w:val="22"/>
              </w:rPr>
              <w:t>populafion</w:t>
            </w:r>
          </w:p>
        </w:tc>
      </w:tr>
      <w:tr>
        <w:trPr>
          <w:trHeight w:val="697" w:hRule="atLeast"/>
        </w:trPr>
        <w:tc>
          <w:tcPr>
            <w:tcW w:w="2911" w:type="dxa"/>
          </w:tcPr>
          <w:p>
            <w:pPr>
              <w:pStyle w:val="TableParagraph"/>
              <w:spacing w:line="240" w:lineRule="auto"/>
              <w:ind w:left="6" w:right="636"/>
              <w:rPr>
                <w:sz w:val="22"/>
              </w:rPr>
            </w:pPr>
            <w:r>
              <w:rPr>
                <w:sz w:val="22"/>
              </w:rPr>
              <w:t>Yates</w:t>
            </w:r>
            <w:r>
              <w:rPr>
                <w:spacing w:val="-13"/>
                <w:sz w:val="22"/>
              </w:rPr>
              <w:t> </w:t>
            </w:r>
            <w:r>
              <w:rPr>
                <w:sz w:val="22"/>
              </w:rPr>
              <w:t>County</w:t>
            </w:r>
            <w:r>
              <w:rPr>
                <w:spacing w:val="-12"/>
                <w:sz w:val="22"/>
              </w:rPr>
              <w:t> </w:t>
            </w:r>
            <w:r>
              <w:rPr>
                <w:sz w:val="22"/>
              </w:rPr>
              <w:t>Community </w:t>
            </w:r>
            <w:r>
              <w:rPr>
                <w:spacing w:val="-2"/>
                <w:sz w:val="22"/>
              </w:rPr>
              <w:t>Services</w:t>
            </w:r>
          </w:p>
        </w:tc>
        <w:tc>
          <w:tcPr>
            <w:tcW w:w="3422" w:type="dxa"/>
          </w:tcPr>
          <w:p>
            <w:pPr>
              <w:pStyle w:val="TableParagraph"/>
              <w:ind w:left="7"/>
              <w:rPr>
                <w:sz w:val="22"/>
              </w:rPr>
            </w:pPr>
            <w:r>
              <w:rPr>
                <w:sz w:val="22"/>
              </w:rPr>
              <w:t>Local</w:t>
            </w:r>
            <w:r>
              <w:rPr>
                <w:spacing w:val="-3"/>
                <w:sz w:val="22"/>
              </w:rPr>
              <w:t> </w:t>
            </w:r>
            <w:r>
              <w:rPr>
                <w:spacing w:val="-2"/>
                <w:sz w:val="22"/>
              </w:rPr>
              <w:t>government</w:t>
            </w:r>
          </w:p>
        </w:tc>
        <w:tc>
          <w:tcPr>
            <w:tcW w:w="3012" w:type="dxa"/>
          </w:tcPr>
          <w:p>
            <w:pPr>
              <w:pStyle w:val="TableParagraph"/>
              <w:ind w:left="57"/>
              <w:rPr>
                <w:sz w:val="22"/>
              </w:rPr>
            </w:pPr>
            <w:r>
              <w:rPr>
                <w:spacing w:val="-2"/>
                <w:sz w:val="22"/>
              </w:rPr>
              <w:t>Yates</w:t>
            </w:r>
            <w:r>
              <w:rPr>
                <w:spacing w:val="-5"/>
                <w:sz w:val="22"/>
              </w:rPr>
              <w:t> </w:t>
            </w:r>
            <w:r>
              <w:rPr>
                <w:spacing w:val="-2"/>
                <w:sz w:val="22"/>
              </w:rPr>
              <w:t>County Residents</w:t>
            </w:r>
          </w:p>
        </w:tc>
      </w:tr>
      <w:tr>
        <w:trPr>
          <w:trHeight w:val="426" w:hRule="atLeast"/>
        </w:trPr>
        <w:tc>
          <w:tcPr>
            <w:tcW w:w="2911" w:type="dxa"/>
          </w:tcPr>
          <w:p>
            <w:pPr>
              <w:pStyle w:val="TableParagraph"/>
              <w:ind w:left="6"/>
              <w:rPr>
                <w:sz w:val="22"/>
              </w:rPr>
            </w:pPr>
            <w:r>
              <w:rPr>
                <w:sz w:val="22"/>
              </w:rPr>
              <w:t>Dundee</w:t>
            </w:r>
            <w:r>
              <w:rPr>
                <w:spacing w:val="-5"/>
                <w:sz w:val="22"/>
              </w:rPr>
              <w:t> </w:t>
            </w:r>
            <w:r>
              <w:rPr>
                <w:sz w:val="22"/>
              </w:rPr>
              <w:t>Fresh</w:t>
            </w:r>
            <w:r>
              <w:rPr>
                <w:spacing w:val="-4"/>
                <w:sz w:val="22"/>
              </w:rPr>
              <w:t> </w:t>
            </w:r>
            <w:r>
              <w:rPr>
                <w:spacing w:val="-2"/>
                <w:sz w:val="22"/>
              </w:rPr>
              <w:t>Grocery</w:t>
            </w:r>
          </w:p>
        </w:tc>
        <w:tc>
          <w:tcPr>
            <w:tcW w:w="3422" w:type="dxa"/>
          </w:tcPr>
          <w:p>
            <w:pPr>
              <w:pStyle w:val="TableParagraph"/>
              <w:ind w:left="7"/>
              <w:rPr>
                <w:sz w:val="22"/>
              </w:rPr>
            </w:pPr>
            <w:r>
              <w:rPr>
                <w:spacing w:val="-2"/>
                <w:sz w:val="22"/>
              </w:rPr>
              <w:t>Business</w:t>
            </w:r>
          </w:p>
        </w:tc>
        <w:tc>
          <w:tcPr>
            <w:tcW w:w="3012" w:type="dxa"/>
          </w:tcPr>
          <w:p>
            <w:pPr>
              <w:pStyle w:val="TableParagraph"/>
              <w:ind w:left="57"/>
              <w:rPr>
                <w:sz w:val="22"/>
              </w:rPr>
            </w:pPr>
            <w:r>
              <w:rPr>
                <w:sz w:val="22"/>
              </w:rPr>
              <w:t>All</w:t>
            </w:r>
            <w:r>
              <w:rPr>
                <w:spacing w:val="-2"/>
                <w:sz w:val="22"/>
              </w:rPr>
              <w:t> populafions</w:t>
            </w:r>
          </w:p>
        </w:tc>
      </w:tr>
      <w:tr>
        <w:trPr>
          <w:trHeight w:val="428" w:hRule="atLeast"/>
        </w:trPr>
        <w:tc>
          <w:tcPr>
            <w:tcW w:w="2911" w:type="dxa"/>
          </w:tcPr>
          <w:p>
            <w:pPr>
              <w:pStyle w:val="TableParagraph"/>
              <w:spacing w:line="240" w:lineRule="auto" w:before="1"/>
              <w:ind w:left="6"/>
              <w:rPr>
                <w:sz w:val="22"/>
              </w:rPr>
            </w:pPr>
            <w:r>
              <w:rPr>
                <w:sz w:val="22"/>
              </w:rPr>
              <w:t>Our</w:t>
            </w:r>
            <w:r>
              <w:rPr>
                <w:spacing w:val="-12"/>
                <w:sz w:val="22"/>
              </w:rPr>
              <w:t> </w:t>
            </w:r>
            <w:r>
              <w:rPr>
                <w:sz w:val="22"/>
              </w:rPr>
              <w:t>Town</w:t>
            </w:r>
            <w:r>
              <w:rPr>
                <w:spacing w:val="-12"/>
                <w:sz w:val="22"/>
              </w:rPr>
              <w:t> </w:t>
            </w:r>
            <w:r>
              <w:rPr>
                <w:spacing w:val="-2"/>
                <w:sz w:val="22"/>
              </w:rPr>
              <w:t>Rocks</w:t>
            </w:r>
          </w:p>
        </w:tc>
        <w:tc>
          <w:tcPr>
            <w:tcW w:w="3422" w:type="dxa"/>
          </w:tcPr>
          <w:p>
            <w:pPr>
              <w:pStyle w:val="TableParagraph"/>
              <w:spacing w:line="240" w:lineRule="auto" w:before="1"/>
              <w:ind w:left="7"/>
              <w:rPr>
                <w:sz w:val="22"/>
              </w:rPr>
            </w:pPr>
            <w:r>
              <w:rPr>
                <w:sz w:val="22"/>
              </w:rPr>
              <w:t>Nonproﬁt</w:t>
            </w:r>
            <w:r>
              <w:rPr>
                <w:spacing w:val="-9"/>
                <w:sz w:val="22"/>
              </w:rPr>
              <w:t> </w:t>
            </w:r>
            <w:r>
              <w:rPr>
                <w:sz w:val="22"/>
              </w:rPr>
              <w:t>community</w:t>
            </w:r>
            <w:r>
              <w:rPr>
                <w:spacing w:val="-8"/>
                <w:sz w:val="22"/>
              </w:rPr>
              <w:t> </w:t>
            </w:r>
            <w:r>
              <w:rPr>
                <w:spacing w:val="-2"/>
                <w:sz w:val="22"/>
              </w:rPr>
              <w:t>organizafion</w:t>
            </w:r>
          </w:p>
        </w:tc>
        <w:tc>
          <w:tcPr>
            <w:tcW w:w="3012" w:type="dxa"/>
          </w:tcPr>
          <w:p>
            <w:pPr>
              <w:pStyle w:val="TableParagraph"/>
              <w:spacing w:line="240" w:lineRule="auto" w:before="1"/>
              <w:ind w:left="57"/>
              <w:rPr>
                <w:sz w:val="22"/>
              </w:rPr>
            </w:pPr>
            <w:r>
              <w:rPr>
                <w:sz w:val="22"/>
              </w:rPr>
              <w:t>All</w:t>
            </w:r>
            <w:r>
              <w:rPr>
                <w:spacing w:val="-2"/>
                <w:sz w:val="22"/>
              </w:rPr>
              <w:t> populafions</w:t>
            </w:r>
          </w:p>
        </w:tc>
      </w:tr>
      <w:tr>
        <w:trPr>
          <w:trHeight w:val="429" w:hRule="atLeast"/>
        </w:trPr>
        <w:tc>
          <w:tcPr>
            <w:tcW w:w="2911" w:type="dxa"/>
          </w:tcPr>
          <w:p>
            <w:pPr>
              <w:pStyle w:val="TableParagraph"/>
              <w:ind w:left="6"/>
              <w:rPr>
                <w:sz w:val="22"/>
              </w:rPr>
            </w:pPr>
            <w:r>
              <w:rPr>
                <w:sz w:val="22"/>
              </w:rPr>
              <w:t>Refired</w:t>
            </w:r>
            <w:r>
              <w:rPr>
                <w:spacing w:val="-8"/>
                <w:sz w:val="22"/>
              </w:rPr>
              <w:t> </w:t>
            </w:r>
            <w:r>
              <w:rPr>
                <w:spacing w:val="-2"/>
                <w:sz w:val="22"/>
              </w:rPr>
              <w:t>Physicians</w:t>
            </w:r>
          </w:p>
        </w:tc>
        <w:tc>
          <w:tcPr>
            <w:tcW w:w="3422" w:type="dxa"/>
          </w:tcPr>
          <w:p>
            <w:pPr>
              <w:pStyle w:val="TableParagraph"/>
              <w:ind w:left="7"/>
              <w:rPr>
                <w:sz w:val="22"/>
              </w:rPr>
            </w:pPr>
            <w:r>
              <w:rPr>
                <w:sz w:val="22"/>
              </w:rPr>
              <w:t>Community</w:t>
            </w:r>
            <w:r>
              <w:rPr>
                <w:spacing w:val="-6"/>
                <w:sz w:val="22"/>
              </w:rPr>
              <w:t> </w:t>
            </w:r>
            <w:r>
              <w:rPr>
                <w:spacing w:val="-2"/>
                <w:sz w:val="22"/>
              </w:rPr>
              <w:t>members</w:t>
            </w:r>
          </w:p>
        </w:tc>
        <w:tc>
          <w:tcPr>
            <w:tcW w:w="3012" w:type="dxa"/>
          </w:tcPr>
          <w:p>
            <w:pPr>
              <w:pStyle w:val="TableParagraph"/>
              <w:spacing w:line="240" w:lineRule="auto"/>
              <w:ind w:left="0"/>
              <w:rPr>
                <w:rFonts w:ascii="Times New Roman"/>
                <w:sz w:val="20"/>
              </w:rPr>
            </w:pPr>
          </w:p>
        </w:tc>
      </w:tr>
    </w:tbl>
    <w:p>
      <w:pPr>
        <w:pStyle w:val="BodyText"/>
        <w:ind w:left="0"/>
        <w:rPr>
          <w:sz w:val="20"/>
        </w:rPr>
      </w:pPr>
    </w:p>
    <w:p>
      <w:pPr>
        <w:pStyle w:val="BodyText"/>
        <w:ind w:left="0"/>
        <w:rPr>
          <w:sz w:val="20"/>
        </w:rPr>
      </w:pPr>
    </w:p>
    <w:p>
      <w:pPr>
        <w:pStyle w:val="BodyText"/>
        <w:ind w:left="0"/>
        <w:rPr>
          <w:sz w:val="20"/>
        </w:rPr>
      </w:pPr>
    </w:p>
    <w:p>
      <w:pPr>
        <w:pStyle w:val="BodyText"/>
        <w:spacing w:before="73"/>
        <w:ind w:left="0"/>
        <w:rPr>
          <w:sz w:val="20"/>
        </w:rPr>
      </w:pPr>
      <w:r>
        <w:rPr>
          <w:sz w:val="20"/>
        </w:rPr>
        <w:drawing>
          <wp:anchor distT="0" distB="0" distL="0" distR="0" allowOverlap="1" layoutInCell="1" locked="0" behindDoc="1" simplePos="0" relativeHeight="487615488">
            <wp:simplePos x="0" y="0"/>
            <wp:positionH relativeFrom="page">
              <wp:posOffset>18300</wp:posOffset>
            </wp:positionH>
            <wp:positionV relativeFrom="paragraph">
              <wp:posOffset>216651</wp:posOffset>
            </wp:positionV>
            <wp:extent cx="7743756" cy="3538728"/>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38" cstate="print"/>
                    <a:stretch>
                      <a:fillRect/>
                    </a:stretch>
                  </pic:blipFill>
                  <pic:spPr>
                    <a:xfrm>
                      <a:off x="0" y="0"/>
                      <a:ext cx="7743756" cy="3538728"/>
                    </a:xfrm>
                    <a:prstGeom prst="rect">
                      <a:avLst/>
                    </a:prstGeom>
                  </pic:spPr>
                </pic:pic>
              </a:graphicData>
            </a:graphic>
          </wp:anchor>
        </w:drawing>
      </w:r>
    </w:p>
    <w:p>
      <w:pPr>
        <w:spacing w:before="153"/>
        <w:ind w:left="240" w:right="0" w:firstLine="0"/>
        <w:jc w:val="left"/>
        <w:rPr>
          <w:i/>
          <w:sz w:val="20"/>
        </w:rPr>
      </w:pPr>
      <w:r>
        <w:rPr>
          <w:i/>
          <w:sz w:val="20"/>
        </w:rPr>
        <w:t>Soldiers</w:t>
      </w:r>
      <w:r>
        <w:rPr>
          <w:i/>
          <w:spacing w:val="-9"/>
          <w:sz w:val="20"/>
        </w:rPr>
        <w:t> </w:t>
      </w:r>
      <w:r>
        <w:rPr>
          <w:i/>
          <w:sz w:val="20"/>
        </w:rPr>
        <w:t>and</w:t>
      </w:r>
      <w:r>
        <w:rPr>
          <w:i/>
          <w:spacing w:val="-6"/>
          <w:sz w:val="20"/>
        </w:rPr>
        <w:t> </w:t>
      </w:r>
      <w:r>
        <w:rPr>
          <w:i/>
          <w:sz w:val="20"/>
        </w:rPr>
        <w:t>Sailors</w:t>
      </w:r>
      <w:r>
        <w:rPr>
          <w:i/>
          <w:spacing w:val="-8"/>
          <w:sz w:val="20"/>
        </w:rPr>
        <w:t> </w:t>
      </w:r>
      <w:r>
        <w:rPr>
          <w:i/>
          <w:sz w:val="20"/>
        </w:rPr>
        <w:t>Memorial</w:t>
      </w:r>
      <w:r>
        <w:rPr>
          <w:i/>
          <w:spacing w:val="-8"/>
          <w:sz w:val="20"/>
        </w:rPr>
        <w:t> </w:t>
      </w:r>
      <w:r>
        <w:rPr>
          <w:i/>
          <w:sz w:val="20"/>
        </w:rPr>
        <w:t>Hospital</w:t>
      </w:r>
      <w:r>
        <w:rPr>
          <w:i/>
          <w:spacing w:val="-7"/>
          <w:sz w:val="20"/>
        </w:rPr>
        <w:t> </w:t>
      </w:r>
      <w:r>
        <w:rPr>
          <w:i/>
          <w:sz w:val="20"/>
        </w:rPr>
        <w:t>Courtesy</w:t>
      </w:r>
      <w:r>
        <w:rPr>
          <w:i/>
          <w:spacing w:val="-8"/>
          <w:sz w:val="20"/>
        </w:rPr>
        <w:t> </w:t>
      </w:r>
      <w:r>
        <w:rPr>
          <w:i/>
          <w:sz w:val="20"/>
        </w:rPr>
        <w:t>of</w:t>
      </w:r>
      <w:r>
        <w:rPr>
          <w:i/>
          <w:spacing w:val="-8"/>
          <w:sz w:val="20"/>
        </w:rPr>
        <w:t> </w:t>
      </w:r>
      <w:r>
        <w:rPr>
          <w:i/>
          <w:sz w:val="20"/>
        </w:rPr>
        <w:t>UR</w:t>
      </w:r>
      <w:r>
        <w:rPr>
          <w:i/>
          <w:spacing w:val="-8"/>
          <w:sz w:val="20"/>
        </w:rPr>
        <w:t> </w:t>
      </w:r>
      <w:r>
        <w:rPr>
          <w:i/>
          <w:sz w:val="20"/>
        </w:rPr>
        <w:t>Medicine</w:t>
      </w:r>
      <w:r>
        <w:rPr>
          <w:i/>
          <w:spacing w:val="-6"/>
          <w:sz w:val="20"/>
        </w:rPr>
        <w:t> </w:t>
      </w:r>
      <w:r>
        <w:rPr>
          <w:i/>
          <w:sz w:val="20"/>
        </w:rPr>
        <w:t>Finger</w:t>
      </w:r>
      <w:r>
        <w:rPr>
          <w:i/>
          <w:spacing w:val="-9"/>
          <w:sz w:val="20"/>
        </w:rPr>
        <w:t> </w:t>
      </w:r>
      <w:r>
        <w:rPr>
          <w:i/>
          <w:sz w:val="20"/>
        </w:rPr>
        <w:t>Lakes</w:t>
      </w:r>
      <w:r>
        <w:rPr>
          <w:i/>
          <w:spacing w:val="-8"/>
          <w:sz w:val="20"/>
        </w:rPr>
        <w:t> </w:t>
      </w:r>
      <w:r>
        <w:rPr>
          <w:i/>
          <w:spacing w:val="-2"/>
          <w:sz w:val="20"/>
        </w:rPr>
        <w:t>Health</w:t>
      </w:r>
    </w:p>
    <w:p>
      <w:pPr>
        <w:spacing w:before="168"/>
        <w:ind w:left="227" w:right="0" w:firstLine="0"/>
        <w:jc w:val="left"/>
        <w:rPr>
          <w:sz w:val="18"/>
        </w:rPr>
      </w:pPr>
      <w:r>
        <w:rPr>
          <w:sz w:val="18"/>
        </w:rPr>
        <w:t>Courtesy</w:t>
      </w:r>
      <w:r>
        <w:rPr>
          <w:spacing w:val="-4"/>
          <w:sz w:val="18"/>
        </w:rPr>
        <w:t> </w:t>
      </w:r>
      <w:r>
        <w:rPr>
          <w:sz w:val="18"/>
        </w:rPr>
        <w:t>of</w:t>
      </w:r>
      <w:r>
        <w:rPr>
          <w:spacing w:val="-4"/>
          <w:sz w:val="18"/>
        </w:rPr>
        <w:t> </w:t>
      </w:r>
      <w:r>
        <w:rPr>
          <w:sz w:val="18"/>
        </w:rPr>
        <w:t>UR</w:t>
      </w:r>
      <w:r>
        <w:rPr>
          <w:spacing w:val="-4"/>
          <w:sz w:val="18"/>
        </w:rPr>
        <w:t> </w:t>
      </w:r>
      <w:r>
        <w:rPr>
          <w:sz w:val="18"/>
        </w:rPr>
        <w:t>Medicine-</w:t>
      </w:r>
      <w:r>
        <w:rPr>
          <w:spacing w:val="-4"/>
          <w:sz w:val="18"/>
        </w:rPr>
        <w:t> </w:t>
      </w:r>
      <w:r>
        <w:rPr>
          <w:sz w:val="18"/>
        </w:rPr>
        <w:t>Soldiers</w:t>
      </w:r>
      <w:r>
        <w:rPr>
          <w:spacing w:val="-5"/>
          <w:sz w:val="18"/>
        </w:rPr>
        <w:t> </w:t>
      </w:r>
      <w:r>
        <w:rPr>
          <w:sz w:val="18"/>
        </w:rPr>
        <w:t>and</w:t>
      </w:r>
      <w:r>
        <w:rPr>
          <w:spacing w:val="-5"/>
          <w:sz w:val="18"/>
        </w:rPr>
        <w:t> </w:t>
      </w:r>
      <w:r>
        <w:rPr>
          <w:sz w:val="18"/>
        </w:rPr>
        <w:t>Sailors</w:t>
      </w:r>
      <w:r>
        <w:rPr>
          <w:spacing w:val="-5"/>
          <w:sz w:val="18"/>
        </w:rPr>
        <w:t> </w:t>
      </w:r>
      <w:r>
        <w:rPr>
          <w:sz w:val="18"/>
        </w:rPr>
        <w:t>Memorial</w:t>
      </w:r>
      <w:r>
        <w:rPr>
          <w:spacing w:val="-4"/>
          <w:sz w:val="18"/>
        </w:rPr>
        <w:t> </w:t>
      </w:r>
      <w:r>
        <w:rPr>
          <w:spacing w:val="-2"/>
          <w:sz w:val="18"/>
        </w:rPr>
        <w:t>Hospital</w:t>
      </w:r>
    </w:p>
    <w:sectPr>
      <w:pgSz w:w="12240" w:h="15840"/>
      <w:pgMar w:header="161" w:footer="1223" w:top="1360" w:bottom="14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6531072">
              <wp:simplePos x="0" y="0"/>
              <wp:positionH relativeFrom="page">
                <wp:posOffset>0</wp:posOffset>
              </wp:positionH>
              <wp:positionV relativeFrom="page">
                <wp:posOffset>9096057</wp:posOffset>
              </wp:positionV>
              <wp:extent cx="7764780" cy="26034"/>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7764780" cy="26034"/>
                      </a:xfrm>
                      <a:custGeom>
                        <a:avLst/>
                        <a:gdLst/>
                        <a:ahLst/>
                        <a:cxnLst/>
                        <a:rect l="l" t="t" r="r" b="b"/>
                        <a:pathLst>
                          <a:path w="7764780" h="26034">
                            <a:moveTo>
                              <a:pt x="7764653" y="0"/>
                            </a:moveTo>
                            <a:lnTo>
                              <a:pt x="0" y="0"/>
                            </a:lnTo>
                            <a:lnTo>
                              <a:pt x="0" y="25780"/>
                            </a:lnTo>
                            <a:lnTo>
                              <a:pt x="7764653" y="25780"/>
                            </a:lnTo>
                            <a:lnTo>
                              <a:pt x="7764653" y="0"/>
                            </a:lnTo>
                            <a:close/>
                          </a:path>
                        </a:pathLst>
                      </a:custGeom>
                      <a:solidFill>
                        <a:srgbClr val="145F82"/>
                      </a:solidFill>
                    </wps:spPr>
                    <wps:bodyPr wrap="square" lIns="0" tIns="0" rIns="0" bIns="0" rtlCol="0">
                      <a:prstTxWarp prst="textNoShape">
                        <a:avLst/>
                      </a:prstTxWarp>
                      <a:noAutofit/>
                    </wps:bodyPr>
                  </wps:wsp>
                </a:graphicData>
              </a:graphic>
            </wp:anchor>
          </w:drawing>
        </mc:Choice>
        <mc:Fallback>
          <w:pict>
            <v:rect style="position:absolute;margin-left:0pt;margin-top:716.224976pt;width:611.39pt;height:2.030000pt;mso-position-horizontal-relative:page;mso-position-vertical-relative:page;z-index:-16785408" id="docshape2" filled="true" fillcolor="#145f82" stroked="false">
              <v:fill type="solid"/>
              <w10:wrap type="none"/>
            </v:rect>
          </w:pict>
        </mc:Fallback>
      </mc:AlternateContent>
    </w:r>
    <w:r>
      <w:rPr>
        <w:sz w:val="20"/>
      </w:rPr>
      <mc:AlternateContent>
        <mc:Choice Requires="wps">
          <w:drawing>
            <wp:anchor distT="0" distB="0" distL="0" distR="0" allowOverlap="1" layoutInCell="1" locked="0" behindDoc="1" simplePos="0" relativeHeight="486531584">
              <wp:simplePos x="0" y="0"/>
              <wp:positionH relativeFrom="page">
                <wp:posOffset>901700</wp:posOffset>
              </wp:positionH>
              <wp:positionV relativeFrom="page">
                <wp:posOffset>9262491</wp:posOffset>
              </wp:positionV>
              <wp:extent cx="591820" cy="1778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591820" cy="177800"/>
                      </a:xfrm>
                      <a:prstGeom prst="rect">
                        <a:avLst/>
                      </a:prstGeom>
                    </wps:spPr>
                    <wps:txbx>
                      <w:txbxContent>
                        <w:p>
                          <w:pPr>
                            <w:spacing w:line="264" w:lineRule="exact" w:before="0"/>
                            <w:ind w:left="20" w:right="0" w:firstLine="0"/>
                            <w:jc w:val="left"/>
                            <w:rPr>
                              <w:b/>
                              <w:sz w:val="24"/>
                            </w:rPr>
                          </w:pPr>
                          <w:r>
                            <w:rPr>
                              <w:b/>
                              <w:color w:val="145F82"/>
                              <w:sz w:val="24"/>
                            </w:rPr>
                            <w:t>Page</w:t>
                          </w:r>
                          <w:r>
                            <w:rPr>
                              <w:b/>
                              <w:color w:val="145F82"/>
                              <w:spacing w:val="-11"/>
                              <w:sz w:val="24"/>
                            </w:rPr>
                            <w:t> </w:t>
                          </w:r>
                          <w:r>
                            <w:rPr>
                              <w:b/>
                              <w:color w:val="145F82"/>
                              <w:spacing w:val="-5"/>
                              <w:sz w:val="24"/>
                            </w:rPr>
                            <w:fldChar w:fldCharType="begin"/>
                          </w:r>
                          <w:r>
                            <w:rPr>
                              <w:b/>
                              <w:color w:val="145F82"/>
                              <w:spacing w:val="-5"/>
                              <w:sz w:val="24"/>
                            </w:rPr>
                            <w:instrText> PAGE </w:instrText>
                          </w:r>
                          <w:r>
                            <w:rPr>
                              <w:b/>
                              <w:color w:val="145F82"/>
                              <w:spacing w:val="-5"/>
                              <w:sz w:val="24"/>
                            </w:rPr>
                            <w:fldChar w:fldCharType="separate"/>
                          </w:r>
                          <w:r>
                            <w:rPr>
                              <w:b/>
                              <w:color w:val="145F82"/>
                              <w:spacing w:val="-5"/>
                              <w:sz w:val="24"/>
                            </w:rPr>
                            <w:t>100</w:t>
                          </w:r>
                          <w:r>
                            <w:rPr>
                              <w:b/>
                              <w:color w:val="145F82"/>
                              <w:spacing w:val="-5"/>
                              <w:sz w:val="24"/>
                            </w:rPr>
                            <w:fldChar w:fldCharType="end"/>
                          </w:r>
                        </w:p>
                      </w:txbxContent>
                    </wps:txbx>
                    <wps:bodyPr wrap="square" lIns="0" tIns="0" rIns="0" bIns="0" rtlCol="0">
                      <a:noAutofit/>
                    </wps:bodyPr>
                  </wps:wsp>
                </a:graphicData>
              </a:graphic>
            </wp:anchor>
          </w:drawing>
        </mc:Choice>
        <mc:Fallback>
          <w:pict>
            <v:shape style="position:absolute;margin-left:71pt;margin-top:729.330017pt;width:46.6pt;height:14pt;mso-position-horizontal-relative:page;mso-position-vertical-relative:page;z-index:-16784896" type="#_x0000_t202" id="docshape3" filled="false" stroked="false">
              <v:textbox inset="0,0,0,0">
                <w:txbxContent>
                  <w:p>
                    <w:pPr>
                      <w:spacing w:line="264" w:lineRule="exact" w:before="0"/>
                      <w:ind w:left="20" w:right="0" w:firstLine="0"/>
                      <w:jc w:val="left"/>
                      <w:rPr>
                        <w:b/>
                        <w:sz w:val="24"/>
                      </w:rPr>
                    </w:pPr>
                    <w:r>
                      <w:rPr>
                        <w:b/>
                        <w:color w:val="145F82"/>
                        <w:sz w:val="24"/>
                      </w:rPr>
                      <w:t>Page</w:t>
                    </w:r>
                    <w:r>
                      <w:rPr>
                        <w:b/>
                        <w:color w:val="145F82"/>
                        <w:spacing w:val="-11"/>
                        <w:sz w:val="24"/>
                      </w:rPr>
                      <w:t> </w:t>
                    </w:r>
                    <w:r>
                      <w:rPr>
                        <w:b/>
                        <w:color w:val="145F82"/>
                        <w:spacing w:val="-5"/>
                        <w:sz w:val="24"/>
                      </w:rPr>
                      <w:fldChar w:fldCharType="begin"/>
                    </w:r>
                    <w:r>
                      <w:rPr>
                        <w:b/>
                        <w:color w:val="145F82"/>
                        <w:spacing w:val="-5"/>
                        <w:sz w:val="24"/>
                      </w:rPr>
                      <w:instrText> PAGE </w:instrText>
                    </w:r>
                    <w:r>
                      <w:rPr>
                        <w:b/>
                        <w:color w:val="145F82"/>
                        <w:spacing w:val="-5"/>
                        <w:sz w:val="24"/>
                      </w:rPr>
                      <w:fldChar w:fldCharType="separate"/>
                    </w:r>
                    <w:r>
                      <w:rPr>
                        <w:b/>
                        <w:color w:val="145F82"/>
                        <w:spacing w:val="-5"/>
                        <w:sz w:val="24"/>
                      </w:rPr>
                      <w:t>100</w:t>
                    </w:r>
                    <w:r>
                      <w:rPr>
                        <w:b/>
                        <w:color w:val="145F82"/>
                        <w:spacing w:val="-5"/>
                        <w:sz w:val="24"/>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532096">
              <wp:simplePos x="0" y="0"/>
              <wp:positionH relativeFrom="page">
                <wp:posOffset>6029957</wp:posOffset>
              </wp:positionH>
              <wp:positionV relativeFrom="page">
                <wp:posOffset>9262493</wp:posOffset>
              </wp:positionV>
              <wp:extent cx="843280" cy="1778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843280" cy="177800"/>
                      </a:xfrm>
                      <a:prstGeom prst="rect">
                        <a:avLst/>
                      </a:prstGeom>
                    </wps:spPr>
                    <wps:txbx>
                      <w:txbxContent>
                        <w:p>
                          <w:pPr>
                            <w:spacing w:line="264" w:lineRule="exact" w:before="0"/>
                            <w:ind w:left="20" w:right="0" w:firstLine="0"/>
                            <w:jc w:val="left"/>
                            <w:rPr>
                              <w:b/>
                              <w:sz w:val="24"/>
                            </w:rPr>
                          </w:pPr>
                          <w:r>
                            <w:rPr>
                              <w:b/>
                              <w:color w:val="145F82"/>
                              <w:spacing w:val="-4"/>
                              <w:sz w:val="24"/>
                            </w:rPr>
                            <w:t>Yates</w:t>
                          </w:r>
                          <w:r>
                            <w:rPr>
                              <w:b/>
                              <w:color w:val="145F82"/>
                              <w:spacing w:val="-5"/>
                              <w:sz w:val="24"/>
                            </w:rPr>
                            <w:t> </w:t>
                          </w:r>
                          <w:r>
                            <w:rPr>
                              <w:b/>
                              <w:color w:val="145F82"/>
                              <w:spacing w:val="-2"/>
                              <w:sz w:val="24"/>
                            </w:rPr>
                            <w:t>County</w:t>
                          </w:r>
                        </w:p>
                      </w:txbxContent>
                    </wps:txbx>
                    <wps:bodyPr wrap="square" lIns="0" tIns="0" rIns="0" bIns="0" rtlCol="0">
                      <a:noAutofit/>
                    </wps:bodyPr>
                  </wps:wsp>
                </a:graphicData>
              </a:graphic>
            </wp:anchor>
          </w:drawing>
        </mc:Choice>
        <mc:Fallback>
          <w:pict>
            <v:shape style="position:absolute;margin-left:474.799805pt;margin-top:729.3302pt;width:66.4pt;height:14pt;mso-position-horizontal-relative:page;mso-position-vertical-relative:page;z-index:-16784384" type="#_x0000_t202" id="docshape4" filled="false" stroked="false">
              <v:textbox inset="0,0,0,0">
                <w:txbxContent>
                  <w:p>
                    <w:pPr>
                      <w:spacing w:line="264" w:lineRule="exact" w:before="0"/>
                      <w:ind w:left="20" w:right="0" w:firstLine="0"/>
                      <w:jc w:val="left"/>
                      <w:rPr>
                        <w:b/>
                        <w:sz w:val="24"/>
                      </w:rPr>
                    </w:pPr>
                    <w:r>
                      <w:rPr>
                        <w:b/>
                        <w:color w:val="145F82"/>
                        <w:spacing w:val="-4"/>
                        <w:sz w:val="24"/>
                      </w:rPr>
                      <w:t>Yates</w:t>
                    </w:r>
                    <w:r>
                      <w:rPr>
                        <w:b/>
                        <w:color w:val="145F82"/>
                        <w:spacing w:val="-5"/>
                        <w:sz w:val="24"/>
                      </w:rPr>
                      <w:t> </w:t>
                    </w:r>
                    <w:r>
                      <w:rPr>
                        <w:b/>
                        <w:color w:val="145F82"/>
                        <w:spacing w:val="-2"/>
                        <w:sz w:val="24"/>
                      </w:rPr>
                      <w:t>County</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w:drawing>
        <wp:anchor distT="0" distB="0" distL="0" distR="0" allowOverlap="1" layoutInCell="1" locked="0" behindDoc="1" simplePos="0" relativeHeight="486529024">
          <wp:simplePos x="0" y="0"/>
          <wp:positionH relativeFrom="page">
            <wp:posOffset>170624</wp:posOffset>
          </wp:positionH>
          <wp:positionV relativeFrom="page">
            <wp:posOffset>102109</wp:posOffset>
          </wp:positionV>
          <wp:extent cx="717865" cy="63703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717865" cy="637031"/>
                  </a:xfrm>
                  <a:prstGeom prst="rect">
                    <a:avLst/>
                  </a:prstGeom>
                </pic:spPr>
              </pic:pic>
            </a:graphicData>
          </a:graphic>
        </wp:anchor>
      </w:drawing>
    </w:r>
    <w:r>
      <w:rPr>
        <w:sz w:val="20"/>
      </w:rPr>
      <w:drawing>
        <wp:anchor distT="0" distB="0" distL="0" distR="0" allowOverlap="1" layoutInCell="1" locked="0" behindDoc="1" simplePos="0" relativeHeight="486529536">
          <wp:simplePos x="0" y="0"/>
          <wp:positionH relativeFrom="page">
            <wp:posOffset>7050035</wp:posOffset>
          </wp:positionH>
          <wp:positionV relativeFrom="page">
            <wp:posOffset>132563</wp:posOffset>
          </wp:positionV>
          <wp:extent cx="588264" cy="57764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2" cstate="print"/>
                  <a:stretch>
                    <a:fillRect/>
                  </a:stretch>
                </pic:blipFill>
                <pic:spPr>
                  <a:xfrm>
                    <a:off x="0" y="0"/>
                    <a:ext cx="588264" cy="57764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530048">
              <wp:simplePos x="0" y="0"/>
              <wp:positionH relativeFrom="page">
                <wp:posOffset>0</wp:posOffset>
              </wp:positionH>
              <wp:positionV relativeFrom="page">
                <wp:posOffset>841247</wp:posOffset>
              </wp:positionV>
              <wp:extent cx="7747000"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7747000" cy="1270"/>
                      </a:xfrm>
                      <a:custGeom>
                        <a:avLst/>
                        <a:gdLst/>
                        <a:ahLst/>
                        <a:cxnLst/>
                        <a:rect l="l" t="t" r="r" b="b"/>
                        <a:pathLst>
                          <a:path w="7747000" h="0">
                            <a:moveTo>
                              <a:pt x="0" y="0"/>
                            </a:moveTo>
                            <a:lnTo>
                              <a:pt x="7746492" y="0"/>
                            </a:lnTo>
                          </a:path>
                        </a:pathLst>
                      </a:custGeom>
                      <a:ln w="25780">
                        <a:solidFill>
                          <a:srgbClr val="145F82"/>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86432" from="0pt,66.239998pt" to="609.96pt,66.239998pt" stroked="true" strokeweight="2.030000pt" strokecolor="#145f82">
              <v:stroke dashstyle="solid"/>
              <w10:wrap type="none"/>
            </v:line>
          </w:pict>
        </mc:Fallback>
      </mc:AlternateContent>
    </w:r>
    <w:r>
      <w:rPr>
        <w:sz w:val="20"/>
      </w:rPr>
      <mc:AlternateContent>
        <mc:Choice Requires="wps">
          <w:drawing>
            <wp:anchor distT="0" distB="0" distL="0" distR="0" allowOverlap="1" layoutInCell="1" locked="0" behindDoc="1" simplePos="0" relativeHeight="486530560">
              <wp:simplePos x="0" y="0"/>
              <wp:positionH relativeFrom="page">
                <wp:posOffset>2206117</wp:posOffset>
              </wp:positionH>
              <wp:positionV relativeFrom="page">
                <wp:posOffset>480166</wp:posOffset>
              </wp:positionV>
              <wp:extent cx="3449954" cy="20383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3449954" cy="203835"/>
                      </a:xfrm>
                      <a:prstGeom prst="rect">
                        <a:avLst/>
                      </a:prstGeom>
                    </wps:spPr>
                    <wps:txbx>
                      <w:txbxContent>
                        <w:p>
                          <w:pPr>
                            <w:spacing w:line="306" w:lineRule="exact" w:before="0"/>
                            <w:ind w:left="20" w:right="0" w:firstLine="0"/>
                            <w:jc w:val="left"/>
                            <w:rPr>
                              <w:b/>
                              <w:sz w:val="28"/>
                            </w:rPr>
                          </w:pPr>
                          <w:r>
                            <w:rPr>
                              <w:b/>
                              <w:color w:val="145F82"/>
                              <w:sz w:val="28"/>
                            </w:rPr>
                            <w:t>Community</w:t>
                          </w:r>
                          <w:r>
                            <w:rPr>
                              <w:b/>
                              <w:color w:val="145F82"/>
                              <w:spacing w:val="-11"/>
                              <w:sz w:val="28"/>
                            </w:rPr>
                            <w:t> </w:t>
                          </w:r>
                          <w:r>
                            <w:rPr>
                              <w:b/>
                              <w:color w:val="145F82"/>
                              <w:sz w:val="28"/>
                            </w:rPr>
                            <w:t>Health</w:t>
                          </w:r>
                          <w:r>
                            <w:rPr>
                              <w:b/>
                              <w:color w:val="145F82"/>
                              <w:spacing w:val="-10"/>
                              <w:sz w:val="28"/>
                            </w:rPr>
                            <w:t> </w:t>
                          </w:r>
                          <w:r>
                            <w:rPr>
                              <w:b/>
                              <w:color w:val="145F82"/>
                              <w:sz w:val="28"/>
                            </w:rPr>
                            <w:t>Assessment</w:t>
                          </w:r>
                          <w:r>
                            <w:rPr>
                              <w:b/>
                              <w:color w:val="145F82"/>
                              <w:spacing w:val="-8"/>
                              <w:sz w:val="28"/>
                            </w:rPr>
                            <w:t> </w:t>
                          </w:r>
                          <w:r>
                            <w:rPr>
                              <w:b/>
                              <w:color w:val="145F82"/>
                              <w:sz w:val="28"/>
                            </w:rPr>
                            <w:t>–</w:t>
                          </w:r>
                          <w:r>
                            <w:rPr>
                              <w:b/>
                              <w:color w:val="145F82"/>
                              <w:spacing w:val="-11"/>
                              <w:sz w:val="28"/>
                            </w:rPr>
                            <w:t> </w:t>
                          </w:r>
                          <w:r>
                            <w:rPr>
                              <w:b/>
                              <w:color w:val="145F82"/>
                              <w:sz w:val="28"/>
                            </w:rPr>
                            <w:t>Yates</w:t>
                          </w:r>
                          <w:r>
                            <w:rPr>
                              <w:b/>
                              <w:color w:val="145F82"/>
                              <w:spacing w:val="-8"/>
                              <w:sz w:val="28"/>
                            </w:rPr>
                            <w:t> </w:t>
                          </w:r>
                          <w:r>
                            <w:rPr>
                              <w:b/>
                              <w:color w:val="145F82"/>
                              <w:spacing w:val="-2"/>
                              <w:sz w:val="28"/>
                            </w:rPr>
                            <w:t>County</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73.710007pt;margin-top:37.808350pt;width:271.650pt;height:16.05pt;mso-position-horizontal-relative:page;mso-position-vertical-relative:page;z-index:-16785920" type="#_x0000_t202" id="docshape1" filled="false" stroked="false">
              <v:textbox inset="0,0,0,0">
                <w:txbxContent>
                  <w:p>
                    <w:pPr>
                      <w:spacing w:line="306" w:lineRule="exact" w:before="0"/>
                      <w:ind w:left="20" w:right="0" w:firstLine="0"/>
                      <w:jc w:val="left"/>
                      <w:rPr>
                        <w:b/>
                        <w:sz w:val="28"/>
                      </w:rPr>
                    </w:pPr>
                    <w:r>
                      <w:rPr>
                        <w:b/>
                        <w:color w:val="145F82"/>
                        <w:sz w:val="28"/>
                      </w:rPr>
                      <w:t>Community</w:t>
                    </w:r>
                    <w:r>
                      <w:rPr>
                        <w:b/>
                        <w:color w:val="145F82"/>
                        <w:spacing w:val="-11"/>
                        <w:sz w:val="28"/>
                      </w:rPr>
                      <w:t> </w:t>
                    </w:r>
                    <w:r>
                      <w:rPr>
                        <w:b/>
                        <w:color w:val="145F82"/>
                        <w:sz w:val="28"/>
                      </w:rPr>
                      <w:t>Health</w:t>
                    </w:r>
                    <w:r>
                      <w:rPr>
                        <w:b/>
                        <w:color w:val="145F82"/>
                        <w:spacing w:val="-10"/>
                        <w:sz w:val="28"/>
                      </w:rPr>
                      <w:t> </w:t>
                    </w:r>
                    <w:r>
                      <w:rPr>
                        <w:b/>
                        <w:color w:val="145F82"/>
                        <w:sz w:val="28"/>
                      </w:rPr>
                      <w:t>Assessment</w:t>
                    </w:r>
                    <w:r>
                      <w:rPr>
                        <w:b/>
                        <w:color w:val="145F82"/>
                        <w:spacing w:val="-8"/>
                        <w:sz w:val="28"/>
                      </w:rPr>
                      <w:t> </w:t>
                    </w:r>
                    <w:r>
                      <w:rPr>
                        <w:b/>
                        <w:color w:val="145F82"/>
                        <w:sz w:val="28"/>
                      </w:rPr>
                      <w:t>–</w:t>
                    </w:r>
                    <w:r>
                      <w:rPr>
                        <w:b/>
                        <w:color w:val="145F82"/>
                        <w:spacing w:val="-11"/>
                        <w:sz w:val="28"/>
                      </w:rPr>
                      <w:t> </w:t>
                    </w:r>
                    <w:r>
                      <w:rPr>
                        <w:b/>
                        <w:color w:val="145F82"/>
                        <w:sz w:val="28"/>
                      </w:rPr>
                      <w:t>Yates</w:t>
                    </w:r>
                    <w:r>
                      <w:rPr>
                        <w:b/>
                        <w:color w:val="145F82"/>
                        <w:spacing w:val="-8"/>
                        <w:sz w:val="28"/>
                      </w:rPr>
                      <w:t> </w:t>
                    </w:r>
                    <w:r>
                      <w:rPr>
                        <w:b/>
                        <w:color w:val="145F82"/>
                        <w:spacing w:val="-2"/>
                        <w:sz w:val="28"/>
                      </w:rPr>
                      <w:t>County</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1">
    <w:multiLevelType w:val="hybridMultilevel"/>
    <w:lvl w:ilvl="0">
      <w:start w:val="0"/>
      <w:numFmt w:val="bullet"/>
      <w:lvlText w:val=""/>
      <w:lvlJc w:val="left"/>
      <w:pPr>
        <w:ind w:left="2160" w:hanging="360"/>
      </w:pPr>
      <w:rPr>
        <w:rFonts w:hint="default" w:ascii="Symbol" w:hAnsi="Symbol" w:eastAsia="Symbol" w:cs="Symbol"/>
        <w:spacing w:val="0"/>
        <w:w w:val="100"/>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abstractNum w:abstractNumId="0">
    <w:multiLevelType w:val="hybridMultilevel"/>
    <w:lvl w:ilvl="0">
      <w:start w:val="0"/>
      <w:numFmt w:val="bullet"/>
      <w:lvlText w:val=""/>
      <w:lvlJc w:val="left"/>
      <w:pPr>
        <w:ind w:left="2160"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3168" w:hanging="360"/>
      </w:pPr>
      <w:rPr>
        <w:rFonts w:hint="default"/>
        <w:lang w:val="en-US" w:eastAsia="en-US" w:bidi="ar-SA"/>
      </w:rPr>
    </w:lvl>
    <w:lvl w:ilvl="2">
      <w:start w:val="0"/>
      <w:numFmt w:val="bullet"/>
      <w:lvlText w:val="•"/>
      <w:lvlJc w:val="left"/>
      <w:pPr>
        <w:ind w:left="4176" w:hanging="360"/>
      </w:pPr>
      <w:rPr>
        <w:rFonts w:hint="default"/>
        <w:lang w:val="en-US" w:eastAsia="en-US" w:bidi="ar-SA"/>
      </w:rPr>
    </w:lvl>
    <w:lvl w:ilvl="3">
      <w:start w:val="0"/>
      <w:numFmt w:val="bullet"/>
      <w:lvlText w:val="•"/>
      <w:lvlJc w:val="left"/>
      <w:pPr>
        <w:ind w:left="5184" w:hanging="360"/>
      </w:pPr>
      <w:rPr>
        <w:rFonts w:hint="default"/>
        <w:lang w:val="en-US" w:eastAsia="en-US" w:bidi="ar-SA"/>
      </w:rPr>
    </w:lvl>
    <w:lvl w:ilvl="4">
      <w:start w:val="0"/>
      <w:numFmt w:val="bullet"/>
      <w:lvlText w:val="•"/>
      <w:lvlJc w:val="left"/>
      <w:pPr>
        <w:ind w:left="6192" w:hanging="360"/>
      </w:pPr>
      <w:rPr>
        <w:rFonts w:hint="default"/>
        <w:lang w:val="en-US" w:eastAsia="en-US" w:bidi="ar-SA"/>
      </w:rPr>
    </w:lvl>
    <w:lvl w:ilvl="5">
      <w:start w:val="0"/>
      <w:numFmt w:val="bullet"/>
      <w:lvlText w:val="•"/>
      <w:lvlJc w:val="left"/>
      <w:pPr>
        <w:ind w:left="7200" w:hanging="360"/>
      </w:pPr>
      <w:rPr>
        <w:rFonts w:hint="default"/>
        <w:lang w:val="en-US" w:eastAsia="en-US" w:bidi="ar-SA"/>
      </w:rPr>
    </w:lvl>
    <w:lvl w:ilvl="6">
      <w:start w:val="0"/>
      <w:numFmt w:val="bullet"/>
      <w:lvlText w:val="•"/>
      <w:lvlJc w:val="left"/>
      <w:pPr>
        <w:ind w:left="8208" w:hanging="360"/>
      </w:pPr>
      <w:rPr>
        <w:rFonts w:hint="default"/>
        <w:lang w:val="en-US" w:eastAsia="en-US" w:bidi="ar-SA"/>
      </w:rPr>
    </w:lvl>
    <w:lvl w:ilvl="7">
      <w:start w:val="0"/>
      <w:numFmt w:val="bullet"/>
      <w:lvlText w:val="•"/>
      <w:lvlJc w:val="left"/>
      <w:pPr>
        <w:ind w:left="9216" w:hanging="360"/>
      </w:pPr>
      <w:rPr>
        <w:rFonts w:hint="default"/>
        <w:lang w:val="en-US" w:eastAsia="en-US" w:bidi="ar-SA"/>
      </w:rPr>
    </w:lvl>
    <w:lvl w:ilvl="8">
      <w:start w:val="0"/>
      <w:numFmt w:val="bullet"/>
      <w:lvlText w:val="•"/>
      <w:lvlJc w:val="left"/>
      <w:pPr>
        <w:ind w:left="10224"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ind w:left="1440"/>
    </w:pPr>
    <w:rPr>
      <w:rFonts w:ascii="Calibri" w:hAnsi="Calibri" w:eastAsia="Calibri" w:cs="Calibri"/>
      <w:sz w:val="22"/>
      <w:szCs w:val="22"/>
      <w:lang w:val="en-US" w:eastAsia="en-US" w:bidi="ar-SA"/>
    </w:rPr>
  </w:style>
  <w:style w:styleId="Heading1" w:type="paragraph">
    <w:name w:val="Heading 1"/>
    <w:basedOn w:val="Normal"/>
    <w:uiPriority w:val="1"/>
    <w:qFormat/>
    <w:pPr>
      <w:ind w:left="1440"/>
      <w:outlineLvl w:val="1"/>
    </w:pPr>
    <w:rPr>
      <w:rFonts w:ascii="Calibri" w:hAnsi="Calibri" w:eastAsia="Calibri" w:cs="Calibri"/>
      <w:b/>
      <w:bCs/>
      <w:sz w:val="28"/>
      <w:szCs w:val="28"/>
      <w:lang w:val="en-US" w:eastAsia="en-US" w:bidi="ar-SA"/>
    </w:rPr>
  </w:style>
  <w:style w:styleId="Heading2" w:type="paragraph">
    <w:name w:val="Heading 2"/>
    <w:basedOn w:val="Normal"/>
    <w:uiPriority w:val="1"/>
    <w:qFormat/>
    <w:pPr>
      <w:spacing w:before="64"/>
      <w:ind w:left="1440"/>
      <w:outlineLvl w:val="2"/>
    </w:pPr>
    <w:rPr>
      <w:rFonts w:ascii="Calibri" w:hAnsi="Calibri" w:eastAsia="Calibri" w:cs="Calibri"/>
      <w:b/>
      <w:bCs/>
      <w:i/>
      <w:iCs/>
      <w:sz w:val="28"/>
      <w:szCs w:val="28"/>
      <w:lang w:val="en-US" w:eastAsia="en-US" w:bidi="ar-SA"/>
    </w:rPr>
  </w:style>
  <w:style w:styleId="Heading3" w:type="paragraph">
    <w:name w:val="Heading 3"/>
    <w:basedOn w:val="Normal"/>
    <w:uiPriority w:val="1"/>
    <w:qFormat/>
    <w:pPr>
      <w:spacing w:before="64"/>
      <w:ind w:left="1440"/>
      <w:outlineLvl w:val="3"/>
    </w:pPr>
    <w:rPr>
      <w:rFonts w:ascii="Calibri" w:hAnsi="Calibri" w:eastAsia="Calibri" w:cs="Calibri"/>
      <w:b/>
      <w:bCs/>
      <w:sz w:val="24"/>
      <w:szCs w:val="24"/>
      <w:lang w:val="en-US" w:eastAsia="en-US" w:bidi="ar-SA"/>
    </w:rPr>
  </w:style>
  <w:style w:styleId="Heading4" w:type="paragraph">
    <w:name w:val="Heading 4"/>
    <w:basedOn w:val="Normal"/>
    <w:uiPriority w:val="1"/>
    <w:qFormat/>
    <w:pPr>
      <w:ind w:left="1440"/>
      <w:outlineLvl w:val="4"/>
    </w:pPr>
    <w:rPr>
      <w:rFonts w:ascii="Calibri" w:hAnsi="Calibri" w:eastAsia="Calibri" w:cs="Calibri"/>
      <w:b/>
      <w:bCs/>
      <w:sz w:val="22"/>
      <w:szCs w:val="22"/>
      <w:lang w:val="en-US" w:eastAsia="en-US" w:bidi="ar-SA"/>
    </w:rPr>
  </w:style>
  <w:style w:styleId="Title" w:type="paragraph">
    <w:name w:val="Title"/>
    <w:basedOn w:val="Normal"/>
    <w:uiPriority w:val="1"/>
    <w:qFormat/>
    <w:pPr>
      <w:spacing w:before="72"/>
      <w:ind w:left="29"/>
      <w:jc w:val="center"/>
    </w:pPr>
    <w:rPr>
      <w:rFonts w:ascii="Calibri" w:hAnsi="Calibri" w:eastAsia="Calibri" w:cs="Calibri"/>
      <w:b/>
      <w:bCs/>
      <w:sz w:val="36"/>
      <w:szCs w:val="36"/>
      <w:lang w:val="en-US" w:eastAsia="en-US" w:bidi="ar-SA"/>
    </w:rPr>
  </w:style>
  <w:style w:styleId="ListParagraph" w:type="paragraph">
    <w:name w:val="List Paragraph"/>
    <w:basedOn w:val="Normal"/>
    <w:uiPriority w:val="1"/>
    <w:qFormat/>
    <w:pPr>
      <w:ind w:left="2159" w:hanging="359"/>
    </w:pPr>
    <w:rPr>
      <w:rFonts w:ascii="Calibri" w:hAnsi="Calibri" w:eastAsia="Calibri" w:cs="Calibri"/>
      <w:lang w:val="en-US" w:eastAsia="en-US" w:bidi="ar-SA"/>
    </w:rPr>
  </w:style>
  <w:style w:styleId="TableParagraph" w:type="paragraph">
    <w:name w:val="Table Paragraph"/>
    <w:basedOn w:val="Normal"/>
    <w:uiPriority w:val="1"/>
    <w:qFormat/>
    <w:pPr>
      <w:spacing w:line="268" w:lineRule="exact"/>
      <w:ind w:left="10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png"/><Relationship Id="rId8" Type="http://schemas.openxmlformats.org/officeDocument/2006/relationships/hyperlink" Target="mailto:Alyssa.Quissimisse@yatescountyny.gov" TargetMode="External"/><Relationship Id="rId9" Type="http://schemas.openxmlformats.org/officeDocument/2006/relationships/hyperlink" Target="mailto:Kimberly.Ilacqua@flhealth.org"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hyperlink" Target="mailto:MFoster@pivitalphp.org"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hyperlink" Target="https://map.feedingamerica.org/county/2023/child/new-york/county/yates" TargetMode="External"/><Relationship Id="rId26" Type="http://schemas.openxmlformats.org/officeDocument/2006/relationships/hyperlink" Target="http://www.yatescountyny.gov/DocumentCenter/View/8733/Yates-" TargetMode="External"/><Relationship Id="rId27" Type="http://schemas.openxmlformats.org/officeDocument/2006/relationships/image" Target="media/image18.jpeg"/><Relationship Id="rId28" Type="http://schemas.openxmlformats.org/officeDocument/2006/relationships/hyperlink" Target="http://www.cdc.gov/suicide/facts/index.html" TargetMode="External"/><Relationship Id="rId29" Type="http://schemas.openxmlformats.org/officeDocument/2006/relationships/hyperlink" Target="http://www.nimh.nih.gov/health/publicafions/chronic-illness-" TargetMode="External"/><Relationship Id="rId30" Type="http://schemas.openxmlformats.org/officeDocument/2006/relationships/hyperlink" Target="http://www.cdc.gov/aces/about/index.html" TargetMode="External"/><Relationship Id="rId31" Type="http://schemas.openxmlformats.org/officeDocument/2006/relationships/hyperlink" Target="http://www.cdc.gov/nutrifion/php/about/index.html" TargetMode="External"/><Relationship Id="rId32" Type="http://schemas.openxmlformats.org/officeDocument/2006/relationships/hyperlink" Target="http://www.who.int/news-room/fact-sheets/detail/physical-acfivity" TargetMode="External"/><Relationship Id="rId33" Type="http://schemas.openxmlformats.org/officeDocument/2006/relationships/hyperlink" Target="http://www.cdc.gov/injury/index.html" TargetMode="External"/><Relationship Id="rId34" Type="http://schemas.openxmlformats.org/officeDocument/2006/relationships/image" Target="media/image19.png"/><Relationship Id="rId35" Type="http://schemas.openxmlformats.org/officeDocument/2006/relationships/image" Target="media/image20.jpe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jpeg"/><Relationship Id="rId39"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Hoffmann, Pauline</dc:creator>
  <dc:title>REGIONAL AND YA FINAL 12.17.25</dc:title>
  <dcterms:created xsi:type="dcterms:W3CDTF">2026-03-18T14:26:23Z</dcterms:created>
  <dcterms:modified xsi:type="dcterms:W3CDTF">2026-03-18T14:26:23Z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2025-12-24T00:00:00Z</vt:filetime>
  </property>
  <property fmtid="{D5CDD505-2E9C-101B-9397-08002B2CF9AE}" pid="3" name="Creator">
    <vt:lpwstr>Power PDF Create</vt:lpwstr>
  </property>
  <property fmtid="{D5CDD505-2E9C-101B-9397-08002B2CF9AE}" pid="4" name="LastSaved">
    <vt:filetime>2026-03-18T00:00:00Z</vt:filetime>
  </property>
  <property fmtid="{D5CDD505-2E9C-101B-9397-08002B2CF9AE}" pid="5" name="Producer">
    <vt:lpwstr>Power PDF Create</vt:lpwstr>
  </property>
</Properties>
</file>